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060449" w14:textId="77777777" w:rsidR="00A31597" w:rsidRPr="00A31597" w:rsidRDefault="00A31597" w:rsidP="00A31597">
      <w:pPr>
        <w:spacing w:before="100" w:beforeAutospacing="1" w:after="100" w:afterAutospacing="1" w:line="480" w:lineRule="auto"/>
        <w:jc w:val="center"/>
        <w:rPr>
          <w:rFonts w:ascii="Times New Roman" w:eastAsia="Times New Roman" w:hAnsi="Times New Roman" w:cs="Times New Roman"/>
          <w:color w:val="333333"/>
          <w:sz w:val="24"/>
          <w:szCs w:val="24"/>
        </w:rPr>
      </w:pPr>
    </w:p>
    <w:p w14:paraId="55323197" w14:textId="77777777" w:rsidR="00A31597" w:rsidRPr="00A31597" w:rsidRDefault="00A31597" w:rsidP="00A31597">
      <w:pPr>
        <w:spacing w:before="100" w:beforeAutospacing="1" w:after="100" w:afterAutospacing="1" w:line="480" w:lineRule="auto"/>
        <w:jc w:val="center"/>
        <w:rPr>
          <w:rFonts w:ascii="Times New Roman" w:eastAsia="Times New Roman" w:hAnsi="Times New Roman" w:cs="Times New Roman"/>
          <w:color w:val="333333"/>
          <w:sz w:val="24"/>
          <w:szCs w:val="24"/>
        </w:rPr>
      </w:pPr>
    </w:p>
    <w:p w14:paraId="3E4BD75C" w14:textId="77777777" w:rsidR="00A31597" w:rsidRPr="00A31597" w:rsidRDefault="00A31597" w:rsidP="00A31597">
      <w:pPr>
        <w:spacing w:before="100" w:beforeAutospacing="1" w:after="100" w:afterAutospacing="1" w:line="480" w:lineRule="auto"/>
        <w:jc w:val="center"/>
        <w:rPr>
          <w:rFonts w:ascii="Times New Roman" w:eastAsia="Times New Roman" w:hAnsi="Times New Roman" w:cs="Times New Roman"/>
          <w:color w:val="333333"/>
          <w:sz w:val="24"/>
          <w:szCs w:val="24"/>
        </w:rPr>
      </w:pPr>
    </w:p>
    <w:p w14:paraId="389049BA" w14:textId="77777777" w:rsidR="00A31597" w:rsidRPr="00A31597" w:rsidRDefault="00A31597" w:rsidP="00A31597">
      <w:pPr>
        <w:spacing w:before="100" w:beforeAutospacing="1" w:after="100" w:afterAutospacing="1" w:line="480" w:lineRule="auto"/>
        <w:jc w:val="center"/>
        <w:rPr>
          <w:rFonts w:ascii="Times New Roman" w:eastAsia="Times New Roman" w:hAnsi="Times New Roman" w:cs="Times New Roman"/>
          <w:color w:val="333333"/>
          <w:sz w:val="24"/>
          <w:szCs w:val="24"/>
        </w:rPr>
      </w:pPr>
    </w:p>
    <w:p w14:paraId="689DAA0F" w14:textId="77777777" w:rsidR="00A31597" w:rsidRPr="00A31597" w:rsidRDefault="00A31597" w:rsidP="00A31597">
      <w:pPr>
        <w:spacing w:before="100" w:beforeAutospacing="1" w:after="100" w:afterAutospacing="1" w:line="480" w:lineRule="auto"/>
        <w:jc w:val="center"/>
        <w:rPr>
          <w:rFonts w:ascii="Times New Roman" w:eastAsia="Times New Roman" w:hAnsi="Times New Roman" w:cs="Times New Roman"/>
          <w:color w:val="333333"/>
          <w:sz w:val="24"/>
          <w:szCs w:val="24"/>
        </w:rPr>
      </w:pPr>
    </w:p>
    <w:p w14:paraId="64088501" w14:textId="4D453534" w:rsidR="00F26613" w:rsidRDefault="00F26613" w:rsidP="00A31597">
      <w:pPr>
        <w:spacing w:before="100" w:beforeAutospacing="1" w:after="100" w:afterAutospacing="1" w:line="480" w:lineRule="auto"/>
        <w:jc w:val="center"/>
        <w:rPr>
          <w:rFonts w:ascii="Times New Roman" w:hAnsi="Times New Roman" w:cs="Times New Roman"/>
          <w:sz w:val="24"/>
        </w:rPr>
      </w:pPr>
      <w:r w:rsidRPr="00F26613">
        <w:rPr>
          <w:rFonts w:ascii="Times New Roman" w:hAnsi="Times New Roman" w:cs="Times New Roman"/>
          <w:sz w:val="24"/>
        </w:rPr>
        <w:t xml:space="preserve">Leveraging Informatics in Health Care Sector </w:t>
      </w:r>
    </w:p>
    <w:p w14:paraId="031B0BA9" w14:textId="35E37060" w:rsidR="00A31597" w:rsidRDefault="00A31597" w:rsidP="00A31597">
      <w:pPr>
        <w:spacing w:before="100" w:beforeAutospacing="1" w:after="100" w:afterAutospacing="1" w:line="480" w:lineRule="auto"/>
        <w:jc w:val="center"/>
        <w:rPr>
          <w:rFonts w:ascii="Times New Roman" w:eastAsia="Times New Roman" w:hAnsi="Times New Roman" w:cs="Times New Roman"/>
          <w:color w:val="333333"/>
          <w:sz w:val="24"/>
          <w:szCs w:val="24"/>
        </w:rPr>
      </w:pPr>
      <w:r w:rsidRPr="00A31597">
        <w:rPr>
          <w:rFonts w:ascii="Times New Roman" w:eastAsia="Times New Roman" w:hAnsi="Times New Roman" w:cs="Times New Roman"/>
          <w:color w:val="333333"/>
          <w:sz w:val="24"/>
          <w:szCs w:val="24"/>
        </w:rPr>
        <w:t>Student’s Name</w:t>
      </w:r>
    </w:p>
    <w:p w14:paraId="715AD3C3" w14:textId="59C199EC" w:rsidR="00F26613" w:rsidRPr="00A31597" w:rsidRDefault="00F26613" w:rsidP="00A31597">
      <w:pPr>
        <w:spacing w:before="100" w:beforeAutospacing="1" w:after="100" w:afterAutospacing="1" w:line="480" w:lineRule="auto"/>
        <w:jc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Instructor </w:t>
      </w:r>
    </w:p>
    <w:p w14:paraId="6CFDD28F" w14:textId="2FD9FC95" w:rsidR="00A31597" w:rsidRDefault="00A31597" w:rsidP="00A31597">
      <w:pPr>
        <w:spacing w:before="100" w:beforeAutospacing="1" w:after="100" w:afterAutospacing="1" w:line="480" w:lineRule="auto"/>
        <w:jc w:val="center"/>
        <w:rPr>
          <w:rFonts w:ascii="Times New Roman" w:eastAsia="Times New Roman" w:hAnsi="Times New Roman" w:cs="Times New Roman"/>
          <w:color w:val="333333"/>
          <w:sz w:val="24"/>
          <w:szCs w:val="24"/>
        </w:rPr>
      </w:pPr>
      <w:r w:rsidRPr="00A31597">
        <w:rPr>
          <w:rFonts w:ascii="Times New Roman" w:eastAsia="Times New Roman" w:hAnsi="Times New Roman" w:cs="Times New Roman"/>
          <w:color w:val="333333"/>
          <w:sz w:val="24"/>
          <w:szCs w:val="24"/>
        </w:rPr>
        <w:t>Institutional Affiliation</w:t>
      </w:r>
    </w:p>
    <w:p w14:paraId="733ACED2" w14:textId="321D3132" w:rsidR="00F26613" w:rsidRPr="00A31597" w:rsidRDefault="00F26613" w:rsidP="00A31597">
      <w:pPr>
        <w:spacing w:before="100" w:beforeAutospacing="1" w:after="100" w:afterAutospacing="1" w:line="480" w:lineRule="auto"/>
        <w:jc w:val="center"/>
        <w:rPr>
          <w:rFonts w:ascii="Times New Roman" w:eastAsia="Times New Roman" w:hAnsi="Times New Roman" w:cs="Times New Roman"/>
          <w:color w:val="333333"/>
          <w:sz w:val="24"/>
          <w:szCs w:val="24"/>
        </w:rPr>
      </w:pPr>
      <w:r>
        <w:rPr>
          <w:rFonts w:ascii="Times New Roman" w:eastAsia="Times New Roman" w:hAnsi="Times New Roman" w:cs="Times New Roman"/>
          <w:color w:val="333333"/>
          <w:sz w:val="24"/>
          <w:szCs w:val="24"/>
        </w:rPr>
        <w:t xml:space="preserve">Date </w:t>
      </w:r>
    </w:p>
    <w:p w14:paraId="38E7CE16" w14:textId="3292AB05" w:rsidR="00A31597" w:rsidRPr="00A31597" w:rsidRDefault="00A31597" w:rsidP="00A31597">
      <w:pPr>
        <w:spacing w:line="480" w:lineRule="auto"/>
        <w:rPr>
          <w:rFonts w:ascii="Times New Roman" w:eastAsia="Times New Roman" w:hAnsi="Times New Roman" w:cs="Times New Roman"/>
          <w:color w:val="333333"/>
          <w:sz w:val="24"/>
          <w:szCs w:val="24"/>
        </w:rPr>
      </w:pPr>
      <w:r w:rsidRPr="00A31597">
        <w:rPr>
          <w:rFonts w:ascii="Times New Roman" w:eastAsia="Times New Roman" w:hAnsi="Times New Roman" w:cs="Times New Roman"/>
          <w:color w:val="333333"/>
          <w:sz w:val="24"/>
          <w:szCs w:val="24"/>
        </w:rPr>
        <w:br w:type="page"/>
      </w:r>
    </w:p>
    <w:p w14:paraId="0F37AC68" w14:textId="65DDC7BA" w:rsidR="00A31597" w:rsidRPr="00A31597" w:rsidRDefault="00A31597" w:rsidP="00A31597">
      <w:pPr>
        <w:spacing w:before="100" w:beforeAutospacing="1" w:after="100" w:afterAutospacing="1" w:line="480" w:lineRule="auto"/>
        <w:jc w:val="center"/>
        <w:rPr>
          <w:rFonts w:ascii="Times New Roman" w:eastAsia="Times New Roman" w:hAnsi="Times New Roman" w:cs="Times New Roman"/>
          <w:b/>
          <w:color w:val="333333"/>
          <w:sz w:val="24"/>
          <w:szCs w:val="24"/>
        </w:rPr>
      </w:pPr>
      <w:r w:rsidRPr="00A31597">
        <w:rPr>
          <w:rFonts w:ascii="Times New Roman" w:eastAsia="Times New Roman" w:hAnsi="Times New Roman" w:cs="Times New Roman"/>
          <w:b/>
          <w:color w:val="333333"/>
          <w:sz w:val="24"/>
          <w:szCs w:val="24"/>
        </w:rPr>
        <w:lastRenderedPageBreak/>
        <w:t>Data Analysis</w:t>
      </w:r>
    </w:p>
    <w:p w14:paraId="6DA5B274" w14:textId="1608DC73" w:rsidR="00B51006" w:rsidRPr="00A31597" w:rsidRDefault="00B51006" w:rsidP="00A31597">
      <w:pPr>
        <w:spacing w:before="100" w:beforeAutospacing="1" w:after="100" w:afterAutospacing="1" w:line="480" w:lineRule="auto"/>
        <w:ind w:firstLine="720"/>
        <w:rPr>
          <w:rFonts w:ascii="Times New Roman" w:eastAsia="Times New Roman" w:hAnsi="Times New Roman" w:cs="Times New Roman"/>
          <w:color w:val="333333"/>
          <w:sz w:val="24"/>
          <w:szCs w:val="24"/>
        </w:rPr>
      </w:pPr>
      <w:r w:rsidRPr="00A31597">
        <w:rPr>
          <w:rFonts w:ascii="Times New Roman" w:eastAsia="Times New Roman" w:hAnsi="Times New Roman" w:cs="Times New Roman"/>
          <w:color w:val="333333"/>
          <w:sz w:val="24"/>
          <w:szCs w:val="24"/>
        </w:rPr>
        <w:t>A</w:t>
      </w:r>
      <w:r w:rsidRPr="00A31597">
        <w:rPr>
          <w:rFonts w:ascii="Times New Roman" w:hAnsi="Times New Roman" w:cs="Times New Roman"/>
          <w:sz w:val="24"/>
          <w:szCs w:val="24"/>
        </w:rPr>
        <w:t xml:space="preserve"> side-by-side</w:t>
      </w:r>
      <w:r w:rsidRPr="00A31597">
        <w:rPr>
          <w:rFonts w:ascii="Times New Roman" w:eastAsia="Times New Roman" w:hAnsi="Times New Roman" w:cs="Times New Roman"/>
          <w:color w:val="333333"/>
          <w:sz w:val="24"/>
          <w:szCs w:val="24"/>
        </w:rPr>
        <w:t xml:space="preserve"> bar graph on the frequency of viral infections across different age groups. </w:t>
      </w:r>
    </w:p>
    <w:p w14:paraId="685CD27F" w14:textId="66D0A70E" w:rsidR="00C21FE5" w:rsidRPr="00A31597" w:rsidRDefault="00C21FE5" w:rsidP="00A31597">
      <w:pPr>
        <w:spacing w:before="100" w:beforeAutospacing="1" w:after="100" w:afterAutospacing="1" w:line="480" w:lineRule="auto"/>
        <w:rPr>
          <w:rFonts w:ascii="Times New Roman" w:eastAsia="Times New Roman" w:hAnsi="Times New Roman" w:cs="Times New Roman"/>
          <w:color w:val="333333"/>
          <w:sz w:val="24"/>
          <w:szCs w:val="24"/>
        </w:rPr>
      </w:pPr>
      <w:r w:rsidRPr="00A31597">
        <w:rPr>
          <w:rFonts w:ascii="Times New Roman" w:hAnsi="Times New Roman" w:cs="Times New Roman"/>
          <w:noProof/>
          <w:sz w:val="24"/>
          <w:szCs w:val="24"/>
        </w:rPr>
        <w:drawing>
          <wp:inline distT="0" distB="0" distL="0" distR="0" wp14:anchorId="233BE857" wp14:editId="7E65C22E">
            <wp:extent cx="6267450" cy="2583180"/>
            <wp:effectExtent l="38100" t="57150" r="38100" b="45720"/>
            <wp:docPr id="1" name="Chart 1">
              <a:extLst xmlns:a="http://schemas.openxmlformats.org/drawingml/2006/main">
                <a:ext uri="{FF2B5EF4-FFF2-40B4-BE49-F238E27FC236}">
                  <a16:creationId xmlns:a16="http://schemas.microsoft.com/office/drawing/2014/main" xmlns:w16se="http://schemas.microsoft.com/office/word/2015/wordml/symex" xmlns:w16cid="http://schemas.microsoft.com/office/word/2016/wordml/cid"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5664F57" w14:textId="27C5BFD3" w:rsidR="00C21FE5" w:rsidRPr="00A31597" w:rsidRDefault="00C21FE5" w:rsidP="00A31597">
      <w:pPr>
        <w:spacing w:before="100" w:beforeAutospacing="1" w:after="100" w:afterAutospacing="1" w:line="480" w:lineRule="auto"/>
        <w:rPr>
          <w:rFonts w:ascii="Times New Roman" w:eastAsia="Times New Roman" w:hAnsi="Times New Roman" w:cs="Times New Roman"/>
          <w:b/>
          <w:color w:val="333333"/>
          <w:sz w:val="24"/>
          <w:szCs w:val="24"/>
        </w:rPr>
      </w:pPr>
      <w:r w:rsidRPr="00C21FE5">
        <w:rPr>
          <w:rFonts w:ascii="Times New Roman" w:eastAsia="Times New Roman" w:hAnsi="Times New Roman" w:cs="Times New Roman"/>
          <w:b/>
          <w:color w:val="333333"/>
          <w:sz w:val="24"/>
          <w:szCs w:val="24"/>
        </w:rPr>
        <w:t>Which age groups are most affected?</w:t>
      </w:r>
    </w:p>
    <w:p w14:paraId="541D4B38" w14:textId="1DDBE17A" w:rsidR="00C21FE5" w:rsidRPr="00A31597" w:rsidRDefault="00C21FE5" w:rsidP="00A31597">
      <w:pPr>
        <w:spacing w:line="480" w:lineRule="auto"/>
        <w:ind w:firstLine="720"/>
        <w:rPr>
          <w:rFonts w:ascii="Times New Roman" w:eastAsia="Times New Roman" w:hAnsi="Times New Roman" w:cs="Times New Roman"/>
          <w:color w:val="000000"/>
          <w:sz w:val="24"/>
          <w:szCs w:val="24"/>
        </w:rPr>
      </w:pPr>
      <w:r w:rsidRPr="00A31597">
        <w:rPr>
          <w:rFonts w:ascii="Times New Roman" w:eastAsia="Times New Roman" w:hAnsi="Times New Roman" w:cs="Times New Roman"/>
          <w:color w:val="333333"/>
          <w:sz w:val="24"/>
          <w:szCs w:val="24"/>
        </w:rPr>
        <w:t xml:space="preserve">According to the raw data and graphical presentation provided, the </w:t>
      </w:r>
      <w:r w:rsidRPr="00A31597">
        <w:rPr>
          <w:rFonts w:ascii="Times New Roman" w:eastAsia="Times New Roman" w:hAnsi="Times New Roman" w:cs="Times New Roman"/>
          <w:color w:val="000000"/>
          <w:sz w:val="24"/>
          <w:szCs w:val="24"/>
        </w:rPr>
        <w:t>&lt;18</w:t>
      </w:r>
      <w:r w:rsidR="00B46820" w:rsidRPr="00A31597">
        <w:rPr>
          <w:rFonts w:ascii="Times New Roman" w:eastAsia="Times New Roman" w:hAnsi="Times New Roman" w:cs="Times New Roman"/>
          <w:color w:val="000000"/>
          <w:sz w:val="24"/>
          <w:szCs w:val="24"/>
        </w:rPr>
        <w:t xml:space="preserve">, and </w:t>
      </w:r>
      <w:r w:rsidRPr="00A31597">
        <w:rPr>
          <w:rFonts w:ascii="Times New Roman" w:eastAsia="Times New Roman" w:hAnsi="Times New Roman" w:cs="Times New Roman"/>
          <w:color w:val="000000"/>
          <w:sz w:val="24"/>
          <w:szCs w:val="24"/>
        </w:rPr>
        <w:t xml:space="preserve">61+ age groups were highly affected, </w:t>
      </w:r>
      <w:r w:rsidR="00B46820" w:rsidRPr="00A31597">
        <w:rPr>
          <w:rFonts w:ascii="Times New Roman" w:eastAsia="Times New Roman" w:hAnsi="Times New Roman" w:cs="Times New Roman"/>
          <w:color w:val="000000"/>
          <w:sz w:val="24"/>
          <w:szCs w:val="24"/>
        </w:rPr>
        <w:t xml:space="preserve">with the &lt;18 age group recording the highest number of virus infection cases. </w:t>
      </w:r>
      <w:r w:rsidR="00E0740E" w:rsidRPr="00A31597">
        <w:rPr>
          <w:rFonts w:ascii="Times New Roman" w:eastAsia="Times New Roman" w:hAnsi="Times New Roman" w:cs="Times New Roman"/>
          <w:color w:val="000000"/>
          <w:sz w:val="24"/>
          <w:szCs w:val="24"/>
        </w:rPr>
        <w:t>In the cities, the</w:t>
      </w:r>
      <w:r w:rsidR="00E32721" w:rsidRPr="00A31597">
        <w:rPr>
          <w:rFonts w:ascii="Times New Roman" w:eastAsia="Times New Roman" w:hAnsi="Times New Roman" w:cs="Times New Roman"/>
          <w:color w:val="333333"/>
          <w:sz w:val="24"/>
          <w:szCs w:val="24"/>
        </w:rPr>
        <w:t xml:space="preserve"> </w:t>
      </w:r>
      <w:r w:rsidR="00E32721" w:rsidRPr="00A31597">
        <w:rPr>
          <w:rFonts w:ascii="Times New Roman" w:eastAsia="Times New Roman" w:hAnsi="Times New Roman" w:cs="Times New Roman"/>
          <w:color w:val="000000"/>
          <w:sz w:val="24"/>
          <w:szCs w:val="24"/>
        </w:rPr>
        <w:t>&lt;18 and 61+ age groups recorded a cumulative figure of 2089 and 1731 cases respectively.</w:t>
      </w:r>
    </w:p>
    <w:p w14:paraId="16117A50" w14:textId="19EDAD81" w:rsidR="00C21FE5" w:rsidRPr="00A31597" w:rsidRDefault="00C21FE5" w:rsidP="00066DB5">
      <w:pPr>
        <w:spacing w:before="100" w:beforeAutospacing="1" w:after="100" w:afterAutospacing="1" w:line="480" w:lineRule="auto"/>
        <w:rPr>
          <w:rFonts w:ascii="Times New Roman" w:eastAsia="Times New Roman" w:hAnsi="Times New Roman" w:cs="Times New Roman"/>
          <w:b/>
          <w:color w:val="333333"/>
          <w:sz w:val="24"/>
          <w:szCs w:val="24"/>
        </w:rPr>
      </w:pPr>
      <w:r w:rsidRPr="00C21FE5">
        <w:rPr>
          <w:rFonts w:ascii="Times New Roman" w:eastAsia="Times New Roman" w:hAnsi="Times New Roman" w:cs="Times New Roman"/>
          <w:b/>
          <w:color w:val="333333"/>
          <w:sz w:val="24"/>
          <w:szCs w:val="24"/>
        </w:rPr>
        <w:t>Which age groups are least affected?</w:t>
      </w:r>
    </w:p>
    <w:p w14:paraId="4DD5B0D5" w14:textId="1499CD67" w:rsidR="00B46820" w:rsidRDefault="00B46820" w:rsidP="00A31597">
      <w:pPr>
        <w:spacing w:before="100" w:beforeAutospacing="1" w:after="100" w:afterAutospacing="1" w:line="480" w:lineRule="auto"/>
        <w:ind w:firstLine="720"/>
        <w:rPr>
          <w:rFonts w:ascii="Times New Roman" w:eastAsia="Times New Roman" w:hAnsi="Times New Roman" w:cs="Times New Roman"/>
          <w:color w:val="333333"/>
          <w:sz w:val="24"/>
          <w:szCs w:val="24"/>
        </w:rPr>
      </w:pPr>
      <w:r w:rsidRPr="00A31597">
        <w:rPr>
          <w:rFonts w:ascii="Times New Roman" w:eastAsia="Times New Roman" w:hAnsi="Times New Roman" w:cs="Times New Roman"/>
          <w:color w:val="333333"/>
          <w:sz w:val="24"/>
          <w:szCs w:val="24"/>
        </w:rPr>
        <w:t xml:space="preserve">Based on the data and graphical output provided, the 19-30 and 31-60 age groups were least affected by the virus. </w:t>
      </w:r>
      <w:r w:rsidR="00E0740E" w:rsidRPr="00A31597">
        <w:rPr>
          <w:rFonts w:ascii="Times New Roman" w:eastAsia="Times New Roman" w:hAnsi="Times New Roman" w:cs="Times New Roman"/>
          <w:color w:val="333333"/>
          <w:sz w:val="24"/>
          <w:szCs w:val="24"/>
        </w:rPr>
        <w:t>The total</w:t>
      </w:r>
      <w:r w:rsidRPr="00A31597">
        <w:rPr>
          <w:rFonts w:ascii="Times New Roman" w:eastAsia="Times New Roman" w:hAnsi="Times New Roman" w:cs="Times New Roman"/>
          <w:color w:val="333333"/>
          <w:sz w:val="24"/>
          <w:szCs w:val="24"/>
        </w:rPr>
        <w:t xml:space="preserve"> number of infections</w:t>
      </w:r>
      <w:r w:rsidR="00E0740E" w:rsidRPr="00A31597">
        <w:rPr>
          <w:rFonts w:ascii="Times New Roman" w:eastAsia="Times New Roman" w:hAnsi="Times New Roman" w:cs="Times New Roman"/>
          <w:color w:val="333333"/>
          <w:sz w:val="24"/>
          <w:szCs w:val="24"/>
        </w:rPr>
        <w:t xml:space="preserve"> in the 19-30 and 31-60 age groups stood at 323 and 809 cases respectively. </w:t>
      </w:r>
    </w:p>
    <w:p w14:paraId="7316DF95" w14:textId="77777777" w:rsidR="00F26613" w:rsidRPr="00C21FE5" w:rsidRDefault="00F26613" w:rsidP="00A31597">
      <w:pPr>
        <w:spacing w:before="100" w:beforeAutospacing="1" w:after="100" w:afterAutospacing="1" w:line="480" w:lineRule="auto"/>
        <w:ind w:firstLine="720"/>
        <w:rPr>
          <w:rFonts w:ascii="Times New Roman" w:eastAsia="Times New Roman" w:hAnsi="Times New Roman" w:cs="Times New Roman"/>
          <w:color w:val="333333"/>
          <w:sz w:val="24"/>
          <w:szCs w:val="24"/>
        </w:rPr>
      </w:pPr>
    </w:p>
    <w:p w14:paraId="378E0BE8" w14:textId="3FED229E" w:rsidR="00C21FE5" w:rsidRPr="00A31597" w:rsidRDefault="00C21FE5" w:rsidP="00066DB5">
      <w:pPr>
        <w:spacing w:before="100" w:beforeAutospacing="1" w:after="100" w:afterAutospacing="1" w:line="480" w:lineRule="auto"/>
        <w:rPr>
          <w:rFonts w:ascii="Times New Roman" w:eastAsia="Times New Roman" w:hAnsi="Times New Roman" w:cs="Times New Roman"/>
          <w:b/>
          <w:color w:val="333333"/>
          <w:sz w:val="24"/>
          <w:szCs w:val="24"/>
        </w:rPr>
      </w:pPr>
      <w:r w:rsidRPr="00C21FE5">
        <w:rPr>
          <w:rFonts w:ascii="Times New Roman" w:eastAsia="Times New Roman" w:hAnsi="Times New Roman" w:cs="Times New Roman"/>
          <w:b/>
          <w:color w:val="333333"/>
          <w:sz w:val="24"/>
          <w:szCs w:val="24"/>
        </w:rPr>
        <w:lastRenderedPageBreak/>
        <w:t>What is the prevalence rate per age demographic?</w:t>
      </w:r>
    </w:p>
    <w:p w14:paraId="3B39C7C3" w14:textId="32B16792" w:rsidR="00A31597" w:rsidRPr="00A31597" w:rsidRDefault="00E0740E" w:rsidP="00A31597">
      <w:pPr>
        <w:spacing w:before="100" w:beforeAutospacing="1" w:after="100" w:afterAutospacing="1" w:line="480" w:lineRule="auto"/>
        <w:ind w:firstLine="720"/>
        <w:rPr>
          <w:rFonts w:ascii="Times New Roman" w:eastAsia="Times New Roman" w:hAnsi="Times New Roman" w:cs="Times New Roman"/>
          <w:color w:val="333333"/>
          <w:sz w:val="24"/>
          <w:szCs w:val="24"/>
        </w:rPr>
      </w:pPr>
      <w:r w:rsidRPr="00A31597">
        <w:rPr>
          <w:rFonts w:ascii="Times New Roman" w:eastAsia="Times New Roman" w:hAnsi="Times New Roman" w:cs="Times New Roman"/>
          <w:color w:val="333333"/>
          <w:sz w:val="24"/>
          <w:szCs w:val="24"/>
        </w:rPr>
        <w:t xml:space="preserve">Prevalence denotes the proportion of a population that </w:t>
      </w:r>
      <w:r w:rsidR="00A31597" w:rsidRPr="00A31597">
        <w:rPr>
          <w:rFonts w:ascii="Times New Roman" w:eastAsia="Times New Roman" w:hAnsi="Times New Roman" w:cs="Times New Roman"/>
          <w:color w:val="333333"/>
          <w:sz w:val="24"/>
          <w:szCs w:val="24"/>
        </w:rPr>
        <w:t xml:space="preserve">bears </w:t>
      </w:r>
      <w:r w:rsidR="00A31597" w:rsidRPr="00A31597">
        <w:rPr>
          <w:rFonts w:ascii="Times New Roman" w:eastAsia="Times New Roman" w:hAnsi="Times New Roman" w:cs="Times New Roman"/>
          <w:color w:val="333333"/>
          <w:sz w:val="24"/>
          <w:szCs w:val="24"/>
        </w:rPr>
        <w:fldChar w:fldCharType="begin" w:fldLock="1"/>
      </w:r>
      <w:r w:rsidR="00A31597" w:rsidRPr="00A31597">
        <w:rPr>
          <w:rFonts w:ascii="Times New Roman" w:eastAsia="Times New Roman" w:hAnsi="Times New Roman" w:cs="Times New Roman"/>
          <w:color w:val="333333"/>
          <w:sz w:val="24"/>
          <w:szCs w:val="24"/>
        </w:rPr>
        <w:instrText>ADDIN CSL_CITATION {"citationItems":[{"id":"ITEM-1","itemData":{"DOI":"10.1186/s12889-019-6820-3","ISSN":"14712458","PMID":"31060532","abstract":"Background: Incidence rates and prevalence proportions are commonly used to express the populations health status. Since there are several methods used to calculate these epidemiological measures, good comparison between studies and countries is difficult. This study investigates the impact of different operational definitions of numerators and denominators on incidence rates and prevalence proportions. Methods: Data from routine electronic health records of general practices contributing to NIVEL Primary Care Database was used. Incidence rates were calculated using different denominators (person-years at-risk, person-years and midterm population). Three different prevalence proportions were determined: 1 year period prevalence proportions, point-prevalence proportions and contact prevalence proportions. Results: One year period prevalence proportions were substantially higher than point-prevalence (58.3 - 206.6%) for long-lasting diseases, and one year period prevalence proportions were higher than contact prevalence proportions (26.2 - 79.7%). For incidence rates, the use of different denominators resulted in small differences between the different calculation methods (-1.3 - 14.8%). Using person-years at-risk or a midterm population resulted in higher rates compared to using person-years. Conclusions: All different operational definitions affect incidence rates and prevalence proportions to some extent. Therefore, it is important that the terminology and methodology is well described by sources reporting these epidemiological measures. When comparing incidence rates and prevalence proportions from different sources, it is important to be aware of the operational definitions applied and their impact.","author":[{"dropping-particle":"","family":"Spronk","given":"Inge","non-dropping-particle":"","parse-names":false,"suffix":""},{"dropping-particle":"","family":"Korevaar","given":"Joke C.","non-dropping-particle":"","parse-names":false,"suffix":""},{"dropping-particle":"","family":"Poos","given":"René","non-dropping-particle":"","parse-names":false,"suffix":""},{"dropping-particle":"","family":"Davids","given":"Rodrigo","non-dropping-particle":"","parse-names":false,"suffix":""},{"dropping-particle":"","family":"Hilderink","given":"Henk","non-dropping-particle":"","parse-names":false,"suffix":""},{"dropping-particle":"","family":"Schellevis","given":"François G.","non-dropping-particle":"","parse-names":false,"suffix":""},{"dropping-particle":"","family":"Verheij","given":"Robert A.","non-dropping-particle":"","parse-names":false,"suffix":""},{"dropping-particle":"","family":"Nielen","given":"Mark M.J.","non-dropping-particle":"","parse-names":false,"suffix":""}],"container-title":"BMC Public Health","id":"ITEM-1","issue":"1","issued":{"date-parts":[["2019","5","6"]]},"publisher":"BioMed Central Ltd.","title":"Calculating incidence rates and prevalence proportions: Not as simple as it seems","type":"article-journal","volume":"19"},"uris":["http://www.mendeley.com/documents/?uuid=7bd7f6b6-7d44-3177-915f-f46d9f0d3664"]}],"mendeley":{"formattedCitation":"(Spronk et al., 2019)","plainTextFormattedCitation":"(Spronk et al., 2019)","previouslyFormattedCitation":"(Spronk et al., 2019)"},"properties":{"noteIndex":0},"schema":"https://github.com/citation-style-language/schema/raw/master/csl-citation.json"}</w:instrText>
      </w:r>
      <w:r w:rsidR="00A31597" w:rsidRPr="00A31597">
        <w:rPr>
          <w:rFonts w:ascii="Times New Roman" w:eastAsia="Times New Roman" w:hAnsi="Times New Roman" w:cs="Times New Roman"/>
          <w:color w:val="333333"/>
          <w:sz w:val="24"/>
          <w:szCs w:val="24"/>
        </w:rPr>
        <w:fldChar w:fldCharType="separate"/>
      </w:r>
      <w:r w:rsidR="00A31597" w:rsidRPr="00A31597">
        <w:rPr>
          <w:rFonts w:ascii="Times New Roman" w:eastAsia="Times New Roman" w:hAnsi="Times New Roman" w:cs="Times New Roman"/>
          <w:noProof/>
          <w:color w:val="333333"/>
          <w:sz w:val="24"/>
          <w:szCs w:val="24"/>
        </w:rPr>
        <w:t>(Spronk et al., 2019)</w:t>
      </w:r>
      <w:r w:rsidR="00A31597" w:rsidRPr="00A31597">
        <w:rPr>
          <w:rFonts w:ascii="Times New Roman" w:eastAsia="Times New Roman" w:hAnsi="Times New Roman" w:cs="Times New Roman"/>
          <w:color w:val="333333"/>
          <w:sz w:val="24"/>
          <w:szCs w:val="24"/>
        </w:rPr>
        <w:fldChar w:fldCharType="end"/>
      </w:r>
      <w:r w:rsidRPr="00A31597">
        <w:rPr>
          <w:rFonts w:ascii="Times New Roman" w:eastAsia="Times New Roman" w:hAnsi="Times New Roman" w:cs="Times New Roman"/>
          <w:color w:val="333333"/>
          <w:sz w:val="24"/>
          <w:szCs w:val="24"/>
        </w:rPr>
        <w:t xml:space="preserve"> a given quality or characteristic</w:t>
      </w:r>
      <w:r w:rsidR="00A31597" w:rsidRPr="00A31597">
        <w:rPr>
          <w:rFonts w:ascii="Times New Roman" w:eastAsia="Times New Roman" w:hAnsi="Times New Roman" w:cs="Times New Roman"/>
          <w:color w:val="333333"/>
          <w:sz w:val="24"/>
          <w:szCs w:val="24"/>
        </w:rPr>
        <w:t xml:space="preserve"> </w:t>
      </w:r>
      <w:r w:rsidRPr="00A31597">
        <w:rPr>
          <w:rFonts w:ascii="Times New Roman" w:eastAsia="Times New Roman" w:hAnsi="Times New Roman" w:cs="Times New Roman"/>
          <w:color w:val="333333"/>
          <w:sz w:val="24"/>
          <w:szCs w:val="24"/>
        </w:rPr>
        <w:t>. For</w:t>
      </w:r>
      <w:r w:rsidR="00BD7FAA" w:rsidRPr="00A31597">
        <w:rPr>
          <w:rFonts w:ascii="Times New Roman" w:eastAsia="Times New Roman" w:hAnsi="Times New Roman" w:cs="Times New Roman"/>
          <w:color w:val="333333"/>
          <w:sz w:val="24"/>
          <w:szCs w:val="24"/>
        </w:rPr>
        <w:t xml:space="preserve"> representative samples, the prevalence rate of a particular variable/ risk factor in a population is obtained by dividing the </w:t>
      </w:r>
      <w:r w:rsidR="00460C37" w:rsidRPr="00A31597">
        <w:rPr>
          <w:rFonts w:ascii="Times New Roman" w:eastAsia="Times New Roman" w:hAnsi="Times New Roman" w:cs="Times New Roman"/>
          <w:color w:val="333333"/>
          <w:sz w:val="24"/>
          <w:szCs w:val="24"/>
        </w:rPr>
        <w:t xml:space="preserve">total number </w:t>
      </w:r>
      <w:r w:rsidR="00B51006" w:rsidRPr="00A31597">
        <w:rPr>
          <w:rFonts w:ascii="Times New Roman" w:eastAsia="Times New Roman" w:hAnsi="Times New Roman" w:cs="Times New Roman"/>
          <w:color w:val="333333"/>
          <w:sz w:val="24"/>
          <w:szCs w:val="24"/>
        </w:rPr>
        <w:t xml:space="preserve">of </w:t>
      </w:r>
      <w:r w:rsidR="00460C37" w:rsidRPr="00A31597">
        <w:rPr>
          <w:rFonts w:ascii="Times New Roman" w:eastAsia="Times New Roman" w:hAnsi="Times New Roman" w:cs="Times New Roman"/>
          <w:color w:val="333333"/>
          <w:sz w:val="24"/>
          <w:szCs w:val="24"/>
        </w:rPr>
        <w:t xml:space="preserve">cases with </w:t>
      </w:r>
      <w:r w:rsidRPr="00A31597">
        <w:rPr>
          <w:rFonts w:ascii="Times New Roman" w:eastAsia="Times New Roman" w:hAnsi="Times New Roman" w:cs="Times New Roman"/>
          <w:color w:val="333333"/>
          <w:sz w:val="24"/>
          <w:szCs w:val="24"/>
        </w:rPr>
        <w:t xml:space="preserve">a particular </w:t>
      </w:r>
      <w:r w:rsidR="00460C37" w:rsidRPr="00A31597">
        <w:rPr>
          <w:rFonts w:ascii="Times New Roman" w:eastAsia="Times New Roman" w:hAnsi="Times New Roman" w:cs="Times New Roman"/>
          <w:color w:val="333333"/>
          <w:sz w:val="24"/>
          <w:szCs w:val="24"/>
        </w:rPr>
        <w:t xml:space="preserve">characteristic of interest </w:t>
      </w:r>
      <w:r w:rsidR="00BD7FAA" w:rsidRPr="00A31597">
        <w:rPr>
          <w:rFonts w:ascii="Times New Roman" w:eastAsia="Times New Roman" w:hAnsi="Times New Roman" w:cs="Times New Roman"/>
          <w:color w:val="333333"/>
          <w:sz w:val="24"/>
          <w:szCs w:val="24"/>
        </w:rPr>
        <w:t xml:space="preserve">by the </w:t>
      </w:r>
      <w:r w:rsidR="0011328F" w:rsidRPr="00A31597">
        <w:rPr>
          <w:rFonts w:ascii="Times New Roman" w:eastAsia="Times New Roman" w:hAnsi="Times New Roman" w:cs="Times New Roman"/>
          <w:color w:val="333333"/>
          <w:sz w:val="24"/>
          <w:szCs w:val="24"/>
        </w:rPr>
        <w:t>population</w:t>
      </w:r>
      <w:r w:rsidR="00BD7FAA" w:rsidRPr="00A31597">
        <w:rPr>
          <w:rFonts w:ascii="Times New Roman" w:eastAsia="Times New Roman" w:hAnsi="Times New Roman" w:cs="Times New Roman"/>
          <w:color w:val="333333"/>
          <w:sz w:val="24"/>
          <w:szCs w:val="24"/>
        </w:rPr>
        <w:t xml:space="preserve"> size</w:t>
      </w:r>
      <w:r w:rsidR="00460C37" w:rsidRPr="00A31597">
        <w:rPr>
          <w:rFonts w:ascii="Times New Roman" w:eastAsia="Times New Roman" w:hAnsi="Times New Roman" w:cs="Times New Roman"/>
          <w:color w:val="333333"/>
          <w:sz w:val="24"/>
          <w:szCs w:val="24"/>
        </w:rPr>
        <w:t xml:space="preserve">. In this case, the prevalence rate will be obtained through the formulae: </w:t>
      </w:r>
      <w:r w:rsidR="00B51006" w:rsidRPr="00A31597">
        <w:rPr>
          <w:rFonts w:ascii="Times New Roman" w:eastAsia="Times New Roman" w:hAnsi="Times New Roman" w:cs="Times New Roman"/>
          <w:color w:val="333333"/>
          <w:sz w:val="24"/>
          <w:szCs w:val="24"/>
        </w:rPr>
        <w:t xml:space="preserve">the </w:t>
      </w:r>
      <w:r w:rsidR="00460C37" w:rsidRPr="00A31597">
        <w:rPr>
          <w:rFonts w:ascii="Times New Roman" w:eastAsia="Times New Roman" w:hAnsi="Times New Roman" w:cs="Times New Roman"/>
          <w:color w:val="333333"/>
          <w:sz w:val="24"/>
          <w:szCs w:val="24"/>
        </w:rPr>
        <w:t>total number of infections in an age group/ the</w:t>
      </w:r>
      <w:r w:rsidR="0011328F" w:rsidRPr="00A31597">
        <w:rPr>
          <w:rFonts w:ascii="Times New Roman" w:eastAsia="Times New Roman" w:hAnsi="Times New Roman" w:cs="Times New Roman"/>
          <w:color w:val="333333"/>
          <w:sz w:val="24"/>
          <w:szCs w:val="24"/>
        </w:rPr>
        <w:t xml:space="preserve"> population </w:t>
      </w:r>
      <w:r w:rsidR="00460C37" w:rsidRPr="00A31597">
        <w:rPr>
          <w:rFonts w:ascii="Times New Roman" w:eastAsia="Times New Roman" w:hAnsi="Times New Roman" w:cs="Times New Roman"/>
          <w:color w:val="333333"/>
          <w:sz w:val="24"/>
          <w:szCs w:val="24"/>
        </w:rPr>
        <w:t xml:space="preserve">size in the age group* 100. </w:t>
      </w:r>
    </w:p>
    <w:p w14:paraId="4E909393" w14:textId="4F4C3FD6" w:rsidR="00BD7FAA" w:rsidRPr="00C21FE5" w:rsidRDefault="00A31597" w:rsidP="00A31597">
      <w:pPr>
        <w:spacing w:before="100" w:beforeAutospacing="1" w:after="100" w:afterAutospacing="1" w:line="480" w:lineRule="auto"/>
        <w:ind w:firstLine="720"/>
        <w:rPr>
          <w:rFonts w:ascii="Times New Roman" w:eastAsia="Times New Roman" w:hAnsi="Times New Roman" w:cs="Times New Roman"/>
          <w:color w:val="333333"/>
          <w:sz w:val="24"/>
          <w:szCs w:val="24"/>
        </w:rPr>
      </w:pPr>
      <w:r w:rsidRPr="00A31597">
        <w:rPr>
          <w:rFonts w:ascii="Times New Roman" w:eastAsia="Times New Roman" w:hAnsi="Times New Roman" w:cs="Times New Roman"/>
          <w:color w:val="333333"/>
          <w:sz w:val="24"/>
          <w:szCs w:val="24"/>
        </w:rPr>
        <w:t>In this case</w:t>
      </w:r>
      <w:r w:rsidR="0011328F" w:rsidRPr="00A31597">
        <w:rPr>
          <w:rFonts w:ascii="Times New Roman" w:eastAsia="Times New Roman" w:hAnsi="Times New Roman" w:cs="Times New Roman"/>
          <w:color w:val="333333"/>
          <w:sz w:val="24"/>
          <w:szCs w:val="24"/>
        </w:rPr>
        <w:t xml:space="preserve">, </w:t>
      </w:r>
      <w:r w:rsidR="00F9488A" w:rsidRPr="00A31597">
        <w:rPr>
          <w:rFonts w:ascii="Times New Roman" w:eastAsia="Times New Roman" w:hAnsi="Times New Roman" w:cs="Times New Roman"/>
          <w:color w:val="333333"/>
          <w:sz w:val="24"/>
          <w:szCs w:val="24"/>
        </w:rPr>
        <w:t xml:space="preserve">the </w:t>
      </w:r>
      <w:r w:rsidR="00CF20DF" w:rsidRPr="00A31597">
        <w:rPr>
          <w:rFonts w:ascii="Times New Roman" w:eastAsia="Times New Roman" w:hAnsi="Times New Roman" w:cs="Times New Roman"/>
          <w:color w:val="333333"/>
          <w:sz w:val="24"/>
          <w:szCs w:val="24"/>
        </w:rPr>
        <w:t>prevalence rate</w:t>
      </w:r>
      <w:r w:rsidR="0011328F" w:rsidRPr="00A31597">
        <w:rPr>
          <w:rFonts w:ascii="Times New Roman" w:eastAsia="Times New Roman" w:hAnsi="Times New Roman" w:cs="Times New Roman"/>
          <w:color w:val="333333"/>
          <w:sz w:val="24"/>
          <w:szCs w:val="24"/>
        </w:rPr>
        <w:t xml:space="preserve"> of infection per 100,000 persons in the</w:t>
      </w:r>
      <w:r w:rsidR="00460C37" w:rsidRPr="00A31597">
        <w:rPr>
          <w:rFonts w:ascii="Times New Roman" w:eastAsia="Times New Roman" w:hAnsi="Times New Roman" w:cs="Times New Roman"/>
          <w:color w:val="333333"/>
          <w:sz w:val="24"/>
          <w:szCs w:val="24"/>
        </w:rPr>
        <w:t xml:space="preserve"> </w:t>
      </w:r>
      <w:r w:rsidR="00460C37" w:rsidRPr="00A31597">
        <w:rPr>
          <w:rFonts w:ascii="Times New Roman" w:eastAsia="Times New Roman" w:hAnsi="Times New Roman" w:cs="Times New Roman"/>
          <w:color w:val="000000"/>
          <w:sz w:val="24"/>
          <w:szCs w:val="24"/>
        </w:rPr>
        <w:t>&lt;18</w:t>
      </w:r>
      <w:r w:rsidR="00F9488A" w:rsidRPr="00A31597">
        <w:rPr>
          <w:rFonts w:ascii="Times New Roman" w:eastAsia="Times New Roman" w:hAnsi="Times New Roman" w:cs="Times New Roman"/>
          <w:color w:val="000000"/>
          <w:sz w:val="24"/>
          <w:szCs w:val="24"/>
        </w:rPr>
        <w:t>, 19-30, 31-60, and 61</w:t>
      </w:r>
      <w:r w:rsidR="00221B83" w:rsidRPr="00A31597">
        <w:rPr>
          <w:rFonts w:ascii="Times New Roman" w:eastAsia="Times New Roman" w:hAnsi="Times New Roman" w:cs="Times New Roman"/>
          <w:color w:val="000000"/>
          <w:sz w:val="24"/>
          <w:szCs w:val="24"/>
        </w:rPr>
        <w:t>+ age</w:t>
      </w:r>
      <w:r w:rsidR="00CF20DF" w:rsidRPr="00A31597">
        <w:rPr>
          <w:rFonts w:ascii="Times New Roman" w:eastAsia="Times New Roman" w:hAnsi="Times New Roman" w:cs="Times New Roman"/>
          <w:color w:val="000000"/>
          <w:sz w:val="24"/>
          <w:szCs w:val="24"/>
        </w:rPr>
        <w:t xml:space="preserve"> group</w:t>
      </w:r>
      <w:r w:rsidR="00F9488A" w:rsidRPr="00A31597">
        <w:rPr>
          <w:rFonts w:ascii="Times New Roman" w:eastAsia="Times New Roman" w:hAnsi="Times New Roman" w:cs="Times New Roman"/>
          <w:color w:val="000000"/>
          <w:sz w:val="24"/>
          <w:szCs w:val="24"/>
        </w:rPr>
        <w:t>s</w:t>
      </w:r>
      <w:r w:rsidR="0011328F" w:rsidRPr="00A31597">
        <w:rPr>
          <w:rFonts w:ascii="Times New Roman" w:eastAsia="Times New Roman" w:hAnsi="Times New Roman" w:cs="Times New Roman"/>
          <w:color w:val="000000"/>
          <w:sz w:val="24"/>
          <w:szCs w:val="24"/>
        </w:rPr>
        <w:t xml:space="preserve"> would be</w:t>
      </w:r>
      <w:r w:rsidR="00CF20DF" w:rsidRPr="00A31597">
        <w:rPr>
          <w:rFonts w:ascii="Times New Roman" w:eastAsia="Times New Roman" w:hAnsi="Times New Roman" w:cs="Times New Roman"/>
          <w:color w:val="333333"/>
          <w:sz w:val="24"/>
          <w:szCs w:val="24"/>
        </w:rPr>
        <w:t xml:space="preserve"> </w:t>
      </w:r>
      <w:r w:rsidR="0011328F" w:rsidRPr="00A31597">
        <w:rPr>
          <w:rFonts w:ascii="Times New Roman" w:eastAsia="Times New Roman" w:hAnsi="Times New Roman" w:cs="Times New Roman"/>
          <w:color w:val="333333"/>
          <w:sz w:val="24"/>
          <w:szCs w:val="24"/>
        </w:rPr>
        <w:t>2.089</w:t>
      </w:r>
      <w:r w:rsidR="00CF20DF" w:rsidRPr="00A31597">
        <w:rPr>
          <w:rFonts w:ascii="Times New Roman" w:eastAsia="Times New Roman" w:hAnsi="Times New Roman" w:cs="Times New Roman"/>
          <w:color w:val="333333"/>
          <w:sz w:val="24"/>
          <w:szCs w:val="24"/>
        </w:rPr>
        <w:t xml:space="preserve"> </w:t>
      </w:r>
      <w:r w:rsidR="00F9488A" w:rsidRPr="00A31597">
        <w:rPr>
          <w:rFonts w:ascii="Times New Roman" w:eastAsia="Times New Roman" w:hAnsi="Times New Roman" w:cs="Times New Roman"/>
          <w:color w:val="333333"/>
          <w:sz w:val="24"/>
          <w:szCs w:val="24"/>
        </w:rPr>
        <w:t>percent (</w:t>
      </w:r>
      <w:r w:rsidR="00460C37" w:rsidRPr="00A31597">
        <w:rPr>
          <w:rFonts w:ascii="Times New Roman" w:eastAsia="Times New Roman" w:hAnsi="Times New Roman" w:cs="Times New Roman"/>
          <w:color w:val="333333"/>
          <w:sz w:val="24"/>
          <w:szCs w:val="24"/>
        </w:rPr>
        <w:t>2089/</w:t>
      </w:r>
      <w:r w:rsidR="0011328F" w:rsidRPr="00A31597">
        <w:rPr>
          <w:rFonts w:ascii="Times New Roman" w:eastAsia="Times New Roman" w:hAnsi="Times New Roman" w:cs="Times New Roman"/>
          <w:color w:val="333333"/>
          <w:sz w:val="24"/>
          <w:szCs w:val="24"/>
        </w:rPr>
        <w:t>100,000</w:t>
      </w:r>
      <w:r w:rsidR="00CF20DF" w:rsidRPr="00A31597">
        <w:rPr>
          <w:rFonts w:ascii="Times New Roman" w:eastAsia="Times New Roman" w:hAnsi="Times New Roman" w:cs="Times New Roman"/>
          <w:color w:val="333333"/>
          <w:sz w:val="24"/>
          <w:szCs w:val="24"/>
        </w:rPr>
        <w:t>*100)</w:t>
      </w:r>
      <w:r w:rsidR="00F9488A" w:rsidRPr="00A31597">
        <w:rPr>
          <w:rFonts w:ascii="Times New Roman" w:eastAsia="Times New Roman" w:hAnsi="Times New Roman" w:cs="Times New Roman"/>
          <w:color w:val="333333"/>
          <w:sz w:val="24"/>
          <w:szCs w:val="24"/>
        </w:rPr>
        <w:t>,</w:t>
      </w:r>
      <w:r w:rsidR="0011328F" w:rsidRPr="00A31597">
        <w:rPr>
          <w:rFonts w:ascii="Times New Roman" w:eastAsia="Times New Roman" w:hAnsi="Times New Roman" w:cs="Times New Roman"/>
          <w:color w:val="333333"/>
          <w:sz w:val="24"/>
          <w:szCs w:val="24"/>
        </w:rPr>
        <w:t xml:space="preserve"> 0.323</w:t>
      </w:r>
      <w:r w:rsidR="00F9488A" w:rsidRPr="00A31597">
        <w:rPr>
          <w:rFonts w:ascii="Times New Roman" w:eastAsia="Times New Roman" w:hAnsi="Times New Roman" w:cs="Times New Roman"/>
          <w:color w:val="333333"/>
          <w:sz w:val="24"/>
          <w:szCs w:val="24"/>
        </w:rPr>
        <w:t xml:space="preserve"> </w:t>
      </w:r>
      <w:r w:rsidR="00CF20DF" w:rsidRPr="00A31597">
        <w:rPr>
          <w:rFonts w:ascii="Times New Roman" w:eastAsia="Times New Roman" w:hAnsi="Times New Roman" w:cs="Times New Roman"/>
          <w:color w:val="333333"/>
          <w:sz w:val="24"/>
          <w:szCs w:val="24"/>
        </w:rPr>
        <w:t>percent</w:t>
      </w:r>
      <w:r w:rsidR="00F9488A" w:rsidRPr="00A31597">
        <w:rPr>
          <w:rFonts w:ascii="Times New Roman" w:eastAsia="Times New Roman" w:hAnsi="Times New Roman" w:cs="Times New Roman"/>
          <w:color w:val="333333"/>
          <w:sz w:val="24"/>
          <w:szCs w:val="24"/>
        </w:rPr>
        <w:t xml:space="preserve"> (323/</w:t>
      </w:r>
      <w:r w:rsidR="0011328F" w:rsidRPr="00A31597">
        <w:rPr>
          <w:rFonts w:ascii="Times New Roman" w:eastAsia="Times New Roman" w:hAnsi="Times New Roman" w:cs="Times New Roman"/>
          <w:color w:val="333333"/>
          <w:sz w:val="24"/>
          <w:szCs w:val="24"/>
        </w:rPr>
        <w:t>100,000</w:t>
      </w:r>
      <w:r w:rsidR="00F9488A" w:rsidRPr="00A31597">
        <w:rPr>
          <w:rFonts w:ascii="Times New Roman" w:eastAsia="Times New Roman" w:hAnsi="Times New Roman" w:cs="Times New Roman"/>
          <w:color w:val="333333"/>
          <w:sz w:val="24"/>
          <w:szCs w:val="24"/>
        </w:rPr>
        <w:t xml:space="preserve">*100), </w:t>
      </w:r>
      <w:r w:rsidR="0011328F" w:rsidRPr="00A31597">
        <w:rPr>
          <w:rFonts w:ascii="Times New Roman" w:eastAsia="Times New Roman" w:hAnsi="Times New Roman" w:cs="Times New Roman"/>
          <w:color w:val="333333"/>
          <w:sz w:val="24"/>
          <w:szCs w:val="24"/>
        </w:rPr>
        <w:t xml:space="preserve">0.809 </w:t>
      </w:r>
      <w:r w:rsidR="00221B83" w:rsidRPr="00A31597">
        <w:rPr>
          <w:rFonts w:ascii="Times New Roman" w:eastAsia="Times New Roman" w:hAnsi="Times New Roman" w:cs="Times New Roman"/>
          <w:color w:val="333333"/>
          <w:sz w:val="24"/>
          <w:szCs w:val="24"/>
        </w:rPr>
        <w:t>percent (809/</w:t>
      </w:r>
      <w:r w:rsidR="0011328F" w:rsidRPr="00A31597">
        <w:rPr>
          <w:rFonts w:ascii="Times New Roman" w:eastAsia="Times New Roman" w:hAnsi="Times New Roman" w:cs="Times New Roman"/>
          <w:color w:val="333333"/>
          <w:sz w:val="24"/>
          <w:szCs w:val="24"/>
        </w:rPr>
        <w:t>100,000</w:t>
      </w:r>
      <w:r w:rsidR="00221B83" w:rsidRPr="00A31597">
        <w:rPr>
          <w:rFonts w:ascii="Times New Roman" w:eastAsia="Times New Roman" w:hAnsi="Times New Roman" w:cs="Times New Roman"/>
          <w:color w:val="333333"/>
          <w:sz w:val="24"/>
          <w:szCs w:val="24"/>
        </w:rPr>
        <w:t>*100)</w:t>
      </w:r>
      <w:r w:rsidR="0011328F" w:rsidRPr="00A31597">
        <w:rPr>
          <w:rFonts w:ascii="Times New Roman" w:eastAsia="Times New Roman" w:hAnsi="Times New Roman" w:cs="Times New Roman"/>
          <w:color w:val="333333"/>
          <w:sz w:val="24"/>
          <w:szCs w:val="24"/>
        </w:rPr>
        <w:t>,</w:t>
      </w:r>
      <w:r w:rsidR="00221B83" w:rsidRPr="00A31597">
        <w:rPr>
          <w:rFonts w:ascii="Times New Roman" w:eastAsia="Times New Roman" w:hAnsi="Times New Roman" w:cs="Times New Roman"/>
          <w:color w:val="333333"/>
          <w:sz w:val="24"/>
          <w:szCs w:val="24"/>
        </w:rPr>
        <w:t xml:space="preserve"> and </w:t>
      </w:r>
      <w:r w:rsidR="0011328F" w:rsidRPr="00A31597">
        <w:rPr>
          <w:rFonts w:ascii="Times New Roman" w:eastAsia="Times New Roman" w:hAnsi="Times New Roman" w:cs="Times New Roman"/>
          <w:color w:val="333333"/>
          <w:sz w:val="24"/>
          <w:szCs w:val="24"/>
        </w:rPr>
        <w:t xml:space="preserve">1.731 </w:t>
      </w:r>
      <w:r w:rsidR="00221B83" w:rsidRPr="00A31597">
        <w:rPr>
          <w:rFonts w:ascii="Times New Roman" w:eastAsia="Times New Roman" w:hAnsi="Times New Roman" w:cs="Times New Roman"/>
          <w:color w:val="333333"/>
          <w:sz w:val="24"/>
          <w:szCs w:val="24"/>
        </w:rPr>
        <w:t>percent (1731/</w:t>
      </w:r>
      <w:r w:rsidR="0011328F" w:rsidRPr="00A31597">
        <w:rPr>
          <w:rFonts w:ascii="Times New Roman" w:eastAsia="Times New Roman" w:hAnsi="Times New Roman" w:cs="Times New Roman"/>
          <w:color w:val="333333"/>
          <w:sz w:val="24"/>
          <w:szCs w:val="24"/>
        </w:rPr>
        <w:t>100,000</w:t>
      </w:r>
      <w:r w:rsidR="00221B83" w:rsidRPr="00A31597">
        <w:rPr>
          <w:rFonts w:ascii="Times New Roman" w:eastAsia="Times New Roman" w:hAnsi="Times New Roman" w:cs="Times New Roman"/>
          <w:color w:val="333333"/>
          <w:sz w:val="24"/>
          <w:szCs w:val="24"/>
        </w:rPr>
        <w:t>*100) respectively.</w:t>
      </w:r>
      <w:r w:rsidR="0011328F" w:rsidRPr="00A31597">
        <w:rPr>
          <w:rFonts w:ascii="Times New Roman" w:eastAsia="Times New Roman" w:hAnsi="Times New Roman" w:cs="Times New Roman"/>
          <w:color w:val="333333"/>
          <w:sz w:val="24"/>
          <w:szCs w:val="24"/>
        </w:rPr>
        <w:t xml:space="preserve"> </w:t>
      </w:r>
    </w:p>
    <w:p w14:paraId="5F6B89A3" w14:textId="025B7A43" w:rsidR="00C21FE5" w:rsidRPr="00A31597" w:rsidRDefault="00C21FE5" w:rsidP="00066DB5">
      <w:pPr>
        <w:spacing w:before="100" w:beforeAutospacing="1" w:after="100" w:afterAutospacing="1" w:line="480" w:lineRule="auto"/>
        <w:rPr>
          <w:rFonts w:ascii="Times New Roman" w:eastAsia="Times New Roman" w:hAnsi="Times New Roman" w:cs="Times New Roman"/>
          <w:b/>
          <w:color w:val="333333"/>
          <w:sz w:val="24"/>
          <w:szCs w:val="24"/>
        </w:rPr>
      </w:pPr>
      <w:r w:rsidRPr="00C21FE5">
        <w:rPr>
          <w:rFonts w:ascii="Times New Roman" w:eastAsia="Times New Roman" w:hAnsi="Times New Roman" w:cs="Times New Roman"/>
          <w:b/>
          <w:color w:val="333333"/>
          <w:sz w:val="24"/>
          <w:szCs w:val="24"/>
        </w:rPr>
        <w:t>What else can be deduced after evaluating the chart?</w:t>
      </w:r>
    </w:p>
    <w:p w14:paraId="7A472ADA" w14:textId="77777777" w:rsidR="00A31597" w:rsidRPr="00A31597" w:rsidRDefault="001B4A53" w:rsidP="00A31597">
      <w:pPr>
        <w:spacing w:before="100" w:beforeAutospacing="1" w:after="100" w:afterAutospacing="1" w:line="480" w:lineRule="auto"/>
        <w:ind w:firstLine="720"/>
        <w:rPr>
          <w:rFonts w:ascii="Times New Roman" w:eastAsia="Times New Roman" w:hAnsi="Times New Roman" w:cs="Times New Roman"/>
          <w:color w:val="000000"/>
          <w:sz w:val="24"/>
          <w:szCs w:val="24"/>
        </w:rPr>
      </w:pPr>
      <w:r w:rsidRPr="00A31597">
        <w:rPr>
          <w:rFonts w:ascii="Times New Roman" w:eastAsia="Times New Roman" w:hAnsi="Times New Roman" w:cs="Times New Roman"/>
          <w:color w:val="333333"/>
          <w:sz w:val="24"/>
          <w:szCs w:val="24"/>
        </w:rPr>
        <w:t>From the bar chart, the infection data in most of the age</w:t>
      </w:r>
      <w:r w:rsidR="00B51006" w:rsidRPr="00A31597">
        <w:rPr>
          <w:rFonts w:ascii="Times New Roman" w:eastAsia="Times New Roman" w:hAnsi="Times New Roman" w:cs="Times New Roman"/>
          <w:color w:val="333333"/>
          <w:sz w:val="24"/>
          <w:szCs w:val="24"/>
        </w:rPr>
        <w:t xml:space="preserve"> </w:t>
      </w:r>
      <w:r w:rsidRPr="00A31597">
        <w:rPr>
          <w:rFonts w:ascii="Times New Roman" w:eastAsia="Times New Roman" w:hAnsi="Times New Roman" w:cs="Times New Roman"/>
          <w:color w:val="333333"/>
          <w:sz w:val="24"/>
          <w:szCs w:val="24"/>
        </w:rPr>
        <w:t>groups lies within the lower hinge. The lower hinge includes the lower half of the data, including the median figure.</w:t>
      </w:r>
      <w:r w:rsidR="00493D07" w:rsidRPr="00A31597">
        <w:rPr>
          <w:rFonts w:ascii="Times New Roman" w:eastAsia="Times New Roman" w:hAnsi="Times New Roman" w:cs="Times New Roman"/>
          <w:color w:val="333333"/>
          <w:sz w:val="24"/>
          <w:szCs w:val="24"/>
        </w:rPr>
        <w:t xml:space="preserve"> In addition, some extreme outlier figures </w:t>
      </w:r>
      <w:r w:rsidR="00E0740E" w:rsidRPr="00A31597">
        <w:rPr>
          <w:rFonts w:ascii="Times New Roman" w:eastAsia="Times New Roman" w:hAnsi="Times New Roman" w:cs="Times New Roman"/>
          <w:color w:val="333333"/>
          <w:sz w:val="24"/>
          <w:szCs w:val="24"/>
        </w:rPr>
        <w:t xml:space="preserve">can </w:t>
      </w:r>
      <w:r w:rsidR="00493D07" w:rsidRPr="00A31597">
        <w:rPr>
          <w:rFonts w:ascii="Times New Roman" w:eastAsia="Times New Roman" w:hAnsi="Times New Roman" w:cs="Times New Roman"/>
          <w:color w:val="333333"/>
          <w:sz w:val="24"/>
          <w:szCs w:val="24"/>
        </w:rPr>
        <w:t xml:space="preserve">be identified in the infection data. For example, the infection rate figure in the </w:t>
      </w:r>
      <w:r w:rsidR="00493D07" w:rsidRPr="00A31597">
        <w:rPr>
          <w:rFonts w:ascii="Times New Roman" w:eastAsia="Times New Roman" w:hAnsi="Times New Roman" w:cs="Times New Roman"/>
          <w:color w:val="000000"/>
          <w:sz w:val="24"/>
          <w:szCs w:val="24"/>
        </w:rPr>
        <w:t>&lt;18 population subgroup in Miami and Austin</w:t>
      </w:r>
      <w:r w:rsidR="00493D07" w:rsidRPr="00A31597">
        <w:rPr>
          <w:rFonts w:ascii="Times New Roman" w:eastAsia="Times New Roman" w:hAnsi="Times New Roman" w:cs="Times New Roman"/>
          <w:color w:val="333333"/>
          <w:sz w:val="24"/>
          <w:szCs w:val="24"/>
        </w:rPr>
        <w:t xml:space="preserve"> lies in the 75</w:t>
      </w:r>
      <w:r w:rsidR="00493D07" w:rsidRPr="00A31597">
        <w:rPr>
          <w:rFonts w:ascii="Times New Roman" w:eastAsia="Times New Roman" w:hAnsi="Times New Roman" w:cs="Times New Roman"/>
          <w:color w:val="333333"/>
          <w:sz w:val="24"/>
          <w:szCs w:val="24"/>
          <w:vertAlign w:val="superscript"/>
        </w:rPr>
        <w:t>th</w:t>
      </w:r>
      <w:r w:rsidR="00493D07" w:rsidRPr="00A31597">
        <w:rPr>
          <w:rFonts w:ascii="Times New Roman" w:eastAsia="Times New Roman" w:hAnsi="Times New Roman" w:cs="Times New Roman"/>
          <w:color w:val="333333"/>
          <w:sz w:val="24"/>
          <w:szCs w:val="24"/>
        </w:rPr>
        <w:t xml:space="preserve"> percentile and is figuratively three times the interquartile range above the third quartile. </w:t>
      </w:r>
      <w:r w:rsidR="00E32721" w:rsidRPr="00A31597">
        <w:rPr>
          <w:rFonts w:ascii="Times New Roman" w:eastAsia="Times New Roman" w:hAnsi="Times New Roman" w:cs="Times New Roman"/>
          <w:color w:val="333333"/>
          <w:sz w:val="24"/>
          <w:szCs w:val="24"/>
        </w:rPr>
        <w:t xml:space="preserve">The prevalence and infection rates are is considerably low in most of the cities. </w:t>
      </w:r>
      <w:r w:rsidR="00E0740E" w:rsidRPr="00A31597">
        <w:rPr>
          <w:rFonts w:ascii="Times New Roman" w:eastAsia="Times New Roman" w:hAnsi="Times New Roman" w:cs="Times New Roman"/>
          <w:color w:val="333333"/>
          <w:sz w:val="24"/>
          <w:szCs w:val="24"/>
        </w:rPr>
        <w:t xml:space="preserve">The disease burden is unevenly distributed across the </w:t>
      </w:r>
      <w:r w:rsidR="00B51006" w:rsidRPr="00A31597">
        <w:rPr>
          <w:rFonts w:ascii="Times New Roman" w:eastAsia="Times New Roman" w:hAnsi="Times New Roman" w:cs="Times New Roman"/>
          <w:color w:val="333333"/>
          <w:sz w:val="24"/>
          <w:szCs w:val="24"/>
        </w:rPr>
        <w:t>cities. The</w:t>
      </w:r>
      <w:r w:rsidR="00E32721" w:rsidRPr="00A31597">
        <w:rPr>
          <w:rFonts w:ascii="Times New Roman" w:eastAsia="Times New Roman" w:hAnsi="Times New Roman" w:cs="Times New Roman"/>
          <w:color w:val="333333"/>
          <w:sz w:val="24"/>
          <w:szCs w:val="24"/>
        </w:rPr>
        <w:t xml:space="preserve"> burden of disease in most cities i</w:t>
      </w:r>
      <w:r w:rsidR="00A31597" w:rsidRPr="00A31597">
        <w:rPr>
          <w:rFonts w:ascii="Times New Roman" w:eastAsia="Times New Roman" w:hAnsi="Times New Roman" w:cs="Times New Roman"/>
          <w:color w:val="333333"/>
          <w:sz w:val="24"/>
          <w:szCs w:val="24"/>
        </w:rPr>
        <w:t>s</w:t>
      </w:r>
      <w:r w:rsidR="00E32721" w:rsidRPr="00A31597">
        <w:rPr>
          <w:rFonts w:ascii="Times New Roman" w:eastAsia="Times New Roman" w:hAnsi="Times New Roman" w:cs="Times New Roman"/>
          <w:color w:val="333333"/>
          <w:sz w:val="24"/>
          <w:szCs w:val="24"/>
        </w:rPr>
        <w:t xml:space="preserve"> considerably high in the </w:t>
      </w:r>
      <w:r w:rsidR="00E32721" w:rsidRPr="00A31597">
        <w:rPr>
          <w:rFonts w:ascii="Times New Roman" w:eastAsia="Times New Roman" w:hAnsi="Times New Roman" w:cs="Times New Roman"/>
          <w:color w:val="000000"/>
          <w:sz w:val="24"/>
          <w:szCs w:val="24"/>
        </w:rPr>
        <w:t>&lt;18 population subgroup</w:t>
      </w:r>
      <w:r w:rsidR="00B51006" w:rsidRPr="00A31597">
        <w:rPr>
          <w:rFonts w:ascii="Times New Roman" w:eastAsia="Times New Roman" w:hAnsi="Times New Roman" w:cs="Times New Roman"/>
          <w:color w:val="000000"/>
          <w:sz w:val="24"/>
          <w:szCs w:val="24"/>
        </w:rPr>
        <w:t xml:space="preserve"> and low in the 31-60 population subgroup.</w:t>
      </w:r>
    </w:p>
    <w:p w14:paraId="229E4353" w14:textId="77777777" w:rsidR="00A31597" w:rsidRPr="00A31597" w:rsidRDefault="00A31597" w:rsidP="00A31597">
      <w:pPr>
        <w:spacing w:line="480" w:lineRule="auto"/>
        <w:rPr>
          <w:rFonts w:ascii="Times New Roman" w:eastAsia="Times New Roman" w:hAnsi="Times New Roman" w:cs="Times New Roman"/>
          <w:color w:val="000000"/>
          <w:sz w:val="24"/>
          <w:szCs w:val="24"/>
        </w:rPr>
      </w:pPr>
      <w:r w:rsidRPr="00A31597">
        <w:rPr>
          <w:rFonts w:ascii="Times New Roman" w:eastAsia="Times New Roman" w:hAnsi="Times New Roman" w:cs="Times New Roman"/>
          <w:color w:val="000000"/>
          <w:sz w:val="24"/>
          <w:szCs w:val="24"/>
        </w:rPr>
        <w:br w:type="page"/>
      </w:r>
    </w:p>
    <w:p w14:paraId="6FBF1B2B" w14:textId="1743E469" w:rsidR="00A31597" w:rsidRPr="00A31597" w:rsidRDefault="00A31597" w:rsidP="00066DB5">
      <w:pPr>
        <w:spacing w:before="100" w:beforeAutospacing="1" w:after="100" w:afterAutospacing="1" w:line="480" w:lineRule="auto"/>
        <w:jc w:val="center"/>
        <w:rPr>
          <w:rFonts w:ascii="Times New Roman" w:eastAsia="Times New Roman" w:hAnsi="Times New Roman" w:cs="Times New Roman"/>
          <w:color w:val="000000"/>
          <w:sz w:val="24"/>
          <w:szCs w:val="24"/>
        </w:rPr>
      </w:pPr>
      <w:r w:rsidRPr="00A31597">
        <w:rPr>
          <w:rFonts w:ascii="Times New Roman" w:eastAsia="Times New Roman" w:hAnsi="Times New Roman" w:cs="Times New Roman"/>
          <w:color w:val="333333"/>
          <w:sz w:val="24"/>
          <w:szCs w:val="24"/>
        </w:rPr>
        <w:lastRenderedPageBreak/>
        <w:t>References</w:t>
      </w:r>
    </w:p>
    <w:p w14:paraId="267D2264" w14:textId="4449A4A2" w:rsidR="00A31597" w:rsidRPr="00A31597" w:rsidRDefault="00A31597" w:rsidP="00A31597">
      <w:pPr>
        <w:widowControl w:val="0"/>
        <w:autoSpaceDE w:val="0"/>
        <w:autoSpaceDN w:val="0"/>
        <w:adjustRightInd w:val="0"/>
        <w:spacing w:before="100" w:after="100" w:line="480" w:lineRule="auto"/>
        <w:ind w:left="480" w:hanging="480"/>
        <w:rPr>
          <w:rFonts w:ascii="Times New Roman" w:hAnsi="Times New Roman" w:cs="Times New Roman"/>
          <w:noProof/>
          <w:sz w:val="24"/>
          <w:szCs w:val="24"/>
        </w:rPr>
      </w:pPr>
      <w:r w:rsidRPr="00A31597">
        <w:rPr>
          <w:rFonts w:ascii="Times New Roman" w:eastAsia="Times New Roman" w:hAnsi="Times New Roman" w:cs="Times New Roman"/>
          <w:color w:val="333333"/>
          <w:sz w:val="24"/>
          <w:szCs w:val="24"/>
        </w:rPr>
        <w:fldChar w:fldCharType="begin" w:fldLock="1"/>
      </w:r>
      <w:r w:rsidRPr="00A31597">
        <w:rPr>
          <w:rFonts w:ascii="Times New Roman" w:eastAsia="Times New Roman" w:hAnsi="Times New Roman" w:cs="Times New Roman"/>
          <w:color w:val="333333"/>
          <w:sz w:val="24"/>
          <w:szCs w:val="24"/>
        </w:rPr>
        <w:instrText xml:space="preserve">ADDIN Mendeley Bibliography CSL_BIBLIOGRAPHY </w:instrText>
      </w:r>
      <w:r w:rsidRPr="00A31597">
        <w:rPr>
          <w:rFonts w:ascii="Times New Roman" w:eastAsia="Times New Roman" w:hAnsi="Times New Roman" w:cs="Times New Roman"/>
          <w:color w:val="333333"/>
          <w:sz w:val="24"/>
          <w:szCs w:val="24"/>
        </w:rPr>
        <w:fldChar w:fldCharType="separate"/>
      </w:r>
      <w:r w:rsidRPr="00A31597">
        <w:rPr>
          <w:rFonts w:ascii="Times New Roman" w:hAnsi="Times New Roman" w:cs="Times New Roman"/>
          <w:noProof/>
          <w:sz w:val="24"/>
          <w:szCs w:val="24"/>
        </w:rPr>
        <w:t xml:space="preserve">Spronk, I., Korevaar, J. C., Poos, R., Davids, R., Hilderink, H., Schellevis, F. G., Verheij, R. A., &amp; Nielen, M. M. J. (2019). Calculating incidence rates and prevalence proportions: Not as simple as it seems. </w:t>
      </w:r>
      <w:r w:rsidRPr="00A31597">
        <w:rPr>
          <w:rFonts w:ascii="Times New Roman" w:hAnsi="Times New Roman" w:cs="Times New Roman"/>
          <w:i/>
          <w:iCs/>
          <w:noProof/>
          <w:sz w:val="24"/>
          <w:szCs w:val="24"/>
        </w:rPr>
        <w:t>BMC Public Health</w:t>
      </w:r>
      <w:r w:rsidRPr="00A31597">
        <w:rPr>
          <w:rFonts w:ascii="Times New Roman" w:hAnsi="Times New Roman" w:cs="Times New Roman"/>
          <w:noProof/>
          <w:sz w:val="24"/>
          <w:szCs w:val="24"/>
        </w:rPr>
        <w:t xml:space="preserve">, </w:t>
      </w:r>
      <w:r w:rsidRPr="00A31597">
        <w:rPr>
          <w:rFonts w:ascii="Times New Roman" w:hAnsi="Times New Roman" w:cs="Times New Roman"/>
          <w:i/>
          <w:iCs/>
          <w:noProof/>
          <w:sz w:val="24"/>
          <w:szCs w:val="24"/>
        </w:rPr>
        <w:t>19</w:t>
      </w:r>
      <w:r w:rsidRPr="00A31597">
        <w:rPr>
          <w:rFonts w:ascii="Times New Roman" w:hAnsi="Times New Roman" w:cs="Times New Roman"/>
          <w:noProof/>
          <w:sz w:val="24"/>
          <w:szCs w:val="24"/>
        </w:rPr>
        <w:t>(1). https://doi.org/10.1186/s12889-019-6820-3</w:t>
      </w:r>
    </w:p>
    <w:p w14:paraId="16412CCA" w14:textId="0D95BB93" w:rsidR="00A31597" w:rsidRPr="00A31597" w:rsidRDefault="00A31597" w:rsidP="00A31597">
      <w:pPr>
        <w:spacing w:before="100" w:beforeAutospacing="1" w:after="100" w:afterAutospacing="1" w:line="480" w:lineRule="auto"/>
        <w:rPr>
          <w:rFonts w:ascii="Times New Roman" w:eastAsia="Times New Roman" w:hAnsi="Times New Roman" w:cs="Times New Roman"/>
          <w:color w:val="333333"/>
          <w:sz w:val="24"/>
          <w:szCs w:val="24"/>
        </w:rPr>
      </w:pPr>
      <w:r w:rsidRPr="00A31597">
        <w:rPr>
          <w:rFonts w:ascii="Times New Roman" w:eastAsia="Times New Roman" w:hAnsi="Times New Roman" w:cs="Times New Roman"/>
          <w:color w:val="333333"/>
          <w:sz w:val="24"/>
          <w:szCs w:val="24"/>
        </w:rPr>
        <w:fldChar w:fldCharType="end"/>
      </w:r>
    </w:p>
    <w:p w14:paraId="02D6B7F2" w14:textId="77777777" w:rsidR="005D3159" w:rsidRPr="00A31597" w:rsidRDefault="005D3159" w:rsidP="00A31597">
      <w:pPr>
        <w:spacing w:before="100" w:beforeAutospacing="1" w:after="100" w:afterAutospacing="1" w:line="480" w:lineRule="auto"/>
        <w:rPr>
          <w:rFonts w:ascii="Times New Roman" w:eastAsia="Times New Roman" w:hAnsi="Times New Roman" w:cs="Times New Roman"/>
          <w:color w:val="333333"/>
          <w:sz w:val="24"/>
          <w:szCs w:val="24"/>
        </w:rPr>
      </w:pPr>
    </w:p>
    <w:p w14:paraId="2DD995F2" w14:textId="77777777" w:rsidR="00221B83" w:rsidRPr="00A31597" w:rsidRDefault="00221B83" w:rsidP="00A31597">
      <w:pPr>
        <w:spacing w:before="100" w:beforeAutospacing="1" w:after="100" w:afterAutospacing="1" w:line="480" w:lineRule="auto"/>
        <w:rPr>
          <w:rFonts w:ascii="Times New Roman" w:eastAsia="Times New Roman" w:hAnsi="Times New Roman" w:cs="Times New Roman"/>
          <w:color w:val="333333"/>
          <w:sz w:val="24"/>
          <w:szCs w:val="24"/>
        </w:rPr>
      </w:pPr>
    </w:p>
    <w:p w14:paraId="0401D4D5" w14:textId="77777777" w:rsidR="00221B83" w:rsidRPr="00C21FE5" w:rsidRDefault="00221B83" w:rsidP="00A31597">
      <w:pPr>
        <w:spacing w:before="100" w:beforeAutospacing="1" w:after="100" w:afterAutospacing="1" w:line="480" w:lineRule="auto"/>
        <w:rPr>
          <w:rFonts w:ascii="Times New Roman" w:eastAsia="Times New Roman" w:hAnsi="Times New Roman" w:cs="Times New Roman"/>
          <w:color w:val="333333"/>
          <w:sz w:val="24"/>
          <w:szCs w:val="24"/>
        </w:rPr>
      </w:pPr>
    </w:p>
    <w:p w14:paraId="3B8C218F" w14:textId="77777777" w:rsidR="0091302F" w:rsidRPr="00A31597" w:rsidRDefault="0091302F" w:rsidP="00A31597">
      <w:pPr>
        <w:spacing w:line="480" w:lineRule="auto"/>
        <w:rPr>
          <w:rFonts w:ascii="Times New Roman" w:hAnsi="Times New Roman" w:cs="Times New Roman"/>
          <w:sz w:val="24"/>
          <w:szCs w:val="24"/>
        </w:rPr>
      </w:pPr>
      <w:bookmarkStart w:id="0" w:name="_GoBack"/>
      <w:bookmarkEnd w:id="0"/>
    </w:p>
    <w:sectPr w:rsidR="0091302F" w:rsidRPr="00A31597" w:rsidSect="00F26613">
      <w:headerReference w:type="default" r:id="rId10"/>
      <w:headerReference w:type="first" r:id="rId11"/>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88AC5C" w14:textId="77777777" w:rsidR="009C7537" w:rsidRDefault="009C7537" w:rsidP="00A31597">
      <w:pPr>
        <w:spacing w:after="0" w:line="240" w:lineRule="auto"/>
      </w:pPr>
      <w:r>
        <w:separator/>
      </w:r>
    </w:p>
  </w:endnote>
  <w:endnote w:type="continuationSeparator" w:id="0">
    <w:p w14:paraId="5F23B243" w14:textId="77777777" w:rsidR="009C7537" w:rsidRDefault="009C7537" w:rsidP="00A315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30570E" w14:textId="77777777" w:rsidR="009C7537" w:rsidRDefault="009C7537" w:rsidP="00A31597">
      <w:pPr>
        <w:spacing w:after="0" w:line="240" w:lineRule="auto"/>
      </w:pPr>
      <w:r>
        <w:separator/>
      </w:r>
    </w:p>
  </w:footnote>
  <w:footnote w:type="continuationSeparator" w:id="0">
    <w:p w14:paraId="4A950A00" w14:textId="77777777" w:rsidR="009C7537" w:rsidRDefault="009C7537" w:rsidP="00A3159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BE6BC3" w14:textId="34694BBC" w:rsidR="00A31597" w:rsidRDefault="00F26613">
    <w:pPr>
      <w:pStyle w:val="Header"/>
    </w:pPr>
    <w:r w:rsidRPr="00F26613">
      <w:rPr>
        <w:rFonts w:ascii="Times New Roman" w:hAnsi="Times New Roman" w:cs="Times New Roman"/>
        <w:sz w:val="24"/>
      </w:rPr>
      <w:t>LEVERAGING INFORMATICS IN HEALTH CARE SECTOR</w:t>
    </w:r>
    <w:r w:rsidR="00A31597">
      <w:tab/>
    </w:r>
    <w:r w:rsidR="00A31597">
      <w:tab/>
    </w:r>
    <w:r w:rsidR="00A31597" w:rsidRPr="00A31597">
      <w:fldChar w:fldCharType="begin"/>
    </w:r>
    <w:r w:rsidR="00A31597" w:rsidRPr="00A31597">
      <w:instrText xml:space="preserve"> PAGE   \* MERGEFORMAT </w:instrText>
    </w:r>
    <w:r w:rsidR="00A31597" w:rsidRPr="00A31597">
      <w:fldChar w:fldCharType="separate"/>
    </w:r>
    <w:r>
      <w:rPr>
        <w:noProof/>
      </w:rPr>
      <w:t>4</w:t>
    </w:r>
    <w:r w:rsidR="00A31597" w:rsidRPr="00A31597">
      <w:rPr>
        <w:noProof/>
      </w:rPr>
      <w:fldChar w:fldCharType="end"/>
    </w:r>
  </w:p>
  <w:p w14:paraId="5E20F247" w14:textId="77777777" w:rsidR="00A31597" w:rsidRDefault="00A3159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08D649" w14:textId="46CF85CB" w:rsidR="00F26613" w:rsidRPr="00F26613" w:rsidRDefault="00F26613">
    <w:pPr>
      <w:pStyle w:val="Header"/>
      <w:jc w:val="right"/>
      <w:rPr>
        <w:rFonts w:ascii="Times New Roman" w:hAnsi="Times New Roman" w:cs="Times New Roman"/>
        <w:sz w:val="24"/>
      </w:rPr>
    </w:pPr>
    <w:r w:rsidRPr="00F26613">
      <w:rPr>
        <w:rFonts w:ascii="Times New Roman" w:hAnsi="Times New Roman" w:cs="Times New Roman"/>
        <w:sz w:val="24"/>
      </w:rPr>
      <w:t xml:space="preserve">Running Head: LEVERAGING INFORMATICS IN HEALTH CARE SECTOR </w:t>
    </w:r>
    <w:r w:rsidRPr="00F26613">
      <w:rPr>
        <w:rFonts w:ascii="Times New Roman" w:hAnsi="Times New Roman" w:cs="Times New Roman"/>
        <w:sz w:val="24"/>
      </w:rPr>
      <w:tab/>
    </w:r>
    <w:sdt>
      <w:sdtPr>
        <w:rPr>
          <w:rFonts w:ascii="Times New Roman" w:hAnsi="Times New Roman" w:cs="Times New Roman"/>
          <w:sz w:val="24"/>
        </w:rPr>
        <w:id w:val="-477220519"/>
        <w:docPartObj>
          <w:docPartGallery w:val="Page Numbers (Top of Page)"/>
          <w:docPartUnique/>
        </w:docPartObj>
      </w:sdtPr>
      <w:sdtEndPr>
        <w:rPr>
          <w:noProof/>
        </w:rPr>
      </w:sdtEndPr>
      <w:sdtContent>
        <w:r w:rsidRPr="00F26613">
          <w:rPr>
            <w:rFonts w:ascii="Times New Roman" w:hAnsi="Times New Roman" w:cs="Times New Roman"/>
            <w:sz w:val="24"/>
          </w:rPr>
          <w:fldChar w:fldCharType="begin"/>
        </w:r>
        <w:r w:rsidRPr="00F26613">
          <w:rPr>
            <w:rFonts w:ascii="Times New Roman" w:hAnsi="Times New Roman" w:cs="Times New Roman"/>
            <w:sz w:val="24"/>
          </w:rPr>
          <w:instrText xml:space="preserve"> PAGE   \* MERGEFORMAT </w:instrText>
        </w:r>
        <w:r w:rsidRPr="00F26613">
          <w:rPr>
            <w:rFonts w:ascii="Times New Roman" w:hAnsi="Times New Roman" w:cs="Times New Roman"/>
            <w:sz w:val="24"/>
          </w:rPr>
          <w:fldChar w:fldCharType="separate"/>
        </w:r>
        <w:r>
          <w:rPr>
            <w:rFonts w:ascii="Times New Roman" w:hAnsi="Times New Roman" w:cs="Times New Roman"/>
            <w:noProof/>
            <w:sz w:val="24"/>
          </w:rPr>
          <w:t>1</w:t>
        </w:r>
        <w:r w:rsidRPr="00F26613">
          <w:rPr>
            <w:rFonts w:ascii="Times New Roman" w:hAnsi="Times New Roman" w:cs="Times New Roman"/>
            <w:noProof/>
            <w:sz w:val="24"/>
          </w:rPr>
          <w:fldChar w:fldCharType="end"/>
        </w:r>
      </w:sdtContent>
    </w:sdt>
  </w:p>
  <w:p w14:paraId="4F2E1B69" w14:textId="77777777" w:rsidR="00F26613" w:rsidRDefault="00F2661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AC6EE3"/>
    <w:multiLevelType w:val="multilevel"/>
    <w:tmpl w:val="7324B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zGzMDUxszQ0MjIzMzdU0lEKTi0uzszPAykwrAUA5FlksywAAAA="/>
  </w:docVars>
  <w:rsids>
    <w:rsidRoot w:val="00C21FE5"/>
    <w:rsid w:val="00066DB5"/>
    <w:rsid w:val="0011328F"/>
    <w:rsid w:val="001B4A53"/>
    <w:rsid w:val="00221B83"/>
    <w:rsid w:val="00255FDD"/>
    <w:rsid w:val="00274252"/>
    <w:rsid w:val="00307ABD"/>
    <w:rsid w:val="00460C37"/>
    <w:rsid w:val="00493D07"/>
    <w:rsid w:val="005D3159"/>
    <w:rsid w:val="0063142C"/>
    <w:rsid w:val="0091302F"/>
    <w:rsid w:val="009C7537"/>
    <w:rsid w:val="00A31597"/>
    <w:rsid w:val="00B46820"/>
    <w:rsid w:val="00B51006"/>
    <w:rsid w:val="00BD7FAA"/>
    <w:rsid w:val="00C21FE5"/>
    <w:rsid w:val="00CB2409"/>
    <w:rsid w:val="00CF20DF"/>
    <w:rsid w:val="00E0740E"/>
    <w:rsid w:val="00E32721"/>
    <w:rsid w:val="00F26613"/>
    <w:rsid w:val="00F948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85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15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1597"/>
  </w:style>
  <w:style w:type="paragraph" w:styleId="Footer">
    <w:name w:val="footer"/>
    <w:basedOn w:val="Normal"/>
    <w:link w:val="FooterChar"/>
    <w:uiPriority w:val="99"/>
    <w:unhideWhenUsed/>
    <w:rsid w:val="00A315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1597"/>
  </w:style>
  <w:style w:type="paragraph" w:styleId="BalloonText">
    <w:name w:val="Balloon Text"/>
    <w:basedOn w:val="Normal"/>
    <w:link w:val="BalloonTextChar"/>
    <w:uiPriority w:val="99"/>
    <w:semiHidden/>
    <w:unhideWhenUsed/>
    <w:rsid w:val="00066D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6DB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15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1597"/>
  </w:style>
  <w:style w:type="paragraph" w:styleId="Footer">
    <w:name w:val="footer"/>
    <w:basedOn w:val="Normal"/>
    <w:link w:val="FooterChar"/>
    <w:uiPriority w:val="99"/>
    <w:unhideWhenUsed/>
    <w:rsid w:val="00A315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1597"/>
  </w:style>
  <w:style w:type="paragraph" w:styleId="BalloonText">
    <w:name w:val="Balloon Text"/>
    <w:basedOn w:val="Normal"/>
    <w:link w:val="BalloonTextChar"/>
    <w:uiPriority w:val="99"/>
    <w:semiHidden/>
    <w:unhideWhenUsed/>
    <w:rsid w:val="00066DB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6DB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9510544">
      <w:bodyDiv w:val="1"/>
      <w:marLeft w:val="0"/>
      <w:marRight w:val="0"/>
      <w:marTop w:val="0"/>
      <w:marBottom w:val="0"/>
      <w:divBdr>
        <w:top w:val="none" w:sz="0" w:space="0" w:color="auto"/>
        <w:left w:val="none" w:sz="0" w:space="0" w:color="auto"/>
        <w:bottom w:val="none" w:sz="0" w:space="0" w:color="auto"/>
        <w:right w:val="none" w:sz="0" w:space="0" w:color="auto"/>
      </w:divBdr>
    </w:div>
    <w:div w:id="895823298">
      <w:bodyDiv w:val="1"/>
      <w:marLeft w:val="0"/>
      <w:marRight w:val="0"/>
      <w:marTop w:val="0"/>
      <w:marBottom w:val="0"/>
      <w:divBdr>
        <w:top w:val="none" w:sz="0" w:space="0" w:color="auto"/>
        <w:left w:val="none" w:sz="0" w:space="0" w:color="auto"/>
        <w:bottom w:val="none" w:sz="0" w:space="0" w:color="auto"/>
        <w:right w:val="none" w:sz="0" w:space="0" w:color="auto"/>
      </w:divBdr>
    </w:div>
    <w:div w:id="12690443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JOSEPH\Desktop\Graph--.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'[Graph--.xlsx]Sheet3'!$B$1</c:f>
              <c:strCache>
                <c:ptCount val="1"/>
                <c:pt idx="0">
                  <c:v>&lt;18 </c:v>
                </c:pt>
              </c:strCache>
            </c:strRef>
          </c:tx>
          <c:invertIfNegative val="0"/>
          <c:cat>
            <c:strRef>
              <c:f>'[Graph--.xlsx]Sheet3'!$A$2:$A$51</c:f>
              <c:strCache>
                <c:ptCount val="50"/>
                <c:pt idx="0">
                  <c:v>New York</c:v>
                </c:pt>
                <c:pt idx="1">
                  <c:v>Los Angeles</c:v>
                </c:pt>
                <c:pt idx="2">
                  <c:v>Chicago</c:v>
                </c:pt>
                <c:pt idx="3">
                  <c:v>Houston</c:v>
                </c:pt>
                <c:pt idx="4">
                  <c:v>Philadelphia</c:v>
                </c:pt>
                <c:pt idx="5">
                  <c:v>Phoenix</c:v>
                </c:pt>
                <c:pt idx="6">
                  <c:v>San Antonio</c:v>
                </c:pt>
                <c:pt idx="7">
                  <c:v>San Diego</c:v>
                </c:pt>
                <c:pt idx="8">
                  <c:v>Dallas</c:v>
                </c:pt>
                <c:pt idx="9">
                  <c:v>San Jose</c:v>
                </c:pt>
                <c:pt idx="10">
                  <c:v>Austin</c:v>
                </c:pt>
                <c:pt idx="11">
                  <c:v>Jacksonville</c:v>
                </c:pt>
                <c:pt idx="12">
                  <c:v>San Francisco</c:v>
                </c:pt>
                <c:pt idx="13">
                  <c:v>Indianapolis</c:v>
                </c:pt>
                <c:pt idx="14">
                  <c:v>Columbus</c:v>
                </c:pt>
                <c:pt idx="15">
                  <c:v>Fort Worth</c:v>
                </c:pt>
                <c:pt idx="16">
                  <c:v>Charlotte</c:v>
                </c:pt>
                <c:pt idx="17">
                  <c:v>Seattle</c:v>
                </c:pt>
                <c:pt idx="18">
                  <c:v>Denver</c:v>
                </c:pt>
                <c:pt idx="19">
                  <c:v>El Paso</c:v>
                </c:pt>
                <c:pt idx="20">
                  <c:v>Detroit</c:v>
                </c:pt>
                <c:pt idx="21">
                  <c:v>Washington D.C.</c:v>
                </c:pt>
                <c:pt idx="22">
                  <c:v>Boston</c:v>
                </c:pt>
                <c:pt idx="23">
                  <c:v>Memphis</c:v>
                </c:pt>
                <c:pt idx="24">
                  <c:v>Nashville</c:v>
                </c:pt>
                <c:pt idx="25">
                  <c:v>Portland</c:v>
                </c:pt>
                <c:pt idx="26">
                  <c:v>Oklahoma City</c:v>
                </c:pt>
                <c:pt idx="27">
                  <c:v>Las Vegas</c:v>
                </c:pt>
                <c:pt idx="28">
                  <c:v>Baltimore</c:v>
                </c:pt>
                <c:pt idx="29">
                  <c:v>Louisville</c:v>
                </c:pt>
                <c:pt idx="30">
                  <c:v>Milwaukee</c:v>
                </c:pt>
                <c:pt idx="31">
                  <c:v>Albuquerque</c:v>
                </c:pt>
                <c:pt idx="32">
                  <c:v>Tucson</c:v>
                </c:pt>
                <c:pt idx="33">
                  <c:v>Fresno</c:v>
                </c:pt>
                <c:pt idx="34">
                  <c:v>Sacramento</c:v>
                </c:pt>
                <c:pt idx="35">
                  <c:v>Kansas City</c:v>
                </c:pt>
                <c:pt idx="36">
                  <c:v>Long Beach</c:v>
                </c:pt>
                <c:pt idx="37">
                  <c:v>Mesa</c:v>
                </c:pt>
                <c:pt idx="38">
                  <c:v>Atlanta</c:v>
                </c:pt>
                <c:pt idx="39">
                  <c:v>Colorado Springs</c:v>
                </c:pt>
                <c:pt idx="40">
                  <c:v>Virginia Beach</c:v>
                </c:pt>
                <c:pt idx="41">
                  <c:v>Raleigh</c:v>
                </c:pt>
                <c:pt idx="42">
                  <c:v>Omaha</c:v>
                </c:pt>
                <c:pt idx="43">
                  <c:v>Miami</c:v>
                </c:pt>
                <c:pt idx="44">
                  <c:v>Oakland</c:v>
                </c:pt>
                <c:pt idx="45">
                  <c:v>Minneapolis</c:v>
                </c:pt>
                <c:pt idx="46">
                  <c:v>Tulsa</c:v>
                </c:pt>
                <c:pt idx="47">
                  <c:v>Wichita</c:v>
                </c:pt>
                <c:pt idx="48">
                  <c:v>New Orleans</c:v>
                </c:pt>
                <c:pt idx="49">
                  <c:v>Arlington</c:v>
                </c:pt>
              </c:strCache>
            </c:strRef>
          </c:cat>
          <c:val>
            <c:numRef>
              <c:f>'[Graph--.xlsx]Sheet3'!$B$2:$B$51</c:f>
              <c:numCache>
                <c:formatCode>0</c:formatCode>
                <c:ptCount val="50"/>
                <c:pt idx="0">
                  <c:v>68</c:v>
                </c:pt>
                <c:pt idx="1">
                  <c:v>64</c:v>
                </c:pt>
                <c:pt idx="2">
                  <c:v>4</c:v>
                </c:pt>
                <c:pt idx="3">
                  <c:v>98</c:v>
                </c:pt>
                <c:pt idx="4">
                  <c:v>2</c:v>
                </c:pt>
                <c:pt idx="5">
                  <c:v>145</c:v>
                </c:pt>
                <c:pt idx="6">
                  <c:v>46</c:v>
                </c:pt>
                <c:pt idx="7">
                  <c:v>114</c:v>
                </c:pt>
                <c:pt idx="8">
                  <c:v>42</c:v>
                </c:pt>
                <c:pt idx="9">
                  <c:v>49</c:v>
                </c:pt>
                <c:pt idx="10">
                  <c:v>151</c:v>
                </c:pt>
                <c:pt idx="11">
                  <c:v>93</c:v>
                </c:pt>
                <c:pt idx="12">
                  <c:v>27</c:v>
                </c:pt>
                <c:pt idx="13">
                  <c:v>3</c:v>
                </c:pt>
                <c:pt idx="14">
                  <c:v>7</c:v>
                </c:pt>
                <c:pt idx="15">
                  <c:v>47</c:v>
                </c:pt>
                <c:pt idx="16">
                  <c:v>11</c:v>
                </c:pt>
                <c:pt idx="17">
                  <c:v>36</c:v>
                </c:pt>
                <c:pt idx="18">
                  <c:v>16</c:v>
                </c:pt>
                <c:pt idx="19">
                  <c:v>14</c:v>
                </c:pt>
                <c:pt idx="20">
                  <c:v>10</c:v>
                </c:pt>
                <c:pt idx="21">
                  <c:v>22</c:v>
                </c:pt>
                <c:pt idx="22">
                  <c:v>10</c:v>
                </c:pt>
                <c:pt idx="23">
                  <c:v>16</c:v>
                </c:pt>
                <c:pt idx="24">
                  <c:v>11</c:v>
                </c:pt>
                <c:pt idx="25">
                  <c:v>8</c:v>
                </c:pt>
                <c:pt idx="26">
                  <c:v>6</c:v>
                </c:pt>
                <c:pt idx="27">
                  <c:v>59</c:v>
                </c:pt>
                <c:pt idx="28">
                  <c:v>15</c:v>
                </c:pt>
                <c:pt idx="29">
                  <c:v>5</c:v>
                </c:pt>
                <c:pt idx="30">
                  <c:v>4</c:v>
                </c:pt>
                <c:pt idx="31">
                  <c:v>19</c:v>
                </c:pt>
                <c:pt idx="32">
                  <c:v>51</c:v>
                </c:pt>
                <c:pt idx="33">
                  <c:v>93</c:v>
                </c:pt>
                <c:pt idx="34">
                  <c:v>22</c:v>
                </c:pt>
                <c:pt idx="35">
                  <c:v>19</c:v>
                </c:pt>
                <c:pt idx="36">
                  <c:v>76</c:v>
                </c:pt>
                <c:pt idx="37">
                  <c:v>129</c:v>
                </c:pt>
                <c:pt idx="38">
                  <c:v>63</c:v>
                </c:pt>
                <c:pt idx="39">
                  <c:v>2</c:v>
                </c:pt>
                <c:pt idx="40">
                  <c:v>1</c:v>
                </c:pt>
                <c:pt idx="41">
                  <c:v>4</c:v>
                </c:pt>
                <c:pt idx="42">
                  <c:v>1</c:v>
                </c:pt>
                <c:pt idx="43">
                  <c:v>170</c:v>
                </c:pt>
                <c:pt idx="44">
                  <c:v>42</c:v>
                </c:pt>
                <c:pt idx="45">
                  <c:v>6</c:v>
                </c:pt>
                <c:pt idx="46">
                  <c:v>71</c:v>
                </c:pt>
                <c:pt idx="47">
                  <c:v>24</c:v>
                </c:pt>
                <c:pt idx="48">
                  <c:v>89</c:v>
                </c:pt>
                <c:pt idx="49">
                  <c:v>4</c:v>
                </c:pt>
              </c:numCache>
            </c:numRef>
          </c:val>
          <c:extLst xmlns:c16r2="http://schemas.microsoft.com/office/drawing/2015/06/chart">
            <c:ext xmlns:c16="http://schemas.microsoft.com/office/drawing/2014/chart" uri="{C3380CC4-5D6E-409C-BE32-E72D297353CC}">
              <c16:uniqueId val="{00000000-B206-4169-8624-11F0986A11FA}"/>
            </c:ext>
          </c:extLst>
        </c:ser>
        <c:ser>
          <c:idx val="1"/>
          <c:order val="1"/>
          <c:tx>
            <c:strRef>
              <c:f>'[Graph--.xlsx]Sheet3'!$C$1</c:f>
              <c:strCache>
                <c:ptCount val="1"/>
                <c:pt idx="0">
                  <c:v>19-30</c:v>
                </c:pt>
              </c:strCache>
            </c:strRef>
          </c:tx>
          <c:invertIfNegative val="0"/>
          <c:cat>
            <c:strRef>
              <c:f>'[Graph--.xlsx]Sheet3'!$A$2:$A$51</c:f>
              <c:strCache>
                <c:ptCount val="50"/>
                <c:pt idx="0">
                  <c:v>New York</c:v>
                </c:pt>
                <c:pt idx="1">
                  <c:v>Los Angeles</c:v>
                </c:pt>
                <c:pt idx="2">
                  <c:v>Chicago</c:v>
                </c:pt>
                <c:pt idx="3">
                  <c:v>Houston</c:v>
                </c:pt>
                <c:pt idx="4">
                  <c:v>Philadelphia</c:v>
                </c:pt>
                <c:pt idx="5">
                  <c:v>Phoenix</c:v>
                </c:pt>
                <c:pt idx="6">
                  <c:v>San Antonio</c:v>
                </c:pt>
                <c:pt idx="7">
                  <c:v>San Diego</c:v>
                </c:pt>
                <c:pt idx="8">
                  <c:v>Dallas</c:v>
                </c:pt>
                <c:pt idx="9">
                  <c:v>San Jose</c:v>
                </c:pt>
                <c:pt idx="10">
                  <c:v>Austin</c:v>
                </c:pt>
                <c:pt idx="11">
                  <c:v>Jacksonville</c:v>
                </c:pt>
                <c:pt idx="12">
                  <c:v>San Francisco</c:v>
                </c:pt>
                <c:pt idx="13">
                  <c:v>Indianapolis</c:v>
                </c:pt>
                <c:pt idx="14">
                  <c:v>Columbus</c:v>
                </c:pt>
                <c:pt idx="15">
                  <c:v>Fort Worth</c:v>
                </c:pt>
                <c:pt idx="16">
                  <c:v>Charlotte</c:v>
                </c:pt>
                <c:pt idx="17">
                  <c:v>Seattle</c:v>
                </c:pt>
                <c:pt idx="18">
                  <c:v>Denver</c:v>
                </c:pt>
                <c:pt idx="19">
                  <c:v>El Paso</c:v>
                </c:pt>
                <c:pt idx="20">
                  <c:v>Detroit</c:v>
                </c:pt>
                <c:pt idx="21">
                  <c:v>Washington D.C.</c:v>
                </c:pt>
                <c:pt idx="22">
                  <c:v>Boston</c:v>
                </c:pt>
                <c:pt idx="23">
                  <c:v>Memphis</c:v>
                </c:pt>
                <c:pt idx="24">
                  <c:v>Nashville</c:v>
                </c:pt>
                <c:pt idx="25">
                  <c:v>Portland</c:v>
                </c:pt>
                <c:pt idx="26">
                  <c:v>Oklahoma City</c:v>
                </c:pt>
                <c:pt idx="27">
                  <c:v>Las Vegas</c:v>
                </c:pt>
                <c:pt idx="28">
                  <c:v>Baltimore</c:v>
                </c:pt>
                <c:pt idx="29">
                  <c:v>Louisville</c:v>
                </c:pt>
                <c:pt idx="30">
                  <c:v>Milwaukee</c:v>
                </c:pt>
                <c:pt idx="31">
                  <c:v>Albuquerque</c:v>
                </c:pt>
                <c:pt idx="32">
                  <c:v>Tucson</c:v>
                </c:pt>
                <c:pt idx="33">
                  <c:v>Fresno</c:v>
                </c:pt>
                <c:pt idx="34">
                  <c:v>Sacramento</c:v>
                </c:pt>
                <c:pt idx="35">
                  <c:v>Kansas City</c:v>
                </c:pt>
                <c:pt idx="36">
                  <c:v>Long Beach</c:v>
                </c:pt>
                <c:pt idx="37">
                  <c:v>Mesa</c:v>
                </c:pt>
                <c:pt idx="38">
                  <c:v>Atlanta</c:v>
                </c:pt>
                <c:pt idx="39">
                  <c:v>Colorado Springs</c:v>
                </c:pt>
                <c:pt idx="40">
                  <c:v>Virginia Beach</c:v>
                </c:pt>
                <c:pt idx="41">
                  <c:v>Raleigh</c:v>
                </c:pt>
                <c:pt idx="42">
                  <c:v>Omaha</c:v>
                </c:pt>
                <c:pt idx="43">
                  <c:v>Miami</c:v>
                </c:pt>
                <c:pt idx="44">
                  <c:v>Oakland</c:v>
                </c:pt>
                <c:pt idx="45">
                  <c:v>Minneapolis</c:v>
                </c:pt>
                <c:pt idx="46">
                  <c:v>Tulsa</c:v>
                </c:pt>
                <c:pt idx="47">
                  <c:v>Wichita</c:v>
                </c:pt>
                <c:pt idx="48">
                  <c:v>New Orleans</c:v>
                </c:pt>
                <c:pt idx="49">
                  <c:v>Arlington</c:v>
                </c:pt>
              </c:strCache>
            </c:strRef>
          </c:cat>
          <c:val>
            <c:numRef>
              <c:f>'[Graph--.xlsx]Sheet3'!$C$2:$C$51</c:f>
              <c:numCache>
                <c:formatCode>0</c:formatCode>
                <c:ptCount val="50"/>
                <c:pt idx="0">
                  <c:v>15</c:v>
                </c:pt>
                <c:pt idx="1">
                  <c:v>16</c:v>
                </c:pt>
                <c:pt idx="2">
                  <c:v>1</c:v>
                </c:pt>
                <c:pt idx="3">
                  <c:v>16</c:v>
                </c:pt>
                <c:pt idx="4">
                  <c:v>0</c:v>
                </c:pt>
                <c:pt idx="5">
                  <c:v>20</c:v>
                </c:pt>
                <c:pt idx="6">
                  <c:v>6</c:v>
                </c:pt>
                <c:pt idx="7">
                  <c:v>15</c:v>
                </c:pt>
                <c:pt idx="8">
                  <c:v>8</c:v>
                </c:pt>
                <c:pt idx="9">
                  <c:v>9</c:v>
                </c:pt>
                <c:pt idx="10">
                  <c:v>12</c:v>
                </c:pt>
                <c:pt idx="11">
                  <c:v>19</c:v>
                </c:pt>
                <c:pt idx="12">
                  <c:v>5</c:v>
                </c:pt>
                <c:pt idx="13">
                  <c:v>0</c:v>
                </c:pt>
                <c:pt idx="14">
                  <c:v>1</c:v>
                </c:pt>
                <c:pt idx="15">
                  <c:v>7</c:v>
                </c:pt>
                <c:pt idx="16">
                  <c:v>1</c:v>
                </c:pt>
                <c:pt idx="17">
                  <c:v>7</c:v>
                </c:pt>
                <c:pt idx="18">
                  <c:v>2</c:v>
                </c:pt>
                <c:pt idx="19">
                  <c:v>2</c:v>
                </c:pt>
                <c:pt idx="20">
                  <c:v>2</c:v>
                </c:pt>
                <c:pt idx="21">
                  <c:v>4</c:v>
                </c:pt>
                <c:pt idx="22">
                  <c:v>1</c:v>
                </c:pt>
                <c:pt idx="23">
                  <c:v>2</c:v>
                </c:pt>
                <c:pt idx="24">
                  <c:v>2</c:v>
                </c:pt>
                <c:pt idx="25">
                  <c:v>1</c:v>
                </c:pt>
                <c:pt idx="26">
                  <c:v>1</c:v>
                </c:pt>
                <c:pt idx="27">
                  <c:v>12</c:v>
                </c:pt>
                <c:pt idx="28">
                  <c:v>2</c:v>
                </c:pt>
                <c:pt idx="29">
                  <c:v>1</c:v>
                </c:pt>
                <c:pt idx="30">
                  <c:v>1</c:v>
                </c:pt>
                <c:pt idx="31">
                  <c:v>3</c:v>
                </c:pt>
                <c:pt idx="32">
                  <c:v>8</c:v>
                </c:pt>
                <c:pt idx="33">
                  <c:v>13</c:v>
                </c:pt>
                <c:pt idx="34">
                  <c:v>3</c:v>
                </c:pt>
                <c:pt idx="35">
                  <c:v>4</c:v>
                </c:pt>
                <c:pt idx="36">
                  <c:v>17</c:v>
                </c:pt>
                <c:pt idx="37">
                  <c:v>12</c:v>
                </c:pt>
                <c:pt idx="38">
                  <c:v>13</c:v>
                </c:pt>
                <c:pt idx="39">
                  <c:v>0</c:v>
                </c:pt>
                <c:pt idx="40">
                  <c:v>0</c:v>
                </c:pt>
                <c:pt idx="41">
                  <c:v>1</c:v>
                </c:pt>
                <c:pt idx="42">
                  <c:v>0</c:v>
                </c:pt>
                <c:pt idx="43">
                  <c:v>18</c:v>
                </c:pt>
                <c:pt idx="44">
                  <c:v>8</c:v>
                </c:pt>
                <c:pt idx="45">
                  <c:v>1</c:v>
                </c:pt>
                <c:pt idx="46">
                  <c:v>10</c:v>
                </c:pt>
                <c:pt idx="47">
                  <c:v>5</c:v>
                </c:pt>
                <c:pt idx="48">
                  <c:v>15</c:v>
                </c:pt>
                <c:pt idx="49">
                  <c:v>1</c:v>
                </c:pt>
              </c:numCache>
            </c:numRef>
          </c:val>
          <c:extLst xmlns:c16r2="http://schemas.microsoft.com/office/drawing/2015/06/chart">
            <c:ext xmlns:c16="http://schemas.microsoft.com/office/drawing/2014/chart" uri="{C3380CC4-5D6E-409C-BE32-E72D297353CC}">
              <c16:uniqueId val="{00000001-B206-4169-8624-11F0986A11FA}"/>
            </c:ext>
          </c:extLst>
        </c:ser>
        <c:ser>
          <c:idx val="2"/>
          <c:order val="2"/>
          <c:tx>
            <c:strRef>
              <c:f>'[Graph--.xlsx]Sheet3'!$D$1</c:f>
              <c:strCache>
                <c:ptCount val="1"/>
                <c:pt idx="0">
                  <c:v>31-60</c:v>
                </c:pt>
              </c:strCache>
            </c:strRef>
          </c:tx>
          <c:invertIfNegative val="0"/>
          <c:cat>
            <c:strRef>
              <c:f>'[Graph--.xlsx]Sheet3'!$A$2:$A$51</c:f>
              <c:strCache>
                <c:ptCount val="50"/>
                <c:pt idx="0">
                  <c:v>New York</c:v>
                </c:pt>
                <c:pt idx="1">
                  <c:v>Los Angeles</c:v>
                </c:pt>
                <c:pt idx="2">
                  <c:v>Chicago</c:v>
                </c:pt>
                <c:pt idx="3">
                  <c:v>Houston</c:v>
                </c:pt>
                <c:pt idx="4">
                  <c:v>Philadelphia</c:v>
                </c:pt>
                <c:pt idx="5">
                  <c:v>Phoenix</c:v>
                </c:pt>
                <c:pt idx="6">
                  <c:v>San Antonio</c:v>
                </c:pt>
                <c:pt idx="7">
                  <c:v>San Diego</c:v>
                </c:pt>
                <c:pt idx="8">
                  <c:v>Dallas</c:v>
                </c:pt>
                <c:pt idx="9">
                  <c:v>San Jose</c:v>
                </c:pt>
                <c:pt idx="10">
                  <c:v>Austin</c:v>
                </c:pt>
                <c:pt idx="11">
                  <c:v>Jacksonville</c:v>
                </c:pt>
                <c:pt idx="12">
                  <c:v>San Francisco</c:v>
                </c:pt>
                <c:pt idx="13">
                  <c:v>Indianapolis</c:v>
                </c:pt>
                <c:pt idx="14">
                  <c:v>Columbus</c:v>
                </c:pt>
                <c:pt idx="15">
                  <c:v>Fort Worth</c:v>
                </c:pt>
                <c:pt idx="16">
                  <c:v>Charlotte</c:v>
                </c:pt>
                <c:pt idx="17">
                  <c:v>Seattle</c:v>
                </c:pt>
                <c:pt idx="18">
                  <c:v>Denver</c:v>
                </c:pt>
                <c:pt idx="19">
                  <c:v>El Paso</c:v>
                </c:pt>
                <c:pt idx="20">
                  <c:v>Detroit</c:v>
                </c:pt>
                <c:pt idx="21">
                  <c:v>Washington D.C.</c:v>
                </c:pt>
                <c:pt idx="22">
                  <c:v>Boston</c:v>
                </c:pt>
                <c:pt idx="23">
                  <c:v>Memphis</c:v>
                </c:pt>
                <c:pt idx="24">
                  <c:v>Nashville</c:v>
                </c:pt>
                <c:pt idx="25">
                  <c:v>Portland</c:v>
                </c:pt>
                <c:pt idx="26">
                  <c:v>Oklahoma City</c:v>
                </c:pt>
                <c:pt idx="27">
                  <c:v>Las Vegas</c:v>
                </c:pt>
                <c:pt idx="28">
                  <c:v>Baltimore</c:v>
                </c:pt>
                <c:pt idx="29">
                  <c:v>Louisville</c:v>
                </c:pt>
                <c:pt idx="30">
                  <c:v>Milwaukee</c:v>
                </c:pt>
                <c:pt idx="31">
                  <c:v>Albuquerque</c:v>
                </c:pt>
                <c:pt idx="32">
                  <c:v>Tucson</c:v>
                </c:pt>
                <c:pt idx="33">
                  <c:v>Fresno</c:v>
                </c:pt>
                <c:pt idx="34">
                  <c:v>Sacramento</c:v>
                </c:pt>
                <c:pt idx="35">
                  <c:v>Kansas City</c:v>
                </c:pt>
                <c:pt idx="36">
                  <c:v>Long Beach</c:v>
                </c:pt>
                <c:pt idx="37">
                  <c:v>Mesa</c:v>
                </c:pt>
                <c:pt idx="38">
                  <c:v>Atlanta</c:v>
                </c:pt>
                <c:pt idx="39">
                  <c:v>Colorado Springs</c:v>
                </c:pt>
                <c:pt idx="40">
                  <c:v>Virginia Beach</c:v>
                </c:pt>
                <c:pt idx="41">
                  <c:v>Raleigh</c:v>
                </c:pt>
                <c:pt idx="42">
                  <c:v>Omaha</c:v>
                </c:pt>
                <c:pt idx="43">
                  <c:v>Miami</c:v>
                </c:pt>
                <c:pt idx="44">
                  <c:v>Oakland</c:v>
                </c:pt>
                <c:pt idx="45">
                  <c:v>Minneapolis</c:v>
                </c:pt>
                <c:pt idx="46">
                  <c:v>Tulsa</c:v>
                </c:pt>
                <c:pt idx="47">
                  <c:v>Wichita</c:v>
                </c:pt>
                <c:pt idx="48">
                  <c:v>New Orleans</c:v>
                </c:pt>
                <c:pt idx="49">
                  <c:v>Arlington</c:v>
                </c:pt>
              </c:strCache>
            </c:strRef>
          </c:cat>
          <c:val>
            <c:numRef>
              <c:f>'[Graph--.xlsx]Sheet3'!$D$2:$D$51</c:f>
              <c:numCache>
                <c:formatCode>0</c:formatCode>
                <c:ptCount val="50"/>
                <c:pt idx="0">
                  <c:v>34</c:v>
                </c:pt>
                <c:pt idx="1">
                  <c:v>56</c:v>
                </c:pt>
                <c:pt idx="2">
                  <c:v>3</c:v>
                </c:pt>
                <c:pt idx="3">
                  <c:v>52</c:v>
                </c:pt>
                <c:pt idx="4">
                  <c:v>1</c:v>
                </c:pt>
                <c:pt idx="5">
                  <c:v>32</c:v>
                </c:pt>
                <c:pt idx="6">
                  <c:v>12</c:v>
                </c:pt>
                <c:pt idx="7">
                  <c:v>34</c:v>
                </c:pt>
                <c:pt idx="8">
                  <c:v>12</c:v>
                </c:pt>
                <c:pt idx="9">
                  <c:v>17</c:v>
                </c:pt>
                <c:pt idx="10">
                  <c:v>39</c:v>
                </c:pt>
                <c:pt idx="11">
                  <c:v>61</c:v>
                </c:pt>
                <c:pt idx="12">
                  <c:v>25</c:v>
                </c:pt>
                <c:pt idx="13">
                  <c:v>1</c:v>
                </c:pt>
                <c:pt idx="14">
                  <c:v>2</c:v>
                </c:pt>
                <c:pt idx="15">
                  <c:v>12</c:v>
                </c:pt>
                <c:pt idx="16">
                  <c:v>2</c:v>
                </c:pt>
                <c:pt idx="17">
                  <c:v>10</c:v>
                </c:pt>
                <c:pt idx="18">
                  <c:v>1</c:v>
                </c:pt>
                <c:pt idx="19">
                  <c:v>5</c:v>
                </c:pt>
                <c:pt idx="20">
                  <c:v>7</c:v>
                </c:pt>
                <c:pt idx="21">
                  <c:v>12</c:v>
                </c:pt>
                <c:pt idx="22">
                  <c:v>4</c:v>
                </c:pt>
                <c:pt idx="23">
                  <c:v>5</c:v>
                </c:pt>
                <c:pt idx="24">
                  <c:v>2</c:v>
                </c:pt>
                <c:pt idx="25">
                  <c:v>2</c:v>
                </c:pt>
                <c:pt idx="26">
                  <c:v>2</c:v>
                </c:pt>
                <c:pt idx="27">
                  <c:v>37</c:v>
                </c:pt>
                <c:pt idx="28">
                  <c:v>2</c:v>
                </c:pt>
                <c:pt idx="29">
                  <c:v>3</c:v>
                </c:pt>
                <c:pt idx="30">
                  <c:v>2</c:v>
                </c:pt>
                <c:pt idx="31">
                  <c:v>7</c:v>
                </c:pt>
                <c:pt idx="32">
                  <c:v>19</c:v>
                </c:pt>
                <c:pt idx="33">
                  <c:v>19</c:v>
                </c:pt>
                <c:pt idx="34">
                  <c:v>7</c:v>
                </c:pt>
                <c:pt idx="35">
                  <c:v>6</c:v>
                </c:pt>
                <c:pt idx="36">
                  <c:v>40</c:v>
                </c:pt>
                <c:pt idx="37">
                  <c:v>25</c:v>
                </c:pt>
                <c:pt idx="38">
                  <c:v>42</c:v>
                </c:pt>
                <c:pt idx="39">
                  <c:v>1</c:v>
                </c:pt>
                <c:pt idx="40">
                  <c:v>1</c:v>
                </c:pt>
                <c:pt idx="41">
                  <c:v>1</c:v>
                </c:pt>
                <c:pt idx="42">
                  <c:v>0</c:v>
                </c:pt>
                <c:pt idx="43">
                  <c:v>30</c:v>
                </c:pt>
                <c:pt idx="44">
                  <c:v>18</c:v>
                </c:pt>
                <c:pt idx="45">
                  <c:v>1</c:v>
                </c:pt>
                <c:pt idx="46">
                  <c:v>32</c:v>
                </c:pt>
                <c:pt idx="47">
                  <c:v>22</c:v>
                </c:pt>
                <c:pt idx="48">
                  <c:v>47</c:v>
                </c:pt>
                <c:pt idx="49">
                  <c:v>2</c:v>
                </c:pt>
              </c:numCache>
            </c:numRef>
          </c:val>
          <c:extLst xmlns:c16r2="http://schemas.microsoft.com/office/drawing/2015/06/chart">
            <c:ext xmlns:c16="http://schemas.microsoft.com/office/drawing/2014/chart" uri="{C3380CC4-5D6E-409C-BE32-E72D297353CC}">
              <c16:uniqueId val="{00000002-B206-4169-8624-11F0986A11FA}"/>
            </c:ext>
          </c:extLst>
        </c:ser>
        <c:ser>
          <c:idx val="3"/>
          <c:order val="3"/>
          <c:tx>
            <c:strRef>
              <c:f>'[Graph--.xlsx]Sheet3'!$E$1</c:f>
              <c:strCache>
                <c:ptCount val="1"/>
                <c:pt idx="0">
                  <c:v>61+</c:v>
                </c:pt>
              </c:strCache>
            </c:strRef>
          </c:tx>
          <c:invertIfNegative val="0"/>
          <c:cat>
            <c:strRef>
              <c:f>'[Graph--.xlsx]Sheet3'!$A$2:$A$51</c:f>
              <c:strCache>
                <c:ptCount val="50"/>
                <c:pt idx="0">
                  <c:v>New York</c:v>
                </c:pt>
                <c:pt idx="1">
                  <c:v>Los Angeles</c:v>
                </c:pt>
                <c:pt idx="2">
                  <c:v>Chicago</c:v>
                </c:pt>
                <c:pt idx="3">
                  <c:v>Houston</c:v>
                </c:pt>
                <c:pt idx="4">
                  <c:v>Philadelphia</c:v>
                </c:pt>
                <c:pt idx="5">
                  <c:v>Phoenix</c:v>
                </c:pt>
                <c:pt idx="6">
                  <c:v>San Antonio</c:v>
                </c:pt>
                <c:pt idx="7">
                  <c:v>San Diego</c:v>
                </c:pt>
                <c:pt idx="8">
                  <c:v>Dallas</c:v>
                </c:pt>
                <c:pt idx="9">
                  <c:v>San Jose</c:v>
                </c:pt>
                <c:pt idx="10">
                  <c:v>Austin</c:v>
                </c:pt>
                <c:pt idx="11">
                  <c:v>Jacksonville</c:v>
                </c:pt>
                <c:pt idx="12">
                  <c:v>San Francisco</c:v>
                </c:pt>
                <c:pt idx="13">
                  <c:v>Indianapolis</c:v>
                </c:pt>
                <c:pt idx="14">
                  <c:v>Columbus</c:v>
                </c:pt>
                <c:pt idx="15">
                  <c:v>Fort Worth</c:v>
                </c:pt>
                <c:pt idx="16">
                  <c:v>Charlotte</c:v>
                </c:pt>
                <c:pt idx="17">
                  <c:v>Seattle</c:v>
                </c:pt>
                <c:pt idx="18">
                  <c:v>Denver</c:v>
                </c:pt>
                <c:pt idx="19">
                  <c:v>El Paso</c:v>
                </c:pt>
                <c:pt idx="20">
                  <c:v>Detroit</c:v>
                </c:pt>
                <c:pt idx="21">
                  <c:v>Washington D.C.</c:v>
                </c:pt>
                <c:pt idx="22">
                  <c:v>Boston</c:v>
                </c:pt>
                <c:pt idx="23">
                  <c:v>Memphis</c:v>
                </c:pt>
                <c:pt idx="24">
                  <c:v>Nashville</c:v>
                </c:pt>
                <c:pt idx="25">
                  <c:v>Portland</c:v>
                </c:pt>
                <c:pt idx="26">
                  <c:v>Oklahoma City</c:v>
                </c:pt>
                <c:pt idx="27">
                  <c:v>Las Vegas</c:v>
                </c:pt>
                <c:pt idx="28">
                  <c:v>Baltimore</c:v>
                </c:pt>
                <c:pt idx="29">
                  <c:v>Louisville</c:v>
                </c:pt>
                <c:pt idx="30">
                  <c:v>Milwaukee</c:v>
                </c:pt>
                <c:pt idx="31">
                  <c:v>Albuquerque</c:v>
                </c:pt>
                <c:pt idx="32">
                  <c:v>Tucson</c:v>
                </c:pt>
                <c:pt idx="33">
                  <c:v>Fresno</c:v>
                </c:pt>
                <c:pt idx="34">
                  <c:v>Sacramento</c:v>
                </c:pt>
                <c:pt idx="35">
                  <c:v>Kansas City</c:v>
                </c:pt>
                <c:pt idx="36">
                  <c:v>Long Beach</c:v>
                </c:pt>
                <c:pt idx="37">
                  <c:v>Mesa</c:v>
                </c:pt>
                <c:pt idx="38">
                  <c:v>Atlanta</c:v>
                </c:pt>
                <c:pt idx="39">
                  <c:v>Colorado Springs</c:v>
                </c:pt>
                <c:pt idx="40">
                  <c:v>Virginia Beach</c:v>
                </c:pt>
                <c:pt idx="41">
                  <c:v>Raleigh</c:v>
                </c:pt>
                <c:pt idx="42">
                  <c:v>Omaha</c:v>
                </c:pt>
                <c:pt idx="43">
                  <c:v>Miami</c:v>
                </c:pt>
                <c:pt idx="44">
                  <c:v>Oakland</c:v>
                </c:pt>
                <c:pt idx="45">
                  <c:v>Minneapolis</c:v>
                </c:pt>
                <c:pt idx="46">
                  <c:v>Tulsa</c:v>
                </c:pt>
                <c:pt idx="47">
                  <c:v>Wichita</c:v>
                </c:pt>
                <c:pt idx="48">
                  <c:v>New Orleans</c:v>
                </c:pt>
                <c:pt idx="49">
                  <c:v>Arlington</c:v>
                </c:pt>
              </c:strCache>
            </c:strRef>
          </c:cat>
          <c:val>
            <c:numRef>
              <c:f>'[Graph--.xlsx]Sheet3'!$E$2:$E$51</c:f>
              <c:numCache>
                <c:formatCode>0</c:formatCode>
                <c:ptCount val="50"/>
                <c:pt idx="0">
                  <c:v>72</c:v>
                </c:pt>
                <c:pt idx="1">
                  <c:v>65</c:v>
                </c:pt>
                <c:pt idx="2">
                  <c:v>6</c:v>
                </c:pt>
                <c:pt idx="3">
                  <c:v>106</c:v>
                </c:pt>
                <c:pt idx="4">
                  <c:v>2</c:v>
                </c:pt>
                <c:pt idx="5">
                  <c:v>92</c:v>
                </c:pt>
                <c:pt idx="6">
                  <c:v>31</c:v>
                </c:pt>
                <c:pt idx="7">
                  <c:v>95</c:v>
                </c:pt>
                <c:pt idx="8">
                  <c:v>21</c:v>
                </c:pt>
                <c:pt idx="9">
                  <c:v>31</c:v>
                </c:pt>
                <c:pt idx="10">
                  <c:v>79</c:v>
                </c:pt>
                <c:pt idx="11">
                  <c:v>149</c:v>
                </c:pt>
                <c:pt idx="12">
                  <c:v>19</c:v>
                </c:pt>
                <c:pt idx="13">
                  <c:v>3</c:v>
                </c:pt>
                <c:pt idx="14">
                  <c:v>4</c:v>
                </c:pt>
                <c:pt idx="15">
                  <c:v>32</c:v>
                </c:pt>
                <c:pt idx="16">
                  <c:v>5</c:v>
                </c:pt>
                <c:pt idx="17">
                  <c:v>12</c:v>
                </c:pt>
                <c:pt idx="18">
                  <c:v>11</c:v>
                </c:pt>
                <c:pt idx="19">
                  <c:v>8</c:v>
                </c:pt>
                <c:pt idx="20">
                  <c:v>16</c:v>
                </c:pt>
                <c:pt idx="21">
                  <c:v>23</c:v>
                </c:pt>
                <c:pt idx="22">
                  <c:v>13</c:v>
                </c:pt>
                <c:pt idx="23">
                  <c:v>12</c:v>
                </c:pt>
                <c:pt idx="24">
                  <c:v>8</c:v>
                </c:pt>
                <c:pt idx="25">
                  <c:v>7</c:v>
                </c:pt>
                <c:pt idx="26">
                  <c:v>2</c:v>
                </c:pt>
                <c:pt idx="27">
                  <c:v>41</c:v>
                </c:pt>
                <c:pt idx="28">
                  <c:v>7</c:v>
                </c:pt>
                <c:pt idx="29">
                  <c:v>8</c:v>
                </c:pt>
                <c:pt idx="30">
                  <c:v>5</c:v>
                </c:pt>
                <c:pt idx="31">
                  <c:v>22</c:v>
                </c:pt>
                <c:pt idx="32">
                  <c:v>36</c:v>
                </c:pt>
                <c:pt idx="33">
                  <c:v>62</c:v>
                </c:pt>
                <c:pt idx="34">
                  <c:v>9</c:v>
                </c:pt>
                <c:pt idx="35">
                  <c:v>9</c:v>
                </c:pt>
                <c:pt idx="36">
                  <c:v>82</c:v>
                </c:pt>
                <c:pt idx="37">
                  <c:v>65</c:v>
                </c:pt>
                <c:pt idx="38">
                  <c:v>102</c:v>
                </c:pt>
                <c:pt idx="39">
                  <c:v>2</c:v>
                </c:pt>
                <c:pt idx="40">
                  <c:v>2</c:v>
                </c:pt>
                <c:pt idx="41">
                  <c:v>2</c:v>
                </c:pt>
                <c:pt idx="42">
                  <c:v>2</c:v>
                </c:pt>
                <c:pt idx="43">
                  <c:v>81</c:v>
                </c:pt>
                <c:pt idx="44">
                  <c:v>16</c:v>
                </c:pt>
                <c:pt idx="45">
                  <c:v>3</c:v>
                </c:pt>
                <c:pt idx="46">
                  <c:v>118</c:v>
                </c:pt>
                <c:pt idx="47">
                  <c:v>32</c:v>
                </c:pt>
                <c:pt idx="48">
                  <c:v>97</c:v>
                </c:pt>
                <c:pt idx="49">
                  <c:v>4</c:v>
                </c:pt>
              </c:numCache>
            </c:numRef>
          </c:val>
          <c:extLst xmlns:c16r2="http://schemas.microsoft.com/office/drawing/2015/06/chart">
            <c:ext xmlns:c16="http://schemas.microsoft.com/office/drawing/2014/chart" uri="{C3380CC4-5D6E-409C-BE32-E72D297353CC}">
              <c16:uniqueId val="{00000003-B206-4169-8624-11F0986A11FA}"/>
            </c:ext>
          </c:extLst>
        </c:ser>
        <c:dLbls>
          <c:showLegendKey val="0"/>
          <c:showVal val="0"/>
          <c:showCatName val="0"/>
          <c:showSerName val="0"/>
          <c:showPercent val="0"/>
          <c:showBubbleSize val="0"/>
        </c:dLbls>
        <c:gapWidth val="300"/>
        <c:axId val="1083246464"/>
        <c:axId val="1083594624"/>
      </c:barChart>
      <c:catAx>
        <c:axId val="1083246464"/>
        <c:scaling>
          <c:orientation val="minMax"/>
        </c:scaling>
        <c:delete val="0"/>
        <c:axPos val="b"/>
        <c:title>
          <c:tx>
            <c:rich>
              <a:bodyPr/>
              <a:lstStyle/>
              <a:p>
                <a:pPr>
                  <a:defRPr/>
                </a:pPr>
                <a:r>
                  <a:rPr lang="en-US"/>
                  <a:t>States </a:t>
                </a:r>
              </a:p>
            </c:rich>
          </c:tx>
          <c:layout>
            <c:manualLayout>
              <c:xMode val="edge"/>
              <c:yMode val="edge"/>
              <c:x val="0.47646742854464003"/>
              <c:y val="0.88793963254593178"/>
            </c:manualLayout>
          </c:layout>
          <c:overlay val="0"/>
        </c:title>
        <c:numFmt formatCode="General" sourceLinked="0"/>
        <c:majorTickMark val="none"/>
        <c:minorTickMark val="none"/>
        <c:tickLblPos val="nextTo"/>
        <c:crossAx val="1083594624"/>
        <c:crosses val="autoZero"/>
        <c:auto val="1"/>
        <c:lblAlgn val="ctr"/>
        <c:lblOffset val="100"/>
        <c:noMultiLvlLbl val="0"/>
      </c:catAx>
      <c:valAx>
        <c:axId val="1083594624"/>
        <c:scaling>
          <c:orientation val="minMax"/>
        </c:scaling>
        <c:delete val="0"/>
        <c:axPos val="l"/>
        <c:majorGridlines/>
        <c:minorGridlines/>
        <c:title>
          <c:tx>
            <c:rich>
              <a:bodyPr/>
              <a:lstStyle/>
              <a:p>
                <a:pPr>
                  <a:defRPr/>
                </a:pPr>
                <a:r>
                  <a:rPr lang="en-US"/>
                  <a:t>Number of</a:t>
                </a:r>
                <a:r>
                  <a:rPr lang="en-US" baseline="0"/>
                  <a:t> cases </a:t>
                </a:r>
                <a:endParaRPr lang="en-US"/>
              </a:p>
            </c:rich>
          </c:tx>
          <c:overlay val="0"/>
        </c:title>
        <c:numFmt formatCode="0" sourceLinked="1"/>
        <c:majorTickMark val="out"/>
        <c:minorTickMark val="none"/>
        <c:tickLblPos val="nextTo"/>
        <c:crossAx val="1083246464"/>
        <c:crosses val="autoZero"/>
        <c:crossBetween val="between"/>
      </c:valAx>
    </c:plotArea>
    <c:legend>
      <c:legendPos val="r"/>
      <c:overlay val="0"/>
    </c:legend>
    <c:plotVisOnly val="1"/>
    <c:dispBlanksAs val="gap"/>
    <c:showDLblsOverMax val="0"/>
  </c:chart>
  <c:spPr>
    <a:scene3d>
      <a:camera prst="orthographicFront"/>
      <a:lightRig rig="threePt" dir="t"/>
    </a:scene3d>
    <a:sp3d prstMaterial="dkEdge"/>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D0E582-F7DC-45E9-88E3-D29C5BC6B3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937</Words>
  <Characters>5342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JOSEPH</dc:creator>
  <cp:lastModifiedBy>PAVILION</cp:lastModifiedBy>
  <cp:revision>3</cp:revision>
  <dcterms:created xsi:type="dcterms:W3CDTF">2021-05-05T10:54:00Z</dcterms:created>
  <dcterms:modified xsi:type="dcterms:W3CDTF">2021-05-05T10:56:00Z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http://www.zotero.org/styles/apa-6th-edition</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http://www.zotero.org/styles/apa</vt:lpwstr>
  </property>
  <property fmtid="{D5CDD505-2E9C-101B-9397-08002B2CF9AE}" pid="9" name="Mendeley Recent Style Name 3_1">
    <vt:lpwstr>American Psychological Association 7th edition</vt:lpwstr>
  </property>
  <property fmtid="{D5CDD505-2E9C-101B-9397-08002B2CF9AE}" pid="10" name="Mendeley Recent Style Id 4_1">
    <vt:lpwstr>http://www.zotero.org/styles/chicago-fullnote-bibliography</vt:lpwstr>
  </property>
  <property fmtid="{D5CDD505-2E9C-101B-9397-08002B2CF9AE}" pid="11" name="Mendeley Recent Style Name 4_1">
    <vt:lpwstr>Chicago Manual of Style 17th edition (full note)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http://www.zotero.org/styles/harvard1</vt:lpwstr>
  </property>
  <property fmtid="{D5CDD505-2E9C-101B-9397-08002B2CF9AE}" pid="15" name="Mendeley Recent Style Name 6_1">
    <vt:lpwstr>Harvard reference format 1 (deprecated)</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25f3ca88-1c5d-3210-a2de-f2e972b95578</vt:lpwstr>
  </property>
  <property fmtid="{D5CDD505-2E9C-101B-9397-08002B2CF9AE}" pid="24" name="Mendeley Citation Style_1">
    <vt:lpwstr>http://www.zotero.org/styles/apa</vt:lpwstr>
  </property>
</Properties>
</file>