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EFE0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9C0CEA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901A8C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9F4573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6D07B3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D1F74A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89453E" w14:textId="77777777" w:rsid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019271" w14:textId="40088954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B2F">
        <w:rPr>
          <w:rFonts w:ascii="Times New Roman" w:hAnsi="Times New Roman" w:cs="Times New Roman"/>
          <w:sz w:val="24"/>
          <w:szCs w:val="24"/>
        </w:rPr>
        <w:t>Ethical Principles</w:t>
      </w:r>
    </w:p>
    <w:p w14:paraId="14A7649F" w14:textId="77777777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30705F" w14:textId="56B77860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B2F">
        <w:rPr>
          <w:rFonts w:ascii="Times New Roman" w:hAnsi="Times New Roman" w:cs="Times New Roman"/>
          <w:sz w:val="24"/>
          <w:szCs w:val="24"/>
        </w:rPr>
        <w:t>Name</w:t>
      </w:r>
    </w:p>
    <w:p w14:paraId="0FA30D47" w14:textId="77777777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70D7F7" w14:textId="54F69605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B2F">
        <w:rPr>
          <w:rFonts w:ascii="Times New Roman" w:hAnsi="Times New Roman" w:cs="Times New Roman"/>
          <w:sz w:val="24"/>
          <w:szCs w:val="24"/>
        </w:rPr>
        <w:t>Instructor</w:t>
      </w:r>
    </w:p>
    <w:p w14:paraId="221D6313" w14:textId="77777777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FC690E" w14:textId="27D660F0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B2F">
        <w:rPr>
          <w:rFonts w:ascii="Times New Roman" w:hAnsi="Times New Roman" w:cs="Times New Roman"/>
          <w:sz w:val="24"/>
          <w:szCs w:val="24"/>
        </w:rPr>
        <w:t>Course</w:t>
      </w:r>
    </w:p>
    <w:p w14:paraId="63A891C1" w14:textId="77777777" w:rsidR="004D4B2F" w:rsidRPr="004D4B2F" w:rsidRDefault="004D4B2F" w:rsidP="004D4B2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DD4228" w14:textId="07321A51" w:rsidR="004D4B2F" w:rsidRDefault="004D4B2F" w:rsidP="004D4B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4B2F">
        <w:rPr>
          <w:rFonts w:ascii="Times New Roman" w:hAnsi="Times New Roman" w:cs="Times New Roman"/>
          <w:sz w:val="24"/>
          <w:szCs w:val="24"/>
        </w:rPr>
        <w:t>Date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537AE7B" w14:textId="58CFA441" w:rsidR="00295945" w:rsidRPr="00144B80" w:rsidRDefault="00295945" w:rsidP="00144B80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4B80">
        <w:rPr>
          <w:rFonts w:ascii="Times New Roman" w:hAnsi="Times New Roman" w:cs="Times New Roman"/>
          <w:b/>
          <w:bCs/>
          <w:sz w:val="24"/>
          <w:szCs w:val="24"/>
        </w:rPr>
        <w:lastRenderedPageBreak/>
        <w:t>Ethical Principles</w:t>
      </w:r>
    </w:p>
    <w:p w14:paraId="69E6015F" w14:textId="717655BA" w:rsidR="00144B80" w:rsidRDefault="00144B80" w:rsidP="00144B8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44B80">
        <w:rPr>
          <w:rFonts w:ascii="Times New Roman" w:hAnsi="Times New Roman" w:cs="Times New Roman"/>
          <w:b/>
          <w:bCs/>
          <w:sz w:val="24"/>
          <w:szCs w:val="24"/>
        </w:rPr>
        <w:t>How stringent or similar should ethical principles be to the standards placed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44B80">
        <w:rPr>
          <w:rFonts w:ascii="Times New Roman" w:hAnsi="Times New Roman" w:cs="Times New Roman"/>
          <w:b/>
          <w:bCs/>
          <w:sz w:val="24"/>
          <w:szCs w:val="24"/>
        </w:rPr>
        <w:t>the conduction of clinical and/or educational research?</w:t>
      </w:r>
    </w:p>
    <w:p w14:paraId="63C3B62A" w14:textId="76FE2214" w:rsidR="00144B80" w:rsidRPr="002A60BF" w:rsidRDefault="002A60BF" w:rsidP="002A60BF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A60BF">
        <w:rPr>
          <w:rFonts w:ascii="Times New Roman" w:hAnsi="Times New Roman" w:cs="Times New Roman"/>
          <w:sz w:val="24"/>
          <w:szCs w:val="24"/>
        </w:rPr>
        <w:t xml:space="preserve">Ethical principles </w:t>
      </w:r>
      <w:r w:rsidR="00872B9E">
        <w:rPr>
          <w:rFonts w:ascii="Times New Roman" w:hAnsi="Times New Roman" w:cs="Times New Roman"/>
          <w:sz w:val="24"/>
          <w:szCs w:val="24"/>
        </w:rPr>
        <w:t xml:space="preserve">should be similar for both clinical and educational research. </w:t>
      </w:r>
      <w:r w:rsidRPr="002A60BF">
        <w:rPr>
          <w:rFonts w:ascii="Times New Roman" w:hAnsi="Times New Roman" w:cs="Times New Roman"/>
          <w:sz w:val="24"/>
          <w:szCs w:val="24"/>
        </w:rPr>
        <w:t>Heale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2A60BF">
        <w:rPr>
          <w:rFonts w:ascii="Times New Roman" w:hAnsi="Times New Roman" w:cs="Times New Roman"/>
          <w:sz w:val="24"/>
          <w:szCs w:val="24"/>
        </w:rPr>
        <w:t xml:space="preserve"> Shorten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60BF">
        <w:rPr>
          <w:rFonts w:ascii="Times New Roman" w:hAnsi="Times New Roman" w:cs="Times New Roman"/>
          <w:sz w:val="24"/>
          <w:szCs w:val="24"/>
        </w:rPr>
        <w:t>(2017)</w:t>
      </w:r>
      <w:r>
        <w:rPr>
          <w:rFonts w:ascii="Times New Roman" w:hAnsi="Times New Roman" w:cs="Times New Roman"/>
          <w:sz w:val="24"/>
          <w:szCs w:val="24"/>
        </w:rPr>
        <w:t xml:space="preserve"> indicate that </w:t>
      </w:r>
      <w:r w:rsidR="00AA0223">
        <w:rPr>
          <w:rFonts w:ascii="Times New Roman" w:hAnsi="Times New Roman" w:cs="Times New Roman"/>
          <w:sz w:val="24"/>
          <w:szCs w:val="24"/>
        </w:rPr>
        <w:t>clinical research should be held to the same standards as all other research involving human subjects. Therefore,</w:t>
      </w:r>
      <w:r w:rsidR="00651B61">
        <w:rPr>
          <w:rFonts w:ascii="Times New Roman" w:hAnsi="Times New Roman" w:cs="Times New Roman"/>
          <w:sz w:val="24"/>
          <w:szCs w:val="24"/>
        </w:rPr>
        <w:t xml:space="preserve"> ethical principles should be similar</w:t>
      </w:r>
      <w:r w:rsidR="00AA0223">
        <w:rPr>
          <w:rFonts w:ascii="Times New Roman" w:hAnsi="Times New Roman" w:cs="Times New Roman"/>
          <w:sz w:val="24"/>
          <w:szCs w:val="24"/>
        </w:rPr>
        <w:t xml:space="preserve"> clinical and educational research should be held to the same ethical standards. The Declaration of Helsinki </w:t>
      </w:r>
      <w:r w:rsidR="00651B61">
        <w:rPr>
          <w:rFonts w:ascii="Times New Roman" w:hAnsi="Times New Roman" w:cs="Times New Roman"/>
          <w:sz w:val="24"/>
          <w:szCs w:val="24"/>
        </w:rPr>
        <w:t xml:space="preserve">that provides guidelines on research conduct </w:t>
      </w:r>
      <w:r w:rsidR="00AA0223">
        <w:rPr>
          <w:rFonts w:ascii="Times New Roman" w:hAnsi="Times New Roman" w:cs="Times New Roman"/>
          <w:sz w:val="24"/>
          <w:szCs w:val="24"/>
        </w:rPr>
        <w:t xml:space="preserve">indicates that the principles of respect to persons, beneficence, and justice should be implemented when conducting </w:t>
      </w:r>
      <w:r w:rsidR="00EF4A94">
        <w:rPr>
          <w:rFonts w:ascii="Times New Roman" w:hAnsi="Times New Roman" w:cs="Times New Roman"/>
          <w:sz w:val="24"/>
          <w:szCs w:val="24"/>
        </w:rPr>
        <w:t xml:space="preserve">all </w:t>
      </w:r>
      <w:r w:rsidR="00AA0223">
        <w:rPr>
          <w:rFonts w:ascii="Times New Roman" w:hAnsi="Times New Roman" w:cs="Times New Roman"/>
          <w:sz w:val="24"/>
          <w:szCs w:val="24"/>
        </w:rPr>
        <w:t>research. The ethical principles are intended to ensure maximization of good and minimization of potential harm to research participants.</w:t>
      </w:r>
      <w:r w:rsidR="00387CA9">
        <w:rPr>
          <w:rFonts w:ascii="Times New Roman" w:hAnsi="Times New Roman" w:cs="Times New Roman"/>
          <w:sz w:val="24"/>
          <w:szCs w:val="24"/>
        </w:rPr>
        <w:t xml:space="preserve"> </w:t>
      </w:r>
      <w:r w:rsidR="00C3703E">
        <w:rPr>
          <w:rFonts w:ascii="Times New Roman" w:hAnsi="Times New Roman" w:cs="Times New Roman"/>
          <w:sz w:val="24"/>
          <w:szCs w:val="24"/>
        </w:rPr>
        <w:t>In</w:t>
      </w:r>
      <w:r w:rsidR="00737137">
        <w:rPr>
          <w:rFonts w:ascii="Times New Roman" w:hAnsi="Times New Roman" w:cs="Times New Roman"/>
          <w:sz w:val="24"/>
          <w:szCs w:val="24"/>
        </w:rPr>
        <w:t xml:space="preserve"> addition, HIPAA </w:t>
      </w:r>
      <w:r w:rsidR="00EF4A94">
        <w:rPr>
          <w:rFonts w:ascii="Times New Roman" w:hAnsi="Times New Roman" w:cs="Times New Roman"/>
          <w:sz w:val="24"/>
          <w:szCs w:val="24"/>
        </w:rPr>
        <w:t>limits the</w:t>
      </w:r>
      <w:r w:rsidR="00737137">
        <w:rPr>
          <w:rFonts w:ascii="Times New Roman" w:hAnsi="Times New Roman" w:cs="Times New Roman"/>
          <w:sz w:val="24"/>
          <w:szCs w:val="24"/>
        </w:rPr>
        <w:t xml:space="preserve"> use of protected health information for research practices</w:t>
      </w:r>
      <w:r w:rsidR="00872B9E" w:rsidRPr="00872B9E">
        <w:rPr>
          <w:rFonts w:ascii="Times New Roman" w:hAnsi="Times New Roman" w:cs="Times New Roman"/>
          <w:sz w:val="24"/>
          <w:szCs w:val="24"/>
        </w:rPr>
        <w:t xml:space="preserve"> </w:t>
      </w:r>
      <w:r w:rsidR="00872B9E">
        <w:rPr>
          <w:rFonts w:ascii="Times New Roman" w:hAnsi="Times New Roman" w:cs="Times New Roman"/>
          <w:sz w:val="24"/>
          <w:szCs w:val="24"/>
        </w:rPr>
        <w:t>(</w:t>
      </w:r>
      <w:r w:rsidR="00872B9E" w:rsidRPr="00872B9E">
        <w:rPr>
          <w:rFonts w:ascii="Times New Roman" w:hAnsi="Times New Roman" w:cs="Times New Roman"/>
          <w:sz w:val="24"/>
          <w:szCs w:val="24"/>
        </w:rPr>
        <w:t>Guerrini, Botkin, &amp; McGuire,</w:t>
      </w:r>
      <w:r w:rsidR="00872B9E">
        <w:rPr>
          <w:rFonts w:ascii="Times New Roman" w:hAnsi="Times New Roman" w:cs="Times New Roman"/>
          <w:sz w:val="24"/>
          <w:szCs w:val="24"/>
        </w:rPr>
        <w:t xml:space="preserve"> </w:t>
      </w:r>
      <w:r w:rsidR="00872B9E" w:rsidRPr="00872B9E">
        <w:rPr>
          <w:rFonts w:ascii="Times New Roman" w:hAnsi="Times New Roman" w:cs="Times New Roman"/>
          <w:sz w:val="24"/>
          <w:szCs w:val="24"/>
        </w:rPr>
        <w:t>2019)</w:t>
      </w:r>
      <w:r w:rsidR="00737137">
        <w:rPr>
          <w:rFonts w:ascii="Times New Roman" w:hAnsi="Times New Roman" w:cs="Times New Roman"/>
          <w:sz w:val="24"/>
          <w:szCs w:val="24"/>
        </w:rPr>
        <w:t>. FERPA also protects the rights of students’ education records</w:t>
      </w:r>
      <w:r w:rsidR="00C3703E" w:rsidRPr="00C3703E">
        <w:rPr>
          <w:rFonts w:ascii="Times New Roman" w:hAnsi="Times New Roman" w:cs="Times New Roman"/>
          <w:sz w:val="24"/>
          <w:szCs w:val="24"/>
        </w:rPr>
        <w:t xml:space="preserve"> </w:t>
      </w:r>
      <w:r w:rsidR="00C3703E">
        <w:rPr>
          <w:rFonts w:ascii="Times New Roman" w:hAnsi="Times New Roman" w:cs="Times New Roman"/>
          <w:sz w:val="24"/>
          <w:szCs w:val="24"/>
        </w:rPr>
        <w:t>(</w:t>
      </w:r>
      <w:r w:rsidR="00C3703E" w:rsidRPr="00C3703E">
        <w:rPr>
          <w:rFonts w:ascii="Times New Roman" w:hAnsi="Times New Roman" w:cs="Times New Roman"/>
          <w:sz w:val="24"/>
          <w:szCs w:val="24"/>
        </w:rPr>
        <w:t>Boileau, Patenaude, &amp; St-Onge, 2018).</w:t>
      </w:r>
      <w:r w:rsidR="00737137">
        <w:rPr>
          <w:rFonts w:ascii="Times New Roman" w:hAnsi="Times New Roman" w:cs="Times New Roman"/>
          <w:sz w:val="24"/>
          <w:szCs w:val="24"/>
        </w:rPr>
        <w:t xml:space="preserve"> </w:t>
      </w:r>
      <w:r w:rsidR="00EF4A94">
        <w:rPr>
          <w:rFonts w:ascii="Times New Roman" w:hAnsi="Times New Roman" w:cs="Times New Roman"/>
          <w:sz w:val="24"/>
          <w:szCs w:val="24"/>
        </w:rPr>
        <w:t xml:space="preserve">Both HIPAA and FERPAS recognize the need to protect human data when engaging in clinical and educational research respectively. </w:t>
      </w:r>
    </w:p>
    <w:p w14:paraId="60D3E44A" w14:textId="7681A025" w:rsidR="00144B80" w:rsidRDefault="00387CA9" w:rsidP="00387CA9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44B80" w:rsidRPr="00144B80">
        <w:rPr>
          <w:rFonts w:ascii="Times New Roman" w:hAnsi="Times New Roman" w:cs="Times New Roman"/>
          <w:b/>
          <w:bCs/>
          <w:sz w:val="24"/>
          <w:szCs w:val="24"/>
        </w:rPr>
        <w:t xml:space="preserve">xamples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144B80" w:rsidRPr="00144B80">
        <w:rPr>
          <w:rFonts w:ascii="Times New Roman" w:hAnsi="Times New Roman" w:cs="Times New Roman"/>
          <w:b/>
          <w:bCs/>
          <w:sz w:val="24"/>
          <w:szCs w:val="24"/>
        </w:rPr>
        <w:t>where controversy exists regarding application of ethical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4B80" w:rsidRPr="00144B80">
        <w:rPr>
          <w:rFonts w:ascii="Times New Roman" w:hAnsi="Times New Roman" w:cs="Times New Roman"/>
          <w:b/>
          <w:bCs/>
          <w:sz w:val="24"/>
          <w:szCs w:val="24"/>
        </w:rPr>
        <w:t>principles in evidence-based practice projects, best practices in education versus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4B80" w:rsidRPr="00144B80">
        <w:rPr>
          <w:rFonts w:ascii="Times New Roman" w:hAnsi="Times New Roman" w:cs="Times New Roman"/>
          <w:b/>
          <w:bCs/>
          <w:sz w:val="24"/>
          <w:szCs w:val="24"/>
        </w:rPr>
        <w:t>clinical research</w:t>
      </w:r>
    </w:p>
    <w:p w14:paraId="5044E873" w14:textId="29EE47AB" w:rsidR="00D13D67" w:rsidRDefault="00F577F3" w:rsidP="00F577F3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577F3">
        <w:rPr>
          <w:rFonts w:ascii="Times New Roman" w:hAnsi="Times New Roman" w:cs="Times New Roman"/>
          <w:sz w:val="24"/>
          <w:szCs w:val="24"/>
        </w:rPr>
        <w:t xml:space="preserve">Differences in the application of educational and clinical research are based on their aims. </w:t>
      </w:r>
      <w:r w:rsidR="008843C2">
        <w:rPr>
          <w:rFonts w:ascii="Times New Roman" w:hAnsi="Times New Roman" w:cs="Times New Roman"/>
          <w:sz w:val="24"/>
          <w:szCs w:val="24"/>
        </w:rPr>
        <w:t>E</w:t>
      </w:r>
      <w:r w:rsidRPr="00F577F3">
        <w:rPr>
          <w:rFonts w:ascii="Times New Roman" w:hAnsi="Times New Roman" w:cs="Times New Roman"/>
          <w:sz w:val="24"/>
          <w:szCs w:val="24"/>
        </w:rPr>
        <w:t xml:space="preserve">ducational research </w:t>
      </w:r>
      <w:r w:rsidR="008843C2">
        <w:rPr>
          <w:rFonts w:ascii="Times New Roman" w:hAnsi="Times New Roman" w:cs="Times New Roman"/>
          <w:sz w:val="24"/>
          <w:szCs w:val="24"/>
        </w:rPr>
        <w:t xml:space="preserve">uses data analysis </w:t>
      </w:r>
      <w:r>
        <w:rPr>
          <w:rFonts w:ascii="Times New Roman" w:hAnsi="Times New Roman" w:cs="Times New Roman"/>
          <w:sz w:val="24"/>
          <w:szCs w:val="24"/>
        </w:rPr>
        <w:t xml:space="preserve">to solve </w:t>
      </w:r>
      <w:r w:rsidR="008843C2">
        <w:rPr>
          <w:rFonts w:ascii="Times New Roman" w:hAnsi="Times New Roman" w:cs="Times New Roman"/>
          <w:sz w:val="24"/>
          <w:szCs w:val="24"/>
        </w:rPr>
        <w:t>problems. On the other hand, clinical research uses human participants as subjects in clinical trials. As a result, there could be controversies involving human consent when conducting educational research. Educational researchers may indicate the lack o</w:t>
      </w:r>
      <w:r w:rsidR="00DF0F1A">
        <w:rPr>
          <w:rFonts w:ascii="Times New Roman" w:hAnsi="Times New Roman" w:cs="Times New Roman"/>
          <w:sz w:val="24"/>
          <w:szCs w:val="24"/>
        </w:rPr>
        <w:t xml:space="preserve">f necessity in getting participant consent as they only use their data for research. On the other hand, clinical researchers are required </w:t>
      </w:r>
      <w:r w:rsidR="00D72EA1">
        <w:rPr>
          <w:rFonts w:ascii="Times New Roman" w:hAnsi="Times New Roman" w:cs="Times New Roman"/>
          <w:sz w:val="24"/>
          <w:szCs w:val="24"/>
        </w:rPr>
        <w:t xml:space="preserve">by HIPAA </w:t>
      </w:r>
      <w:r w:rsidR="00DF0F1A">
        <w:rPr>
          <w:rFonts w:ascii="Times New Roman" w:hAnsi="Times New Roman" w:cs="Times New Roman"/>
          <w:sz w:val="24"/>
          <w:szCs w:val="24"/>
        </w:rPr>
        <w:t xml:space="preserve">to inform participants </w:t>
      </w:r>
      <w:r w:rsidR="00DF0F1A">
        <w:rPr>
          <w:rFonts w:ascii="Times New Roman" w:hAnsi="Times New Roman" w:cs="Times New Roman"/>
          <w:sz w:val="24"/>
          <w:szCs w:val="24"/>
        </w:rPr>
        <w:lastRenderedPageBreak/>
        <w:t>before involving them in research</w:t>
      </w:r>
      <w:r w:rsidR="00D72EA1" w:rsidRPr="00D72EA1">
        <w:rPr>
          <w:rFonts w:ascii="Times New Roman" w:hAnsi="Times New Roman" w:cs="Times New Roman"/>
          <w:sz w:val="24"/>
          <w:szCs w:val="24"/>
        </w:rPr>
        <w:t xml:space="preserve"> </w:t>
      </w:r>
      <w:r w:rsidR="00D72EA1">
        <w:rPr>
          <w:rFonts w:ascii="Times New Roman" w:hAnsi="Times New Roman" w:cs="Times New Roman"/>
          <w:sz w:val="24"/>
          <w:szCs w:val="24"/>
        </w:rPr>
        <w:t>(</w:t>
      </w:r>
      <w:r w:rsidR="00D72EA1" w:rsidRPr="00D72EA1">
        <w:rPr>
          <w:rFonts w:ascii="Times New Roman" w:hAnsi="Times New Roman" w:cs="Times New Roman"/>
          <w:sz w:val="24"/>
          <w:szCs w:val="24"/>
        </w:rPr>
        <w:t>Guerrini, Botkin, &amp; McGuire,</w:t>
      </w:r>
      <w:r w:rsidR="00D72EA1">
        <w:rPr>
          <w:rFonts w:ascii="Times New Roman" w:hAnsi="Times New Roman" w:cs="Times New Roman"/>
          <w:sz w:val="24"/>
          <w:szCs w:val="24"/>
        </w:rPr>
        <w:t xml:space="preserve"> </w:t>
      </w:r>
      <w:r w:rsidR="00D72EA1" w:rsidRPr="00D72EA1">
        <w:rPr>
          <w:rFonts w:ascii="Times New Roman" w:hAnsi="Times New Roman" w:cs="Times New Roman"/>
          <w:sz w:val="24"/>
          <w:szCs w:val="24"/>
        </w:rPr>
        <w:t>2019)</w:t>
      </w:r>
      <w:r w:rsidR="00DF0F1A">
        <w:rPr>
          <w:rFonts w:ascii="Times New Roman" w:hAnsi="Times New Roman" w:cs="Times New Roman"/>
          <w:sz w:val="24"/>
          <w:szCs w:val="24"/>
        </w:rPr>
        <w:t xml:space="preserve">. </w:t>
      </w:r>
      <w:r w:rsidR="00387CA9">
        <w:rPr>
          <w:rFonts w:ascii="Times New Roman" w:hAnsi="Times New Roman" w:cs="Times New Roman"/>
          <w:sz w:val="24"/>
          <w:szCs w:val="24"/>
        </w:rPr>
        <w:t xml:space="preserve">Best practices in educational research </w:t>
      </w:r>
      <w:r w:rsidR="00E26D19">
        <w:rPr>
          <w:rFonts w:ascii="Times New Roman" w:hAnsi="Times New Roman" w:cs="Times New Roman"/>
          <w:sz w:val="24"/>
          <w:szCs w:val="24"/>
        </w:rPr>
        <w:t>involves</w:t>
      </w:r>
      <w:r w:rsidR="00387CA9">
        <w:rPr>
          <w:rFonts w:ascii="Times New Roman" w:hAnsi="Times New Roman" w:cs="Times New Roman"/>
          <w:sz w:val="24"/>
          <w:szCs w:val="24"/>
        </w:rPr>
        <w:t xml:space="preserve"> the selection of evidence-based practices that will inform the education research. In contrast, best practices in clinical research involves ensuring that the participants have characteristics that can be generalized to the general population</w:t>
      </w:r>
      <w:r w:rsidR="00387CA9" w:rsidRPr="00387CA9">
        <w:rPr>
          <w:rFonts w:ascii="Times New Roman" w:hAnsi="Times New Roman" w:cs="Times New Roman"/>
          <w:sz w:val="24"/>
          <w:szCs w:val="24"/>
        </w:rPr>
        <w:t xml:space="preserve"> </w:t>
      </w:r>
      <w:r w:rsidR="00387CA9">
        <w:rPr>
          <w:rFonts w:ascii="Times New Roman" w:hAnsi="Times New Roman" w:cs="Times New Roman"/>
          <w:sz w:val="24"/>
          <w:szCs w:val="24"/>
        </w:rPr>
        <w:t>(</w:t>
      </w:r>
      <w:r w:rsidR="00387CA9" w:rsidRPr="00387CA9">
        <w:rPr>
          <w:rFonts w:ascii="Times New Roman" w:hAnsi="Times New Roman" w:cs="Times New Roman"/>
          <w:sz w:val="24"/>
          <w:szCs w:val="24"/>
        </w:rPr>
        <w:t>Portney, 2020)</w:t>
      </w:r>
      <w:r w:rsidR="00387C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F0D3A2" w14:textId="77777777" w:rsidR="00D13D67" w:rsidRDefault="00D13D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B111F2" w14:textId="2B2DEFB1" w:rsidR="00F577F3" w:rsidRDefault="00D13D67" w:rsidP="00D13D67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36F7F02C" w14:textId="77777777" w:rsidR="00D13D67" w:rsidRPr="00D13D67" w:rsidRDefault="00D13D67" w:rsidP="00D13D67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3D67">
        <w:rPr>
          <w:rFonts w:ascii="Times New Roman" w:hAnsi="Times New Roman" w:cs="Times New Roman"/>
          <w:sz w:val="24"/>
          <w:szCs w:val="24"/>
        </w:rPr>
        <w:t>Boileau, E., Patenaude, J., &amp; St-Onge, C. (2018). Twelve tips to avoid ethical pitfalls when recruiting students as subjects in medical education research.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Medical teacher</w:t>
      </w:r>
      <w:r w:rsidRPr="00D13D67">
        <w:rPr>
          <w:rFonts w:ascii="Times New Roman" w:hAnsi="Times New Roman" w:cs="Times New Roman"/>
          <w:sz w:val="24"/>
          <w:szCs w:val="24"/>
        </w:rPr>
        <w:t>,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40</w:t>
      </w:r>
      <w:r w:rsidRPr="00D13D67">
        <w:rPr>
          <w:rFonts w:ascii="Times New Roman" w:hAnsi="Times New Roman" w:cs="Times New Roman"/>
          <w:sz w:val="24"/>
          <w:szCs w:val="24"/>
        </w:rPr>
        <w:t>(1), 20-25.</w:t>
      </w:r>
    </w:p>
    <w:p w14:paraId="60C599A8" w14:textId="77777777" w:rsidR="00D13D67" w:rsidRPr="00D13D67" w:rsidRDefault="00D13D67" w:rsidP="00D13D67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3D67">
        <w:rPr>
          <w:rFonts w:ascii="Times New Roman" w:hAnsi="Times New Roman" w:cs="Times New Roman"/>
          <w:sz w:val="24"/>
          <w:szCs w:val="24"/>
        </w:rPr>
        <w:t>Guerrini, C. J., Botkin, J. R., &amp; McGuire, A. L. (2019). Clarify the HIPAA right of access to individuals’ research data.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Nature biotechnology</w:t>
      </w:r>
      <w:r w:rsidRPr="00D13D67">
        <w:rPr>
          <w:rFonts w:ascii="Times New Roman" w:hAnsi="Times New Roman" w:cs="Times New Roman"/>
          <w:sz w:val="24"/>
          <w:szCs w:val="24"/>
        </w:rPr>
        <w:t>,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37</w:t>
      </w:r>
      <w:r w:rsidRPr="00D13D67">
        <w:rPr>
          <w:rFonts w:ascii="Times New Roman" w:hAnsi="Times New Roman" w:cs="Times New Roman"/>
          <w:sz w:val="24"/>
          <w:szCs w:val="24"/>
        </w:rPr>
        <w:t>(8), 850-852.</w:t>
      </w:r>
    </w:p>
    <w:p w14:paraId="17A49B6C" w14:textId="77777777" w:rsidR="00D13D67" w:rsidRPr="00D13D67" w:rsidRDefault="00D13D67" w:rsidP="00D13D67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3D67">
        <w:rPr>
          <w:rFonts w:ascii="Times New Roman" w:hAnsi="Times New Roman" w:cs="Times New Roman"/>
          <w:sz w:val="24"/>
          <w:szCs w:val="24"/>
        </w:rPr>
        <w:t>Heale, R., &amp; Shorten, A. (2017). Ethical context of nursing research.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Evidence-based nursing</w:t>
      </w:r>
      <w:r w:rsidRPr="00D13D67">
        <w:rPr>
          <w:rFonts w:ascii="Times New Roman" w:hAnsi="Times New Roman" w:cs="Times New Roman"/>
          <w:sz w:val="24"/>
          <w:szCs w:val="24"/>
        </w:rPr>
        <w:t>,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20</w:t>
      </w:r>
      <w:r w:rsidRPr="00D13D67">
        <w:rPr>
          <w:rFonts w:ascii="Times New Roman" w:hAnsi="Times New Roman" w:cs="Times New Roman"/>
          <w:sz w:val="24"/>
          <w:szCs w:val="24"/>
        </w:rPr>
        <w:t>(1), 7-7.</w:t>
      </w:r>
    </w:p>
    <w:p w14:paraId="20EB4C76" w14:textId="77777777" w:rsidR="00D13D67" w:rsidRPr="00D13D67" w:rsidRDefault="00D13D67" w:rsidP="00D13D67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3D67">
        <w:rPr>
          <w:rFonts w:ascii="Times New Roman" w:hAnsi="Times New Roman" w:cs="Times New Roman"/>
          <w:sz w:val="24"/>
          <w:szCs w:val="24"/>
        </w:rPr>
        <w:t>Portney, L. G. (2020). </w:t>
      </w:r>
      <w:r w:rsidRPr="00D13D67">
        <w:rPr>
          <w:rFonts w:ascii="Times New Roman" w:hAnsi="Times New Roman" w:cs="Times New Roman"/>
          <w:i/>
          <w:iCs/>
          <w:sz w:val="24"/>
          <w:szCs w:val="24"/>
        </w:rPr>
        <w:t>Foundations of clinical research: applications to evidence-based practice</w:t>
      </w:r>
      <w:r w:rsidRPr="00D13D67">
        <w:rPr>
          <w:rFonts w:ascii="Times New Roman" w:hAnsi="Times New Roman" w:cs="Times New Roman"/>
          <w:sz w:val="24"/>
          <w:szCs w:val="24"/>
        </w:rPr>
        <w:t>. FA Davis.</w:t>
      </w:r>
    </w:p>
    <w:p w14:paraId="6F8556B9" w14:textId="77777777" w:rsidR="00D13D67" w:rsidRPr="00F577F3" w:rsidRDefault="00D13D67" w:rsidP="00F577F3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BC97528" w14:textId="5E2C880C" w:rsidR="00295945" w:rsidRPr="00144B80" w:rsidRDefault="00295945" w:rsidP="00144B80">
      <w:pPr>
        <w:spacing w:after="0"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95945" w:rsidRPr="00144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082BA4"/>
    <w:multiLevelType w:val="hybridMultilevel"/>
    <w:tmpl w:val="C0D073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945"/>
    <w:rsid w:val="001149C8"/>
    <w:rsid w:val="00144B80"/>
    <w:rsid w:val="00295945"/>
    <w:rsid w:val="002A60BF"/>
    <w:rsid w:val="00387CA9"/>
    <w:rsid w:val="004D4B2F"/>
    <w:rsid w:val="00521CFA"/>
    <w:rsid w:val="00651B61"/>
    <w:rsid w:val="00737137"/>
    <w:rsid w:val="00872B9E"/>
    <w:rsid w:val="0088394E"/>
    <w:rsid w:val="008843C2"/>
    <w:rsid w:val="00AA0223"/>
    <w:rsid w:val="00C3703E"/>
    <w:rsid w:val="00D13D67"/>
    <w:rsid w:val="00D72EA1"/>
    <w:rsid w:val="00DF0F1A"/>
    <w:rsid w:val="00E26D19"/>
    <w:rsid w:val="00EF4A94"/>
    <w:rsid w:val="00F5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E81D2"/>
  <w15:chartTrackingRefBased/>
  <w15:docId w15:val="{778384D8-981D-4661-A614-6EB139996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B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Wambui Kimani</dc:creator>
  <cp:keywords/>
  <dc:description/>
  <cp:lastModifiedBy>Wambui Kimani</cp:lastModifiedBy>
  <cp:revision>2</cp:revision>
  <dcterms:created xsi:type="dcterms:W3CDTF">2022-01-26T19:30:00Z</dcterms:created>
  <dcterms:modified xsi:type="dcterms:W3CDTF">2022-01-26T19:30:00Z</dcterms:modified>
</cp:coreProperties>
</file>