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8599A" w14:textId="77777777" w:rsidR="009C3279" w:rsidRDefault="009C3279" w:rsidP="00325727">
      <w:pPr>
        <w:jc w:val="center"/>
      </w:pPr>
    </w:p>
    <w:p w14:paraId="3E490BCD" w14:textId="77777777" w:rsidR="009C3279" w:rsidRDefault="009C3279" w:rsidP="00325727">
      <w:pPr>
        <w:jc w:val="center"/>
      </w:pPr>
    </w:p>
    <w:p w14:paraId="78205D9D" w14:textId="77777777" w:rsidR="009C3279" w:rsidRDefault="009C3279" w:rsidP="00325727">
      <w:pPr>
        <w:jc w:val="center"/>
      </w:pPr>
    </w:p>
    <w:p w14:paraId="7D3A7D1C" w14:textId="77777777" w:rsidR="009C3279" w:rsidRDefault="009C3279" w:rsidP="00325727">
      <w:pPr>
        <w:jc w:val="center"/>
      </w:pPr>
    </w:p>
    <w:p w14:paraId="59ED0153" w14:textId="47DE9634" w:rsidR="00325727" w:rsidRPr="009C3279" w:rsidRDefault="00325727" w:rsidP="00325727">
      <w:pPr>
        <w:jc w:val="center"/>
        <w:rPr>
          <w:b/>
          <w:bCs/>
        </w:rPr>
      </w:pPr>
      <w:r w:rsidRPr="009C3279">
        <w:rPr>
          <w:b/>
          <w:bCs/>
        </w:rPr>
        <w:t>The Florida RS</w:t>
      </w:r>
      <w:bookmarkStart w:id="0" w:name="_GoBack"/>
      <w:bookmarkEnd w:id="0"/>
    </w:p>
    <w:p w14:paraId="41352C9F" w14:textId="2FFDA089" w:rsidR="009C3279" w:rsidRDefault="009C3279" w:rsidP="00325727">
      <w:pPr>
        <w:jc w:val="center"/>
      </w:pPr>
    </w:p>
    <w:p w14:paraId="30047A44" w14:textId="36D35C05" w:rsidR="009C3279" w:rsidRDefault="009C3279" w:rsidP="00325727">
      <w:pPr>
        <w:jc w:val="center"/>
      </w:pPr>
    </w:p>
    <w:p w14:paraId="657DF312" w14:textId="2BE2EFC7" w:rsidR="009C3279" w:rsidRDefault="009C3279" w:rsidP="00325727">
      <w:pPr>
        <w:jc w:val="center"/>
      </w:pPr>
    </w:p>
    <w:p w14:paraId="3C1570E5" w14:textId="16B3DB39" w:rsidR="009C3279" w:rsidRDefault="009C3279" w:rsidP="00325727">
      <w:pPr>
        <w:jc w:val="center"/>
      </w:pPr>
      <w:r>
        <w:t>Name</w:t>
      </w:r>
    </w:p>
    <w:p w14:paraId="4C7B7538" w14:textId="4AC913A6" w:rsidR="009C3279" w:rsidRDefault="009C3279" w:rsidP="00325727">
      <w:pPr>
        <w:jc w:val="center"/>
      </w:pPr>
      <w:r>
        <w:t>Institution</w:t>
      </w:r>
    </w:p>
    <w:p w14:paraId="74198DBC" w14:textId="266F5977" w:rsidR="009C3279" w:rsidRDefault="009C3279" w:rsidP="00325727">
      <w:pPr>
        <w:jc w:val="center"/>
      </w:pPr>
      <w:r>
        <w:t>Course</w:t>
      </w:r>
    </w:p>
    <w:p w14:paraId="1A715384" w14:textId="24D3F025" w:rsidR="009C3279" w:rsidRDefault="009C3279" w:rsidP="00325727">
      <w:pPr>
        <w:jc w:val="center"/>
      </w:pPr>
      <w:r>
        <w:t>Instructor</w:t>
      </w:r>
    </w:p>
    <w:p w14:paraId="571EBA15" w14:textId="71EB8531" w:rsidR="009C3279" w:rsidRDefault="009C3279" w:rsidP="00325727">
      <w:pPr>
        <w:jc w:val="center"/>
      </w:pPr>
      <w:r>
        <w:t xml:space="preserve">Date </w:t>
      </w:r>
    </w:p>
    <w:p w14:paraId="73619BD0" w14:textId="02A373E0" w:rsidR="009C3279" w:rsidRDefault="009C3279" w:rsidP="00325727">
      <w:pPr>
        <w:jc w:val="center"/>
      </w:pPr>
    </w:p>
    <w:p w14:paraId="53A10ED9" w14:textId="64C376B2" w:rsidR="009C3279" w:rsidRDefault="009C3279" w:rsidP="00325727">
      <w:pPr>
        <w:jc w:val="center"/>
      </w:pPr>
    </w:p>
    <w:p w14:paraId="39AD6FAB" w14:textId="4DA1C744" w:rsidR="009C3279" w:rsidRDefault="009C3279" w:rsidP="00325727">
      <w:pPr>
        <w:jc w:val="center"/>
      </w:pPr>
    </w:p>
    <w:p w14:paraId="526654DE" w14:textId="3AD2A855" w:rsidR="009C3279" w:rsidRDefault="009C3279" w:rsidP="00325727">
      <w:pPr>
        <w:jc w:val="center"/>
      </w:pPr>
    </w:p>
    <w:p w14:paraId="3E909CFF" w14:textId="4CE3AD7D" w:rsidR="009C3279" w:rsidRDefault="009C3279" w:rsidP="00325727">
      <w:pPr>
        <w:jc w:val="center"/>
      </w:pPr>
    </w:p>
    <w:p w14:paraId="55837FDB" w14:textId="30CCE088" w:rsidR="009C3279" w:rsidRDefault="009C3279" w:rsidP="00325727">
      <w:pPr>
        <w:jc w:val="center"/>
      </w:pPr>
    </w:p>
    <w:p w14:paraId="3ECE916E" w14:textId="15AE0281" w:rsidR="009C3279" w:rsidRDefault="009C3279" w:rsidP="00325727">
      <w:pPr>
        <w:jc w:val="center"/>
      </w:pPr>
    </w:p>
    <w:p w14:paraId="4FA2C4A9" w14:textId="325F7145" w:rsidR="009C3279" w:rsidRDefault="009C3279" w:rsidP="00325727">
      <w:pPr>
        <w:jc w:val="center"/>
      </w:pPr>
    </w:p>
    <w:p w14:paraId="128930CC" w14:textId="3421B596" w:rsidR="009C3279" w:rsidRDefault="009C3279" w:rsidP="00325727">
      <w:pPr>
        <w:jc w:val="center"/>
      </w:pPr>
    </w:p>
    <w:p w14:paraId="0C400D2B" w14:textId="6354F787" w:rsidR="009C3279" w:rsidRDefault="009C3279" w:rsidP="009C3279">
      <w:pPr>
        <w:jc w:val="center"/>
      </w:pPr>
      <w:r w:rsidRPr="00325727">
        <w:lastRenderedPageBreak/>
        <w:t>The Florida RS</w:t>
      </w:r>
    </w:p>
    <w:p w14:paraId="72EC19BF" w14:textId="2B988FF4" w:rsidR="00D312C9" w:rsidRDefault="001A5A7D" w:rsidP="0098328A">
      <w:pPr>
        <w:ind w:firstLine="720"/>
      </w:pPr>
      <w:r>
        <w:t xml:space="preserve">The </w:t>
      </w:r>
      <w:r w:rsidRPr="001A5A7D">
        <w:t>Florida RS</w:t>
      </w:r>
      <w:r>
        <w:t xml:space="preserve"> was established in 1970</w:t>
      </w:r>
      <w:r w:rsidR="005B3CBB">
        <w:t>,</w:t>
      </w:r>
      <w:r>
        <w:t xml:space="preserve"> and</w:t>
      </w:r>
      <w:r w:rsidR="005B3CBB">
        <w:t xml:space="preserve"> it</w:t>
      </w:r>
      <w:r>
        <w:t xml:space="preserve"> </w:t>
      </w:r>
      <w:r w:rsidRPr="001A5A7D">
        <w:t>covers state and local employees</w:t>
      </w:r>
      <w:r>
        <w:t>. It is a m</w:t>
      </w:r>
      <w:r w:rsidRPr="001A5A7D">
        <w:t>ultiple employer</w:t>
      </w:r>
      <w:r w:rsidR="003A752B">
        <w:t xml:space="preserve"> plan that works on</w:t>
      </w:r>
      <w:r w:rsidRPr="001A5A7D">
        <w:t xml:space="preserve"> cost</w:t>
      </w:r>
      <w:r w:rsidR="005B3CBB">
        <w:t>-</w:t>
      </w:r>
      <w:r w:rsidRPr="001A5A7D">
        <w:t>sharing</w:t>
      </w:r>
      <w:r w:rsidR="003A752B">
        <w:t xml:space="preserve">. </w:t>
      </w:r>
      <w:r w:rsidR="00EC4577">
        <w:t xml:space="preserve">The </w:t>
      </w:r>
      <w:r w:rsidR="00EC4577" w:rsidRPr="00EC4577">
        <w:t xml:space="preserve">pension benefits are paid from trust funds contributed </w:t>
      </w:r>
      <w:r w:rsidR="00EC4577">
        <w:t xml:space="preserve">by </w:t>
      </w:r>
      <w:r w:rsidR="00EC4577" w:rsidRPr="00EC4577">
        <w:t>public employees and their employers while working, not from general operating revenues. Trust fund assets are invested and grow over time</w:t>
      </w:r>
      <w:r w:rsidR="004D5817">
        <w:t>, and</w:t>
      </w:r>
      <w:r w:rsidR="00EC4577" w:rsidRPr="00EC4577">
        <w:t xml:space="preserve"> </w:t>
      </w:r>
      <w:r w:rsidR="004D5817">
        <w:t>t</w:t>
      </w:r>
      <w:r w:rsidR="00EC4577" w:rsidRPr="00EC4577">
        <w:t xml:space="preserve">he combined value of defined benefit plan assets held </w:t>
      </w:r>
      <w:r w:rsidR="004D5817">
        <w:t>by the plan</w:t>
      </w:r>
      <w:r w:rsidR="00EC4577" w:rsidRPr="00EC4577">
        <w:t xml:space="preserve"> as of Q2 2020 </w:t>
      </w:r>
      <w:r w:rsidR="002B4790">
        <w:t>was</w:t>
      </w:r>
      <w:r w:rsidR="00EC4577" w:rsidRPr="00EC4577">
        <w:t xml:space="preserve"> $4.6 trillion, </w:t>
      </w:r>
      <w:r w:rsidR="002B4790">
        <w:t xml:space="preserve">an increase </w:t>
      </w:r>
      <w:r w:rsidR="00EC4577" w:rsidRPr="00EC4577">
        <w:t xml:space="preserve">from $4.5 trillion </w:t>
      </w:r>
      <w:r w:rsidR="002B4790">
        <w:t>in</w:t>
      </w:r>
      <w:r w:rsidR="00EC4577" w:rsidRPr="00EC4577">
        <w:t xml:space="preserve"> Q2 2019</w:t>
      </w:r>
      <w:r w:rsidR="002B4790">
        <w:t>. The net asset</w:t>
      </w:r>
      <w:r w:rsidR="00931E16">
        <w:t>s held by the plan</w:t>
      </w:r>
      <w:r w:rsidR="002B4790">
        <w:t xml:space="preserve"> </w:t>
      </w:r>
      <w:r w:rsidR="00931E16">
        <w:t xml:space="preserve">as of 2020 was $161.57 billion. </w:t>
      </w:r>
      <w:r w:rsidR="001C777B" w:rsidRPr="001C777B">
        <w:t>Annual Required Contribution (ARC)</w:t>
      </w:r>
      <w:r w:rsidR="001C777B">
        <w:t xml:space="preserve"> represents </w:t>
      </w:r>
      <w:r w:rsidR="001C777B" w:rsidRPr="001C777B">
        <w:t xml:space="preserve">the amount </w:t>
      </w:r>
      <w:r w:rsidR="0083280B">
        <w:t>required</w:t>
      </w:r>
      <w:r w:rsidR="001C777B" w:rsidRPr="001C777B">
        <w:t xml:space="preserve"> to finance benefits accrued, plus the cost </w:t>
      </w:r>
      <w:r w:rsidR="006627F4">
        <w:t>of</w:t>
      </w:r>
      <w:r w:rsidR="001C777B" w:rsidRPr="001C777B">
        <w:t xml:space="preserve"> amortiz</w:t>
      </w:r>
      <w:r w:rsidR="006627F4">
        <w:t>ing</w:t>
      </w:r>
      <w:r w:rsidR="001C777B" w:rsidRPr="001C777B">
        <w:t xml:space="preserve"> </w:t>
      </w:r>
      <w:r w:rsidR="006627F4">
        <w:t>outstanding</w:t>
      </w:r>
      <w:r w:rsidR="001C777B" w:rsidRPr="001C777B">
        <w:t xml:space="preserve"> liabilities from </w:t>
      </w:r>
      <w:r w:rsidR="006627F4">
        <w:t>previous</w:t>
      </w:r>
      <w:r w:rsidR="001C777B" w:rsidRPr="001C777B">
        <w:t xml:space="preserve"> years, </w:t>
      </w:r>
      <w:r w:rsidR="0083280B">
        <w:t>less the</w:t>
      </w:r>
      <w:r w:rsidR="001C777B" w:rsidRPr="001C777B">
        <w:t xml:space="preserve"> required employee contributions</w:t>
      </w:r>
      <w:r w:rsidR="0083280B">
        <w:t>. According to the available data, ARC was 12.3% in 2020</w:t>
      </w:r>
      <w:r w:rsidR="00A96974">
        <w:t>, while the</w:t>
      </w:r>
      <w:r w:rsidR="006627F4">
        <w:t xml:space="preserve"> </w:t>
      </w:r>
      <w:r w:rsidR="00A96974" w:rsidRPr="00A96974">
        <w:t>Actuarial Funded Ratio for</w:t>
      </w:r>
      <w:r w:rsidR="00A96974">
        <w:t xml:space="preserve"> the plan was 82%.</w:t>
      </w:r>
      <w:r w:rsidR="00BB08F8">
        <w:t xml:space="preserve"> The net pension liability was </w:t>
      </w:r>
      <w:r w:rsidR="00BB08F8" w:rsidRPr="00BB08F8">
        <w:t>34,437,667,181</w:t>
      </w:r>
      <w:r w:rsidR="00BB08F8">
        <w:t xml:space="preserve"> as of FY 2019.</w:t>
      </w:r>
    </w:p>
    <w:p w14:paraId="57A4AAE4" w14:textId="54EBC6D3" w:rsidR="00174EC5" w:rsidRDefault="0047261E" w:rsidP="008C5298">
      <w:pPr>
        <w:ind w:firstLine="720"/>
      </w:pPr>
      <w:r>
        <w:t xml:space="preserve">There are </w:t>
      </w:r>
      <w:r w:rsidRPr="0047261E">
        <w:t>eight major asset classes</w:t>
      </w:r>
      <w:r w:rsidR="005B3CBB">
        <w:t xml:space="preserve">: equity, fixed income, real estate, private equity, hedge funds, commodities, </w:t>
      </w:r>
      <w:r w:rsidRPr="0047261E">
        <w:t>misc</w:t>
      </w:r>
      <w:r w:rsidR="005B3CBB">
        <w:t>ellaneous</w:t>
      </w:r>
      <w:r w:rsidRPr="0047261E">
        <w:t xml:space="preserve"> alternative assets, </w:t>
      </w:r>
      <w:r>
        <w:t xml:space="preserve">and </w:t>
      </w:r>
      <w:r w:rsidRPr="0047261E">
        <w:t>cash</w:t>
      </w:r>
      <w:r>
        <w:t xml:space="preserve">. </w:t>
      </w:r>
      <w:r w:rsidR="00771C8B">
        <w:t>Asset allocated as fixed income was 18.3% in 2020</w:t>
      </w:r>
      <w:r w:rsidR="0011301C">
        <w:t xml:space="preserve">. Equities had the biggest allocation at 54.1%, while </w:t>
      </w:r>
      <w:r w:rsidR="00266E6B">
        <w:t>private equity, real estate, and hedge fund</w:t>
      </w:r>
      <w:r w:rsidR="005B3CBB">
        <w:t>s received 7.2%, 9.7%, and 8.9%,</w:t>
      </w:r>
      <w:r w:rsidR="00266E6B">
        <w:t xml:space="preserve"> respectively. </w:t>
      </w:r>
      <w:r w:rsidR="0098328A">
        <w:t>The plan comprises passively managed funds</w:t>
      </w:r>
      <w:r w:rsidR="005B3CBB">
        <w:t>. The strategy has been</w:t>
      </w:r>
      <w:r w:rsidR="0098328A">
        <w:t xml:space="preserve"> to match the returns of a market index by buying and holding </w:t>
      </w:r>
      <w:r w:rsidR="009E47C1">
        <w:t>similar</w:t>
      </w:r>
      <w:r w:rsidR="008C5298">
        <w:t xml:space="preserve"> </w:t>
      </w:r>
      <w:r w:rsidR="0098328A">
        <w:t xml:space="preserve">securities as the </w:t>
      </w:r>
      <w:r w:rsidR="008C5298">
        <w:t>market index identified</w:t>
      </w:r>
      <w:r w:rsidR="0098328A">
        <w:t xml:space="preserve">. For the actively managed funds, the strategy is </w:t>
      </w:r>
      <w:r w:rsidR="008C5298">
        <w:t>t</w:t>
      </w:r>
      <w:r w:rsidR="0098328A">
        <w:t xml:space="preserve">o </w:t>
      </w:r>
      <w:r w:rsidR="008C5298">
        <w:t>exceed</w:t>
      </w:r>
      <w:r w:rsidR="0098328A">
        <w:t xml:space="preserve"> </w:t>
      </w:r>
      <w:r w:rsidR="0098328A" w:rsidRPr="0098328A">
        <w:t>a market index</w:t>
      </w:r>
      <w:r w:rsidR="0098328A">
        <w:t xml:space="preserve">. </w:t>
      </w:r>
    </w:p>
    <w:p w14:paraId="0D0A5D4D" w14:textId="013113F8" w:rsidR="006627F4" w:rsidRDefault="009E47C1" w:rsidP="0098328A">
      <w:pPr>
        <w:ind w:firstLine="720"/>
      </w:pPr>
      <w:r>
        <w:t xml:space="preserve">For the Florida RS, the benchmark is national and state plans. </w:t>
      </w:r>
      <w:r w:rsidR="00264B83">
        <w:t xml:space="preserve">The plan has performed well across different metrics. For instance, it has recorded a better </w:t>
      </w:r>
      <w:r w:rsidR="00264B83" w:rsidRPr="00264B83">
        <w:t>ARC</w:t>
      </w:r>
      <w:r w:rsidR="00264B83">
        <w:t xml:space="preserve"> than the national index at 82% against </w:t>
      </w:r>
      <w:r w:rsidR="00DE1EF8">
        <w:t xml:space="preserve">77.1%. </w:t>
      </w:r>
      <w:r w:rsidR="00B65385">
        <w:t xml:space="preserve">However, it has performed poorly in cash flow as a percentage of assets. The national average </w:t>
      </w:r>
      <w:r w:rsidR="00FC1C07">
        <w:t>was</w:t>
      </w:r>
      <w:r w:rsidR="00B65385">
        <w:t xml:space="preserve"> -2.3</w:t>
      </w:r>
      <w:r w:rsidR="00FC1C07">
        <w:t xml:space="preserve">% in 2020, whereas Florida RS was -4.6% in the same year, representing twice as low. </w:t>
      </w:r>
      <w:r w:rsidR="00452F22">
        <w:t xml:space="preserve">One change to enhance returns of the fixed-income portfolio is to </w:t>
      </w:r>
      <w:r w:rsidR="00452F22">
        <w:lastRenderedPageBreak/>
        <w:t>increase the percentage of fixed-income investment in the asset portfolio. The current percentage of just 18%</w:t>
      </w:r>
      <w:r w:rsidR="00BF42AF">
        <w:t xml:space="preserve">, which is around 5 points below the state and local government rate. </w:t>
      </w:r>
    </w:p>
    <w:sectPr w:rsidR="006627F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FDF332" w14:textId="77777777" w:rsidR="001B17E4" w:rsidRDefault="001B17E4" w:rsidP="009C3279">
      <w:pPr>
        <w:spacing w:after="0" w:line="240" w:lineRule="auto"/>
      </w:pPr>
      <w:r>
        <w:separator/>
      </w:r>
    </w:p>
  </w:endnote>
  <w:endnote w:type="continuationSeparator" w:id="0">
    <w:p w14:paraId="7CD164FB" w14:textId="77777777" w:rsidR="001B17E4" w:rsidRDefault="001B17E4" w:rsidP="009C3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36EB45" w14:textId="77777777" w:rsidR="001B17E4" w:rsidRDefault="001B17E4" w:rsidP="009C3279">
      <w:pPr>
        <w:spacing w:after="0" w:line="240" w:lineRule="auto"/>
      </w:pPr>
      <w:r>
        <w:separator/>
      </w:r>
    </w:p>
  </w:footnote>
  <w:footnote w:type="continuationSeparator" w:id="0">
    <w:p w14:paraId="0A94CD53" w14:textId="77777777" w:rsidR="001B17E4" w:rsidRDefault="001B17E4" w:rsidP="009C3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5362513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68816C" w14:textId="4E7021C1" w:rsidR="009C3279" w:rsidRDefault="009C327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EA9376" w14:textId="77777777" w:rsidR="009C3279" w:rsidRDefault="009C32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ztjQ3MzexsDA2NbRU0lEKTi0uzszPAykwrAUAciOupSwAAAA="/>
  </w:docVars>
  <w:rsids>
    <w:rsidRoot w:val="001A5A7D"/>
    <w:rsid w:val="0004294E"/>
    <w:rsid w:val="0011301C"/>
    <w:rsid w:val="00174EC5"/>
    <w:rsid w:val="001A5A7D"/>
    <w:rsid w:val="001B17E4"/>
    <w:rsid w:val="001C777B"/>
    <w:rsid w:val="00264B83"/>
    <w:rsid w:val="00266E6B"/>
    <w:rsid w:val="002B4790"/>
    <w:rsid w:val="00325727"/>
    <w:rsid w:val="003A752B"/>
    <w:rsid w:val="00452F22"/>
    <w:rsid w:val="0047261E"/>
    <w:rsid w:val="004D5817"/>
    <w:rsid w:val="005B3CBB"/>
    <w:rsid w:val="006627F4"/>
    <w:rsid w:val="00771C8B"/>
    <w:rsid w:val="00773CC7"/>
    <w:rsid w:val="0083280B"/>
    <w:rsid w:val="00862A86"/>
    <w:rsid w:val="008C5298"/>
    <w:rsid w:val="00931E16"/>
    <w:rsid w:val="0098328A"/>
    <w:rsid w:val="009C3279"/>
    <w:rsid w:val="009E47C1"/>
    <w:rsid w:val="00A96974"/>
    <w:rsid w:val="00B65385"/>
    <w:rsid w:val="00BB08F8"/>
    <w:rsid w:val="00BF42AF"/>
    <w:rsid w:val="00D312C9"/>
    <w:rsid w:val="00DE1EF8"/>
    <w:rsid w:val="00EC4577"/>
    <w:rsid w:val="00FC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17416"/>
  <w15:chartTrackingRefBased/>
  <w15:docId w15:val="{BBE8F95E-2607-41D6-8D20-189E9D660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Aswani"/>
    <w:qFormat/>
    <w:rsid w:val="0004294E"/>
    <w:pPr>
      <w:spacing w:after="4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3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327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9C3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3279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8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2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Aswani Brian</dc:creator>
  <cp:keywords/>
  <dc:description/>
  <cp:lastModifiedBy>Aswani Brian</cp:lastModifiedBy>
  <cp:revision>4</cp:revision>
  <dcterms:created xsi:type="dcterms:W3CDTF">2021-08-05T09:44:00Z</dcterms:created>
  <dcterms:modified xsi:type="dcterms:W3CDTF">2021-08-05T12:28:00Z</dcterms:modified>
</cp:coreProperties>
</file>