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3818FB" w:rsidP="003818FB" w14:paraId="119F1928" w14:textId="77777777">
      <w:pPr>
        <w:spacing w:line="480" w:lineRule="auto"/>
        <w:contextualSpacing/>
        <w:rPr>
          <w:rFonts w:ascii="Times New Roman" w:hAnsi="Times New Roman" w:cs="Times New Roman"/>
          <w:sz w:val="24"/>
          <w:szCs w:val="24"/>
        </w:rPr>
      </w:pPr>
    </w:p>
    <w:p w:rsidR="003818FB" w:rsidP="003818FB" w14:paraId="0FA5C348" w14:textId="77777777">
      <w:pPr>
        <w:jc w:val="center"/>
        <w:rPr>
          <w:rFonts w:ascii="Times New Roman" w:hAnsi="Times New Roman" w:cs="Times New Roman"/>
          <w:sz w:val="24"/>
          <w:szCs w:val="24"/>
        </w:rPr>
      </w:pPr>
    </w:p>
    <w:p w:rsidR="003818FB" w:rsidP="003818FB" w14:paraId="15B4C3E6" w14:textId="77777777">
      <w:pPr>
        <w:jc w:val="center"/>
        <w:rPr>
          <w:rFonts w:ascii="Times New Roman" w:hAnsi="Times New Roman" w:cs="Times New Roman"/>
          <w:sz w:val="24"/>
          <w:szCs w:val="24"/>
        </w:rPr>
      </w:pPr>
    </w:p>
    <w:p w:rsidR="003818FB" w:rsidP="003818FB" w14:paraId="781A9734" w14:textId="77777777">
      <w:pPr>
        <w:jc w:val="center"/>
        <w:rPr>
          <w:rFonts w:ascii="Times New Roman" w:hAnsi="Times New Roman" w:cs="Times New Roman"/>
          <w:sz w:val="24"/>
          <w:szCs w:val="24"/>
        </w:rPr>
      </w:pPr>
    </w:p>
    <w:p w:rsidR="003818FB" w:rsidP="003818FB" w14:paraId="1E556177" w14:textId="77777777">
      <w:pPr>
        <w:jc w:val="center"/>
        <w:rPr>
          <w:rFonts w:ascii="Times New Roman" w:hAnsi="Times New Roman" w:cs="Times New Roman"/>
          <w:sz w:val="24"/>
          <w:szCs w:val="24"/>
        </w:rPr>
      </w:pPr>
    </w:p>
    <w:p w:rsidR="003818FB" w:rsidP="003818FB" w14:paraId="3A796FDC" w14:textId="77777777">
      <w:pPr>
        <w:jc w:val="center"/>
        <w:rPr>
          <w:rFonts w:ascii="Times New Roman" w:hAnsi="Times New Roman" w:cs="Times New Roman"/>
          <w:sz w:val="24"/>
          <w:szCs w:val="24"/>
        </w:rPr>
      </w:pPr>
    </w:p>
    <w:p w:rsidR="003818FB" w:rsidP="003818FB" w14:paraId="290BFF6B" w14:textId="77777777">
      <w:pPr>
        <w:jc w:val="center"/>
        <w:rPr>
          <w:rFonts w:ascii="Times New Roman" w:hAnsi="Times New Roman" w:cs="Times New Roman"/>
          <w:sz w:val="24"/>
          <w:szCs w:val="24"/>
        </w:rPr>
      </w:pPr>
    </w:p>
    <w:p w:rsidR="003818FB" w:rsidP="003818FB" w14:paraId="136219FE" w14:textId="77777777">
      <w:pPr>
        <w:jc w:val="center"/>
        <w:rPr>
          <w:rFonts w:ascii="Times New Roman" w:hAnsi="Times New Roman" w:cs="Times New Roman"/>
          <w:sz w:val="24"/>
          <w:szCs w:val="24"/>
        </w:rPr>
      </w:pPr>
    </w:p>
    <w:p w:rsidR="003818FB" w:rsidP="003818FB" w14:paraId="529C5D30" w14:textId="77777777">
      <w:pPr>
        <w:jc w:val="center"/>
        <w:rPr>
          <w:rFonts w:ascii="Times New Roman" w:hAnsi="Times New Roman" w:cs="Times New Roman"/>
          <w:sz w:val="24"/>
          <w:szCs w:val="24"/>
        </w:rPr>
      </w:pPr>
    </w:p>
    <w:p w:rsidR="003818FB" w:rsidP="003818FB" w14:paraId="1A86A3F1" w14:textId="77777777">
      <w:pPr>
        <w:jc w:val="center"/>
        <w:rPr>
          <w:rFonts w:ascii="Times New Roman" w:hAnsi="Times New Roman" w:cs="Times New Roman"/>
          <w:sz w:val="24"/>
          <w:szCs w:val="24"/>
        </w:rPr>
      </w:pPr>
    </w:p>
    <w:p w:rsidR="003818FB" w:rsidP="003818FB" w14:paraId="1CA38B11" w14:textId="3A4C227A">
      <w:pPr>
        <w:jc w:val="center"/>
        <w:rPr>
          <w:rFonts w:ascii="Times New Roman" w:hAnsi="Times New Roman" w:cs="Times New Roman"/>
          <w:b/>
          <w:bCs/>
          <w:sz w:val="24"/>
          <w:szCs w:val="24"/>
        </w:rPr>
      </w:pPr>
      <w:r w:rsidRPr="003818FB">
        <w:rPr>
          <w:rFonts w:ascii="Times New Roman" w:hAnsi="Times New Roman" w:cs="Times New Roman"/>
          <w:b/>
          <w:bCs/>
          <w:sz w:val="24"/>
          <w:szCs w:val="24"/>
        </w:rPr>
        <w:t>Contraceptives</w:t>
      </w:r>
    </w:p>
    <w:p w:rsidR="003818FB" w:rsidRPr="003818FB" w:rsidP="003818FB" w14:paraId="15D37891" w14:textId="77777777">
      <w:pPr>
        <w:jc w:val="center"/>
        <w:rPr>
          <w:rFonts w:ascii="Times New Roman" w:hAnsi="Times New Roman" w:cs="Times New Roman"/>
          <w:b/>
          <w:bCs/>
          <w:sz w:val="24"/>
          <w:szCs w:val="24"/>
        </w:rPr>
      </w:pPr>
    </w:p>
    <w:p w:rsidR="003818FB" w:rsidP="003818FB" w14:paraId="3E55546D" w14:textId="77777777">
      <w:pPr>
        <w:jc w:val="center"/>
        <w:rPr>
          <w:rFonts w:ascii="Times New Roman" w:hAnsi="Times New Roman" w:cs="Times New Roman"/>
          <w:sz w:val="24"/>
          <w:szCs w:val="24"/>
        </w:rPr>
      </w:pPr>
      <w:r>
        <w:rPr>
          <w:rFonts w:ascii="Times New Roman" w:hAnsi="Times New Roman" w:cs="Times New Roman"/>
          <w:sz w:val="24"/>
          <w:szCs w:val="24"/>
        </w:rPr>
        <w:t>Student’s Name</w:t>
      </w:r>
    </w:p>
    <w:p w:rsidR="003818FB" w:rsidP="003818FB" w14:paraId="738711CA" w14:textId="77777777">
      <w:pPr>
        <w:jc w:val="center"/>
        <w:rPr>
          <w:rFonts w:ascii="Times New Roman" w:hAnsi="Times New Roman" w:cs="Times New Roman"/>
          <w:sz w:val="24"/>
          <w:szCs w:val="24"/>
        </w:rPr>
      </w:pPr>
      <w:r>
        <w:rPr>
          <w:rFonts w:ascii="Times New Roman" w:hAnsi="Times New Roman" w:cs="Times New Roman"/>
          <w:sz w:val="24"/>
          <w:szCs w:val="24"/>
        </w:rPr>
        <w:t>University Affiliation</w:t>
      </w:r>
    </w:p>
    <w:p w:rsidR="003818FB" w:rsidP="003818FB" w14:paraId="53A297A5" w14:textId="77777777">
      <w:pPr>
        <w:jc w:val="center"/>
        <w:rPr>
          <w:rFonts w:ascii="Times New Roman" w:hAnsi="Times New Roman" w:cs="Times New Roman"/>
          <w:sz w:val="24"/>
          <w:szCs w:val="24"/>
        </w:rPr>
      </w:pPr>
      <w:r>
        <w:rPr>
          <w:rFonts w:ascii="Times New Roman" w:hAnsi="Times New Roman" w:cs="Times New Roman"/>
          <w:sz w:val="24"/>
          <w:szCs w:val="24"/>
        </w:rPr>
        <w:t>Course Name and Number</w:t>
      </w:r>
    </w:p>
    <w:p w:rsidR="003818FB" w:rsidP="003818FB" w14:paraId="7D7A6B8E" w14:textId="77777777">
      <w:pPr>
        <w:jc w:val="center"/>
        <w:rPr>
          <w:rFonts w:ascii="Times New Roman" w:hAnsi="Times New Roman" w:cs="Times New Roman"/>
          <w:sz w:val="24"/>
          <w:szCs w:val="24"/>
        </w:rPr>
      </w:pPr>
      <w:r>
        <w:rPr>
          <w:rFonts w:ascii="Times New Roman" w:hAnsi="Times New Roman" w:cs="Times New Roman"/>
          <w:sz w:val="24"/>
          <w:szCs w:val="24"/>
        </w:rPr>
        <w:t>Instructor’s Name</w:t>
      </w:r>
    </w:p>
    <w:p w:rsidR="003818FB" w:rsidP="003818FB" w14:paraId="2ACE5BF3" w14:textId="7C71E102">
      <w:pPr>
        <w:jc w:val="center"/>
        <w:rPr>
          <w:rFonts w:ascii="Times New Roman" w:hAnsi="Times New Roman" w:cs="Times New Roman"/>
          <w:sz w:val="24"/>
          <w:szCs w:val="24"/>
        </w:rPr>
      </w:pPr>
      <w:r>
        <w:rPr>
          <w:rFonts w:ascii="Times New Roman" w:hAnsi="Times New Roman" w:cs="Times New Roman"/>
          <w:sz w:val="24"/>
          <w:szCs w:val="24"/>
        </w:rPr>
        <w:t>Assignment Due Date</w:t>
      </w:r>
      <w:r>
        <w:rPr>
          <w:rFonts w:ascii="Times New Roman" w:hAnsi="Times New Roman" w:cs="Times New Roman"/>
          <w:sz w:val="24"/>
          <w:szCs w:val="24"/>
        </w:rPr>
        <w:br w:type="page"/>
      </w:r>
    </w:p>
    <w:p w:rsidR="00E551BF" w:rsidP="003818FB" w14:paraId="321AD7A8" w14:textId="1F94CECD">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If a woman is interested in preventing pregnancy, there are several options at her disposal. First and foremost, she can consider barrier methods which include male and female condoms. The woman could also consider using short-acting hormonal methods such as birth control pills, vaginal rings, skin patches, and contraceptive injection. The short-term options have to be used on a weekly, daily, or monthly basis. Long-acting hormonal methods are also a viable option. Examples of long-acting hormonal methods include copper IUDs, contraceptive implants, and hormonal IUDs. These long-acting methods can last for three to ten years. </w:t>
      </w:r>
      <w:r w:rsidR="006462BD">
        <w:rPr>
          <w:rFonts w:ascii="Times New Roman" w:hAnsi="Times New Roman" w:cs="Times New Roman"/>
          <w:sz w:val="24"/>
          <w:szCs w:val="24"/>
        </w:rPr>
        <w:t>Sterilization is the last and permanent option available for women. Sterilization is permanent and mainly involves a process called tubal ligation</w:t>
      </w:r>
      <w:r w:rsidR="0004310B">
        <w:rPr>
          <w:rFonts w:ascii="Times New Roman" w:hAnsi="Times New Roman" w:cs="Times New Roman"/>
          <w:sz w:val="24"/>
          <w:szCs w:val="24"/>
        </w:rPr>
        <w:t xml:space="preserve"> </w:t>
      </w:r>
      <w:r w:rsidRPr="0004310B" w:rsidR="0004310B">
        <w:rPr>
          <w:rFonts w:ascii="Times New Roman" w:hAnsi="Times New Roman" w:cs="Times New Roman"/>
          <w:sz w:val="24"/>
          <w:szCs w:val="24"/>
        </w:rPr>
        <w:t xml:space="preserve">("Birth control: What method is right for </w:t>
      </w:r>
      <w:r w:rsidRPr="0004310B" w:rsidR="0004310B">
        <w:rPr>
          <w:rFonts w:ascii="Times New Roman" w:hAnsi="Times New Roman" w:cs="Times New Roman"/>
          <w:sz w:val="24"/>
          <w:szCs w:val="24"/>
        </w:rPr>
        <w:t>me?</w:t>
      </w:r>
      <w:r w:rsidRPr="0004310B" w:rsidR="0004310B">
        <w:rPr>
          <w:rFonts w:ascii="Times New Roman" w:hAnsi="Times New Roman" w:cs="Times New Roman"/>
          <w:sz w:val="24"/>
          <w:szCs w:val="24"/>
        </w:rPr>
        <w:t>" 2015)</w:t>
      </w:r>
      <w:r w:rsidR="0004310B">
        <w:rPr>
          <w:rFonts w:ascii="Times New Roman" w:hAnsi="Times New Roman" w:cs="Times New Roman"/>
          <w:sz w:val="24"/>
          <w:szCs w:val="24"/>
        </w:rPr>
        <w:t>.</w:t>
      </w:r>
    </w:p>
    <w:p w:rsidR="00CC5C36" w:rsidP="00797432" w14:paraId="46B2A9FC" w14:textId="3F248042">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Age is a factor that should be considered when choosing contraceptives for women. Women older than 40 are at risk of heart diseases if they use </w:t>
      </w:r>
      <w:r w:rsidR="00BB2D2C">
        <w:rPr>
          <w:rFonts w:ascii="Times New Roman" w:hAnsi="Times New Roman" w:cs="Times New Roman"/>
          <w:sz w:val="24"/>
          <w:szCs w:val="24"/>
        </w:rPr>
        <w:t>hormone-based</w:t>
      </w:r>
      <w:r>
        <w:rPr>
          <w:rFonts w:ascii="Times New Roman" w:hAnsi="Times New Roman" w:cs="Times New Roman"/>
          <w:sz w:val="24"/>
          <w:szCs w:val="24"/>
        </w:rPr>
        <w:t xml:space="preserve"> birth controls</w:t>
      </w:r>
      <w:r w:rsidR="0004310B">
        <w:rPr>
          <w:rFonts w:ascii="Times New Roman" w:hAnsi="Times New Roman" w:cs="Times New Roman"/>
          <w:sz w:val="24"/>
          <w:szCs w:val="24"/>
        </w:rPr>
        <w:t xml:space="preserve"> (Romer, 2019)</w:t>
      </w:r>
      <w:r>
        <w:rPr>
          <w:rFonts w:ascii="Times New Roman" w:hAnsi="Times New Roman" w:cs="Times New Roman"/>
          <w:sz w:val="24"/>
          <w:szCs w:val="24"/>
        </w:rPr>
        <w:t xml:space="preserve">. </w:t>
      </w:r>
      <w:r w:rsidR="00BB2D2C">
        <w:rPr>
          <w:rFonts w:ascii="Times New Roman" w:hAnsi="Times New Roman" w:cs="Times New Roman"/>
          <w:sz w:val="24"/>
          <w:szCs w:val="24"/>
        </w:rPr>
        <w:t xml:space="preserve">Estrogen-based contraceptives increase the risk of adverse heart events in older women. Older women with a history of blood clots should avoid </w:t>
      </w:r>
      <w:r w:rsidR="00F93D26">
        <w:rPr>
          <w:rFonts w:ascii="Times New Roman" w:hAnsi="Times New Roman" w:cs="Times New Roman"/>
          <w:sz w:val="24"/>
          <w:szCs w:val="24"/>
        </w:rPr>
        <w:t>hormone-based</w:t>
      </w:r>
      <w:r w:rsidR="00BB2D2C">
        <w:rPr>
          <w:rFonts w:ascii="Times New Roman" w:hAnsi="Times New Roman" w:cs="Times New Roman"/>
          <w:sz w:val="24"/>
          <w:szCs w:val="24"/>
        </w:rPr>
        <w:t xml:space="preserve"> birth controls. </w:t>
      </w:r>
      <w:r w:rsidR="00F93D26">
        <w:rPr>
          <w:rFonts w:ascii="Times New Roman" w:hAnsi="Times New Roman" w:cs="Times New Roman"/>
          <w:sz w:val="24"/>
          <w:szCs w:val="24"/>
        </w:rPr>
        <w:t>To effectively help a woman choose the best contraceptive method, I would inform her of all the available options, including how effective they are</w:t>
      </w:r>
      <w:r w:rsidR="00E551BF">
        <w:rPr>
          <w:rFonts w:ascii="Times New Roman" w:hAnsi="Times New Roman" w:cs="Times New Roman"/>
          <w:sz w:val="24"/>
          <w:szCs w:val="24"/>
        </w:rPr>
        <w:t xml:space="preserve"> and whether they are reversible</w:t>
      </w:r>
      <w:r w:rsidR="00F93D26">
        <w:rPr>
          <w:rFonts w:ascii="Times New Roman" w:hAnsi="Times New Roman" w:cs="Times New Roman"/>
          <w:sz w:val="24"/>
          <w:szCs w:val="24"/>
        </w:rPr>
        <w:t>. I would also provide adequate information on the expected side effects</w:t>
      </w:r>
      <w:r w:rsidR="00E551BF">
        <w:rPr>
          <w:rFonts w:ascii="Times New Roman" w:hAnsi="Times New Roman" w:cs="Times New Roman"/>
          <w:sz w:val="24"/>
          <w:szCs w:val="24"/>
        </w:rPr>
        <w:t xml:space="preserve"> of all possibilities. Considering that </w:t>
      </w:r>
      <w:r w:rsidR="004D1D9A">
        <w:rPr>
          <w:rFonts w:ascii="Times New Roman" w:hAnsi="Times New Roman" w:cs="Times New Roman"/>
          <w:sz w:val="24"/>
          <w:szCs w:val="24"/>
        </w:rPr>
        <w:t>some hormonal contraceptives are unsafe for women with specific health conditions, it is imperative to ask the patient about their health history</w:t>
      </w:r>
      <w:r w:rsidR="0004310B">
        <w:rPr>
          <w:rFonts w:ascii="Times New Roman" w:hAnsi="Times New Roman" w:cs="Times New Roman"/>
          <w:sz w:val="24"/>
          <w:szCs w:val="24"/>
        </w:rPr>
        <w:t xml:space="preserve"> (Marks, 2020).</w:t>
      </w:r>
    </w:p>
    <w:p w:rsidR="00CC5C36" w:rsidP="00CC5C36" w14:paraId="2920826F" w14:textId="5F38B56A">
      <w:pPr>
        <w:spacing w:line="480" w:lineRule="auto"/>
        <w:contextualSpacing/>
        <w:rPr>
          <w:rFonts w:ascii="Times New Roman" w:hAnsi="Times New Roman" w:cs="Times New Roman"/>
          <w:sz w:val="24"/>
          <w:szCs w:val="24"/>
        </w:rPr>
      </w:pPr>
    </w:p>
    <w:p w:rsidR="00CC5C36" w:rsidP="00CC5C36" w14:paraId="1D948A9D" w14:textId="66965A1C">
      <w:pPr>
        <w:spacing w:line="480" w:lineRule="auto"/>
        <w:contextualSpacing/>
        <w:rPr>
          <w:rFonts w:ascii="Times New Roman" w:hAnsi="Times New Roman" w:cs="Times New Roman"/>
          <w:sz w:val="24"/>
          <w:szCs w:val="24"/>
        </w:rPr>
      </w:pPr>
    </w:p>
    <w:p w:rsidR="00CC5C36" w:rsidP="00CC5C36" w14:paraId="59C17146" w14:textId="5CEC28E6">
      <w:pPr>
        <w:spacing w:line="480" w:lineRule="auto"/>
        <w:contextualSpacing/>
        <w:rPr>
          <w:rFonts w:ascii="Times New Roman" w:hAnsi="Times New Roman" w:cs="Times New Roman"/>
          <w:sz w:val="24"/>
          <w:szCs w:val="24"/>
        </w:rPr>
      </w:pPr>
    </w:p>
    <w:p w:rsidR="00DF6B51" w:rsidP="00CC5C36" w14:paraId="6AE9F8B6" w14:textId="77777777">
      <w:pPr>
        <w:spacing w:line="480" w:lineRule="auto"/>
        <w:contextualSpacing/>
        <w:rPr>
          <w:rFonts w:ascii="Times New Roman" w:hAnsi="Times New Roman" w:cs="Times New Roman"/>
          <w:sz w:val="24"/>
          <w:szCs w:val="24"/>
        </w:rPr>
      </w:pPr>
    </w:p>
    <w:p w:rsidR="00E37E78" w:rsidRPr="00E37E78" w:rsidP="00E37E78" w14:paraId="233B7081" w14:textId="77777777">
      <w:pPr>
        <w:spacing w:line="480" w:lineRule="auto"/>
        <w:contextualSpacing/>
        <w:jc w:val="center"/>
        <w:rPr>
          <w:rFonts w:ascii="Times New Roman" w:hAnsi="Times New Roman" w:cs="Times New Roman"/>
          <w:b/>
          <w:bCs/>
          <w:sz w:val="24"/>
          <w:szCs w:val="24"/>
        </w:rPr>
      </w:pPr>
      <w:r w:rsidRPr="00E37E78">
        <w:rPr>
          <w:rFonts w:ascii="Times New Roman" w:hAnsi="Times New Roman" w:cs="Times New Roman"/>
          <w:b/>
          <w:bCs/>
          <w:sz w:val="24"/>
          <w:szCs w:val="24"/>
        </w:rPr>
        <w:t>References</w:t>
      </w:r>
    </w:p>
    <w:p w:rsidR="00E37E78" w:rsidRPr="00E37E78" w:rsidP="00E37E78" w14:paraId="3A57D590" w14:textId="77777777">
      <w:pPr>
        <w:spacing w:line="480" w:lineRule="auto"/>
        <w:ind w:left="720" w:hanging="720"/>
        <w:contextualSpacing/>
        <w:rPr>
          <w:rFonts w:ascii="Times New Roman" w:hAnsi="Times New Roman" w:cs="Times New Roman"/>
          <w:sz w:val="24"/>
          <w:szCs w:val="24"/>
        </w:rPr>
      </w:pPr>
      <w:r w:rsidRPr="00E37E78">
        <w:rPr>
          <w:rFonts w:ascii="Times New Roman" w:hAnsi="Times New Roman" w:cs="Times New Roman"/>
          <w:sz w:val="24"/>
          <w:szCs w:val="24"/>
        </w:rPr>
        <w:t>Birth control: What method is right for me? (2015). </w:t>
      </w:r>
      <w:r w:rsidRPr="00E37E78">
        <w:rPr>
          <w:rFonts w:ascii="Times New Roman" w:hAnsi="Times New Roman" w:cs="Times New Roman"/>
          <w:i/>
          <w:iCs/>
          <w:sz w:val="24"/>
          <w:szCs w:val="24"/>
        </w:rPr>
        <w:t>Journal of Midwifery &amp; Women's Health</w:t>
      </w:r>
      <w:r w:rsidRPr="00E37E78">
        <w:rPr>
          <w:rFonts w:ascii="Times New Roman" w:hAnsi="Times New Roman" w:cs="Times New Roman"/>
          <w:sz w:val="24"/>
          <w:szCs w:val="24"/>
        </w:rPr>
        <w:t>, </w:t>
      </w:r>
      <w:r w:rsidRPr="00E37E78">
        <w:rPr>
          <w:rFonts w:ascii="Times New Roman" w:hAnsi="Times New Roman" w:cs="Times New Roman"/>
          <w:i/>
          <w:iCs/>
          <w:sz w:val="24"/>
          <w:szCs w:val="24"/>
        </w:rPr>
        <w:t>60</w:t>
      </w:r>
      <w:r w:rsidRPr="00E37E78">
        <w:rPr>
          <w:rFonts w:ascii="Times New Roman" w:hAnsi="Times New Roman" w:cs="Times New Roman"/>
          <w:sz w:val="24"/>
          <w:szCs w:val="24"/>
        </w:rPr>
        <w:t>(6), 793-794. </w:t>
      </w:r>
      <w:hyperlink r:id="rId4" w:history="1">
        <w:r w:rsidRPr="00E37E78">
          <w:rPr>
            <w:rStyle w:val="Hyperlink"/>
            <w:rFonts w:ascii="Times New Roman" w:hAnsi="Times New Roman" w:cs="Times New Roman"/>
            <w:sz w:val="24"/>
            <w:szCs w:val="24"/>
          </w:rPr>
          <w:t>https://doi.org/10.1111/jmwh.12418</w:t>
        </w:r>
      </w:hyperlink>
    </w:p>
    <w:p w:rsidR="00E37E78" w:rsidRPr="00E37E78" w:rsidP="00E37E78" w14:paraId="56A8C0D7" w14:textId="77777777">
      <w:pPr>
        <w:spacing w:line="480" w:lineRule="auto"/>
        <w:ind w:left="720" w:hanging="720"/>
        <w:contextualSpacing/>
        <w:rPr>
          <w:rFonts w:ascii="Times New Roman" w:hAnsi="Times New Roman" w:cs="Times New Roman"/>
          <w:sz w:val="24"/>
          <w:szCs w:val="24"/>
        </w:rPr>
      </w:pPr>
      <w:r w:rsidRPr="00E37E78">
        <w:rPr>
          <w:rFonts w:ascii="Times New Roman" w:hAnsi="Times New Roman" w:cs="Times New Roman"/>
          <w:sz w:val="24"/>
          <w:szCs w:val="24"/>
        </w:rPr>
        <w:t>Marks, H. (2020, November 5). </w:t>
      </w:r>
      <w:r w:rsidRPr="00E37E78">
        <w:rPr>
          <w:rFonts w:ascii="Times New Roman" w:hAnsi="Times New Roman" w:cs="Times New Roman"/>
          <w:i/>
          <w:iCs/>
          <w:sz w:val="24"/>
          <w:szCs w:val="24"/>
        </w:rPr>
        <w:t>7 factors in choosing birth control</w:t>
      </w:r>
      <w:r w:rsidRPr="00E37E78">
        <w:rPr>
          <w:rFonts w:ascii="Times New Roman" w:hAnsi="Times New Roman" w:cs="Times New Roman"/>
          <w:sz w:val="24"/>
          <w:szCs w:val="24"/>
        </w:rPr>
        <w:t>. Healthgrades. </w:t>
      </w:r>
      <w:hyperlink r:id="rId5" w:history="1">
        <w:r w:rsidRPr="00E37E78">
          <w:rPr>
            <w:rStyle w:val="Hyperlink"/>
            <w:rFonts w:ascii="Times New Roman" w:hAnsi="Times New Roman" w:cs="Times New Roman"/>
            <w:sz w:val="24"/>
            <w:szCs w:val="24"/>
          </w:rPr>
          <w:t>https://www.healthgrades.com/right-care/birth-control/7-things-to-consider-when-choosing-birth-control</w:t>
        </w:r>
      </w:hyperlink>
    </w:p>
    <w:p w:rsidR="00E37E78" w:rsidRPr="00E37E78" w:rsidP="00E37E78" w14:paraId="22FAD58B" w14:textId="77777777">
      <w:pPr>
        <w:spacing w:line="480" w:lineRule="auto"/>
        <w:ind w:left="720" w:hanging="720"/>
        <w:contextualSpacing/>
        <w:rPr>
          <w:rFonts w:ascii="Times New Roman" w:hAnsi="Times New Roman" w:cs="Times New Roman"/>
          <w:sz w:val="24"/>
          <w:szCs w:val="24"/>
        </w:rPr>
      </w:pPr>
      <w:r w:rsidRPr="00E37E78">
        <w:rPr>
          <w:rFonts w:ascii="Times New Roman" w:hAnsi="Times New Roman" w:cs="Times New Roman"/>
          <w:sz w:val="24"/>
          <w:szCs w:val="24"/>
        </w:rPr>
        <w:t>Römer, T. (2019). Medical eligibility for contraception in women at increased risk. </w:t>
      </w:r>
      <w:r w:rsidRPr="00E37E78">
        <w:rPr>
          <w:rFonts w:ascii="Times New Roman" w:hAnsi="Times New Roman" w:cs="Times New Roman"/>
          <w:i/>
          <w:iCs/>
          <w:sz w:val="24"/>
          <w:szCs w:val="24"/>
        </w:rPr>
        <w:t>Deutsches</w:t>
      </w:r>
      <w:r w:rsidRPr="00E37E78">
        <w:rPr>
          <w:rFonts w:ascii="Times New Roman" w:hAnsi="Times New Roman" w:cs="Times New Roman"/>
          <w:i/>
          <w:iCs/>
          <w:sz w:val="24"/>
          <w:szCs w:val="24"/>
        </w:rPr>
        <w:t xml:space="preserve"> </w:t>
      </w:r>
      <w:r w:rsidRPr="00E37E78">
        <w:rPr>
          <w:rFonts w:ascii="Times New Roman" w:hAnsi="Times New Roman" w:cs="Times New Roman"/>
          <w:i/>
          <w:iCs/>
          <w:sz w:val="24"/>
          <w:szCs w:val="24"/>
        </w:rPr>
        <w:t>Aerzteblatt</w:t>
      </w:r>
      <w:r w:rsidRPr="00E37E78">
        <w:rPr>
          <w:rFonts w:ascii="Times New Roman" w:hAnsi="Times New Roman" w:cs="Times New Roman"/>
          <w:i/>
          <w:iCs/>
          <w:sz w:val="24"/>
          <w:szCs w:val="24"/>
        </w:rPr>
        <w:t xml:space="preserve"> Online</w:t>
      </w:r>
      <w:r w:rsidRPr="00E37E78">
        <w:rPr>
          <w:rFonts w:ascii="Times New Roman" w:hAnsi="Times New Roman" w:cs="Times New Roman"/>
          <w:sz w:val="24"/>
          <w:szCs w:val="24"/>
        </w:rPr>
        <w:t>. </w:t>
      </w:r>
      <w:hyperlink r:id="rId6" w:history="1">
        <w:r w:rsidRPr="00E37E78">
          <w:rPr>
            <w:rStyle w:val="Hyperlink"/>
            <w:rFonts w:ascii="Times New Roman" w:hAnsi="Times New Roman" w:cs="Times New Roman"/>
            <w:sz w:val="24"/>
            <w:szCs w:val="24"/>
          </w:rPr>
          <w:t>https://doi.org/10.3238/arztebl.2019.0764</w:t>
        </w:r>
      </w:hyperlink>
    </w:p>
    <w:p w:rsidR="00CC5C36" w:rsidRPr="00877E61" w:rsidP="00CC5C36" w14:paraId="055C939E" w14:textId="77777777">
      <w:pPr>
        <w:spacing w:line="480" w:lineRule="auto"/>
        <w:contextualSpacing/>
        <w:rPr>
          <w:rFonts w:ascii="Times New Roman" w:hAnsi="Times New Roman" w:cs="Times New Roman"/>
          <w:sz w:val="24"/>
          <w:szCs w:val="24"/>
        </w:rPr>
      </w:pPr>
    </w:p>
    <w:sectPr>
      <w:headerReference w:type="default" r:id="rI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40182105"/>
      <w:docPartObj>
        <w:docPartGallery w:val="Page Numbers (Top of Page)"/>
        <w:docPartUnique/>
      </w:docPartObj>
    </w:sdtPr>
    <w:sdtEndPr>
      <w:rPr>
        <w:rFonts w:ascii="Times New Roman" w:hAnsi="Times New Roman" w:cs="Times New Roman"/>
        <w:noProof/>
        <w:sz w:val="24"/>
        <w:szCs w:val="24"/>
      </w:rPr>
    </w:sdtEndPr>
    <w:sdtContent>
      <w:p w:rsidR="003818FB" w:rsidRPr="003818FB" w14:paraId="702458BB" w14:textId="14A9EC94">
        <w:pPr>
          <w:pStyle w:val="Header"/>
          <w:jc w:val="right"/>
          <w:rPr>
            <w:rFonts w:ascii="Times New Roman" w:hAnsi="Times New Roman" w:cs="Times New Roman"/>
            <w:sz w:val="24"/>
            <w:szCs w:val="24"/>
          </w:rPr>
        </w:pPr>
        <w:r w:rsidRPr="003818FB">
          <w:rPr>
            <w:rFonts w:ascii="Times New Roman" w:hAnsi="Times New Roman" w:cs="Times New Roman"/>
            <w:sz w:val="24"/>
            <w:szCs w:val="24"/>
          </w:rPr>
          <w:fldChar w:fldCharType="begin"/>
        </w:r>
        <w:r w:rsidRPr="003818FB">
          <w:rPr>
            <w:rFonts w:ascii="Times New Roman" w:hAnsi="Times New Roman" w:cs="Times New Roman"/>
            <w:sz w:val="24"/>
            <w:szCs w:val="24"/>
          </w:rPr>
          <w:instrText xml:space="preserve"> PAGE   \* MERGEFORMAT </w:instrText>
        </w:r>
        <w:r w:rsidRPr="003818FB">
          <w:rPr>
            <w:rFonts w:ascii="Times New Roman" w:hAnsi="Times New Roman" w:cs="Times New Roman"/>
            <w:sz w:val="24"/>
            <w:szCs w:val="24"/>
          </w:rPr>
          <w:fldChar w:fldCharType="separate"/>
        </w:r>
        <w:r w:rsidRPr="003818FB">
          <w:rPr>
            <w:rFonts w:ascii="Times New Roman" w:hAnsi="Times New Roman" w:cs="Times New Roman"/>
            <w:noProof/>
            <w:sz w:val="24"/>
            <w:szCs w:val="24"/>
          </w:rPr>
          <w:t>2</w:t>
        </w:r>
        <w:r w:rsidRPr="003818FB">
          <w:rPr>
            <w:rFonts w:ascii="Times New Roman" w:hAnsi="Times New Roman" w:cs="Times New Roman"/>
            <w:noProof/>
            <w:sz w:val="24"/>
            <w:szCs w:val="24"/>
          </w:rPr>
          <w:fldChar w:fldCharType="end"/>
        </w:r>
      </w:p>
    </w:sdtContent>
  </w:sdt>
  <w:p w:rsidR="003818FB" w14:paraId="2165F36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E61"/>
    <w:rsid w:val="0004310B"/>
    <w:rsid w:val="001F02A8"/>
    <w:rsid w:val="003818FB"/>
    <w:rsid w:val="004D1D9A"/>
    <w:rsid w:val="006462BD"/>
    <w:rsid w:val="00797432"/>
    <w:rsid w:val="00877E61"/>
    <w:rsid w:val="00BB2D2C"/>
    <w:rsid w:val="00CC5C36"/>
    <w:rsid w:val="00DF6B51"/>
    <w:rsid w:val="00E37E78"/>
    <w:rsid w:val="00E551BF"/>
    <w:rsid w:val="00F93D26"/>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42591D14"/>
  <w15:chartTrackingRefBased/>
  <w15:docId w15:val="{8C7DA669-54B5-4702-9ACF-8003E0313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37E78"/>
    <w:rPr>
      <w:color w:val="0563C1" w:themeColor="hyperlink"/>
      <w:u w:val="single"/>
    </w:rPr>
  </w:style>
  <w:style w:type="character" w:customStyle="1" w:styleId="UnresolvedMention">
    <w:name w:val="Unresolved Mention"/>
    <w:basedOn w:val="DefaultParagraphFont"/>
    <w:uiPriority w:val="99"/>
    <w:semiHidden/>
    <w:unhideWhenUsed/>
    <w:rsid w:val="00E37E78"/>
    <w:rPr>
      <w:color w:val="605E5C"/>
      <w:shd w:val="clear" w:color="auto" w:fill="E1DFDD"/>
    </w:rPr>
  </w:style>
  <w:style w:type="paragraph" w:styleId="Header">
    <w:name w:val="header"/>
    <w:basedOn w:val="Normal"/>
    <w:link w:val="HeaderChar"/>
    <w:uiPriority w:val="99"/>
    <w:unhideWhenUsed/>
    <w:rsid w:val="003818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18FB"/>
  </w:style>
  <w:style w:type="paragraph" w:styleId="Footer">
    <w:name w:val="footer"/>
    <w:basedOn w:val="Normal"/>
    <w:link w:val="FooterChar"/>
    <w:uiPriority w:val="99"/>
    <w:unhideWhenUsed/>
    <w:rsid w:val="003818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18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oi.org/10.1111/jmwh.12418" TargetMode="External" /><Relationship Id="rId5" Type="http://schemas.openxmlformats.org/officeDocument/2006/relationships/hyperlink" Target="https://www.healthgrades.com/right-care/birth-control/7-things-to-consider-when-choosing-birth-control" TargetMode="External" /><Relationship Id="rId6" Type="http://schemas.openxmlformats.org/officeDocument/2006/relationships/hyperlink" Target="https://doi.org/10.3238/arztebl.2019.0764" TargetMode="External" /><Relationship Id="rId7" Type="http://schemas.openxmlformats.org/officeDocument/2006/relationships/header" Target="header1.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3</Pages>
  <Words>373</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Maina</dc:creator>
  <cp:lastModifiedBy>Edwin Maina</cp:lastModifiedBy>
  <cp:revision>8</cp:revision>
  <dcterms:created xsi:type="dcterms:W3CDTF">2021-08-04T04:53:00Z</dcterms:created>
  <dcterms:modified xsi:type="dcterms:W3CDTF">2021-08-04T05:52:00Z</dcterms:modified>
</cp:coreProperties>
</file>