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0BE50"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4E009DEB"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73026076"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2CD0669F"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0B1ED6A2"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1F39D048"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56A4FE2E"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3A8A7043"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6CE6E8AB" w14:textId="12B811AA" w:rsidR="009D4808" w:rsidRPr="00F009F3" w:rsidRDefault="009D4808" w:rsidP="00F009F3">
      <w:pPr>
        <w:spacing w:line="480" w:lineRule="auto"/>
        <w:contextualSpacing/>
        <w:jc w:val="center"/>
        <w:rPr>
          <w:rFonts w:ascii="Times New Roman" w:hAnsi="Times New Roman" w:cs="Times New Roman"/>
          <w:b/>
          <w:bCs/>
          <w:sz w:val="24"/>
          <w:szCs w:val="24"/>
        </w:rPr>
      </w:pPr>
      <w:r w:rsidRPr="00F009F3">
        <w:rPr>
          <w:rFonts w:ascii="Times New Roman" w:hAnsi="Times New Roman" w:cs="Times New Roman"/>
          <w:b/>
          <w:bCs/>
          <w:sz w:val="24"/>
          <w:szCs w:val="24"/>
        </w:rPr>
        <w:t>Windows 10 Upgrade Plan for Tetra Shillings Accounting LLC</w:t>
      </w:r>
    </w:p>
    <w:p w14:paraId="22286E4B" w14:textId="041BF629" w:rsidR="009D4808" w:rsidRPr="00F009F3" w:rsidRDefault="009D4808" w:rsidP="00F009F3">
      <w:pPr>
        <w:spacing w:line="480" w:lineRule="auto"/>
        <w:contextualSpacing/>
        <w:jc w:val="center"/>
        <w:rPr>
          <w:rFonts w:ascii="Times New Roman" w:hAnsi="Times New Roman" w:cs="Times New Roman"/>
          <w:sz w:val="24"/>
          <w:szCs w:val="24"/>
        </w:rPr>
      </w:pPr>
    </w:p>
    <w:p w14:paraId="3FBF3E3D" w14:textId="414D5EF1"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Name</w:t>
      </w:r>
    </w:p>
    <w:p w14:paraId="308A57BE" w14:textId="0E7AD71F"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Institution</w:t>
      </w:r>
    </w:p>
    <w:p w14:paraId="199B78C3" w14:textId="350240C2"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Course</w:t>
      </w:r>
    </w:p>
    <w:p w14:paraId="327B2AD1" w14:textId="234E6717"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Professor</w:t>
      </w:r>
    </w:p>
    <w:p w14:paraId="11D59375" w14:textId="37D0540A"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 xml:space="preserve">Date </w:t>
      </w:r>
    </w:p>
    <w:p w14:paraId="4E34CEEF" w14:textId="5AF395B7" w:rsidR="007D1EEF" w:rsidRPr="00F009F3" w:rsidRDefault="007D1EEF" w:rsidP="00F009F3">
      <w:pPr>
        <w:spacing w:line="480" w:lineRule="auto"/>
        <w:contextualSpacing/>
        <w:jc w:val="center"/>
        <w:rPr>
          <w:rFonts w:ascii="Times New Roman" w:hAnsi="Times New Roman" w:cs="Times New Roman"/>
          <w:sz w:val="24"/>
          <w:szCs w:val="24"/>
        </w:rPr>
      </w:pPr>
    </w:p>
    <w:p w14:paraId="4DC38717" w14:textId="61224FA0" w:rsidR="007D1EEF" w:rsidRPr="00F009F3" w:rsidRDefault="007D1EEF" w:rsidP="00F009F3">
      <w:pPr>
        <w:spacing w:line="480" w:lineRule="auto"/>
        <w:contextualSpacing/>
        <w:jc w:val="center"/>
        <w:rPr>
          <w:rFonts w:ascii="Times New Roman" w:hAnsi="Times New Roman" w:cs="Times New Roman"/>
          <w:sz w:val="24"/>
          <w:szCs w:val="24"/>
        </w:rPr>
      </w:pPr>
    </w:p>
    <w:p w14:paraId="7C5597E5" w14:textId="7AB1262C" w:rsidR="007D1EEF" w:rsidRPr="00F009F3" w:rsidRDefault="007D1EEF" w:rsidP="00F009F3">
      <w:pPr>
        <w:spacing w:line="480" w:lineRule="auto"/>
        <w:contextualSpacing/>
        <w:jc w:val="center"/>
        <w:rPr>
          <w:rFonts w:ascii="Times New Roman" w:hAnsi="Times New Roman" w:cs="Times New Roman"/>
          <w:sz w:val="24"/>
          <w:szCs w:val="24"/>
        </w:rPr>
      </w:pPr>
    </w:p>
    <w:p w14:paraId="1319A64B" w14:textId="77777777" w:rsidR="007D1EEF" w:rsidRPr="00F009F3" w:rsidRDefault="007D1EEF" w:rsidP="00F009F3">
      <w:pPr>
        <w:spacing w:line="480" w:lineRule="auto"/>
        <w:contextualSpacing/>
        <w:rPr>
          <w:rFonts w:ascii="Times New Roman" w:hAnsi="Times New Roman" w:cs="Times New Roman"/>
          <w:b/>
          <w:bCs/>
          <w:sz w:val="24"/>
          <w:szCs w:val="24"/>
        </w:rPr>
      </w:pPr>
      <w:r w:rsidRPr="00F009F3">
        <w:rPr>
          <w:rFonts w:ascii="Times New Roman" w:hAnsi="Times New Roman" w:cs="Times New Roman"/>
          <w:b/>
          <w:bCs/>
          <w:sz w:val="24"/>
          <w:szCs w:val="24"/>
        </w:rPr>
        <w:br w:type="page"/>
      </w:r>
    </w:p>
    <w:p w14:paraId="503DA453" w14:textId="67D5E0B0" w:rsidR="007D1EEF" w:rsidRPr="00F009F3" w:rsidRDefault="007D1EEF" w:rsidP="00F009F3">
      <w:pPr>
        <w:spacing w:line="480" w:lineRule="auto"/>
        <w:contextualSpacing/>
        <w:jc w:val="center"/>
        <w:rPr>
          <w:rFonts w:ascii="Times New Roman" w:hAnsi="Times New Roman" w:cs="Times New Roman"/>
          <w:b/>
          <w:bCs/>
          <w:sz w:val="24"/>
          <w:szCs w:val="24"/>
        </w:rPr>
      </w:pPr>
      <w:bookmarkStart w:id="0" w:name="_Hlk93673013"/>
      <w:r w:rsidRPr="00F009F3">
        <w:rPr>
          <w:rFonts w:ascii="Times New Roman" w:hAnsi="Times New Roman" w:cs="Times New Roman"/>
          <w:b/>
          <w:bCs/>
          <w:sz w:val="24"/>
          <w:szCs w:val="24"/>
        </w:rPr>
        <w:lastRenderedPageBreak/>
        <w:t>Windows 10 Upgrade Plan for Tetra Shillings Accounting LLC</w:t>
      </w:r>
    </w:p>
    <w:bookmarkEnd w:id="0"/>
    <w:p w14:paraId="0269F871"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Tetra Shillings Accounting LLC uses Windows 8.1. Windows 8.1 is a great operating system, but with changes in security and other important software features, it is at a point of being irrelevant. The above means that the company spends time online undertaking different accounting-related procedures and processes. In turn, the outcome includes many security risks such as phishing and hacking. Nevertheless, a lack of continuous updates risks a possible malfunction in the company’s computers and laptops. The main reason is that Windows 8.1 cannot receive as much support from the company as before when it was introduced. Also, the devices associated with the operating systems are not receiving significant security updates, meaning that they are liable for security issues that may hinder efficiency in the company’s computer systems. The situation means that Tetra Shilling Accounting LLC should choose Windows 10 Enterprise as its best operating system for its business development due to associated advantages. </w:t>
      </w:r>
    </w:p>
    <w:p w14:paraId="366CC505" w14:textId="77777777" w:rsidR="00A00DF9" w:rsidRPr="00A00DF9" w:rsidRDefault="00A00DF9" w:rsidP="00F009F3">
      <w:pPr>
        <w:spacing w:after="0" w:line="480" w:lineRule="auto"/>
        <w:contextualSpacing/>
        <w:jc w:val="center"/>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Selection of the best Windows 10 for Business Operations</w:t>
      </w:r>
    </w:p>
    <w:p w14:paraId="05CF239D"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The process for choosing the best operating system to initiate significant development in Tetra Shillings Accounting LLC is to evaluate the types of Windows 10 best for the business, installation method, deployment process, and maintaining updates of the Windows. </w:t>
      </w:r>
    </w:p>
    <w:p w14:paraId="7695DEDA"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Reasons for Choosing Windows 10 Enterprise</w:t>
      </w:r>
    </w:p>
    <w:p w14:paraId="6E934076"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xml:space="preserve">           Windows 10 Mobile Enterprise is mainly for large companies but with smaller devices connected and used daily. Therefore, Windows 10 Enterprise is the best for Tetra Shillings Accounting LLC. The first reason that is important for the company to select Windows 10 Enterprise is its large networks in its employee portfolio. Several devices are connected that are instrumental in key decision-making. Hence, any similar company requires an operating system </w:t>
      </w:r>
      <w:r w:rsidRPr="00A00DF9">
        <w:rPr>
          <w:rFonts w:ascii="Times New Roman" w:eastAsia="Times New Roman" w:hAnsi="Times New Roman" w:cs="Times New Roman"/>
          <w:color w:val="0E101A"/>
          <w:sz w:val="24"/>
          <w:szCs w:val="24"/>
        </w:rPr>
        <w:lastRenderedPageBreak/>
        <w:t>that is large enough to provide it with the right operational outcomes (Li et al., 2021). Also, the number of processes undertaken in accounting tasks in the company is many. </w:t>
      </w:r>
    </w:p>
    <w:p w14:paraId="221CE508"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The situation means that the company requires an outstanding operating system to ensure efficiency in its development. In this case, superior features associated with Windows 10 Enterprise are crucial. Windows 10 Enterprise is considered the best in ensuring business processes such as accounting. It has Advanced Threat Protection (ATP) capabilities for defining and eliminating a possible large global ransomware attack. It is difficult for Tetra Shillings Accounting LLC to experience problems such as malware attacks and hacking.</w:t>
      </w:r>
    </w:p>
    <w:p w14:paraId="498B289E"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Nevertheless, the other feature includes leveraging cybersecurity defenses to ensure the right Cloud Solution services are provided. The Windows operating system version is about strengthening security postures associated with applications. It also has a superior graphic capability that ensures users can enjoy its use. </w:t>
      </w:r>
    </w:p>
    <w:p w14:paraId="7AA1FE86"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Installation Methods</w:t>
      </w:r>
    </w:p>
    <w:p w14:paraId="33AE65AC"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Since the company is large and has many devices, installing Windows 10 Enterprise over a network is important. The process may not be easy, but it is efficient for computers operating under a single network. The network ensures that all devices can be installed without using a USB or a disk. Also, it influences the elimination of possible risks associated with installing Windows 10. Since it is an upgrade, the use of the internet to update features is important in installation. The only problem is that it requires many guidelines to ensure a perfect installation process (Zhu et al., 2018). Using a USB is also great, but it is not advisable for the company. A USB is great because it is one of the most significant ways to prepare Windows before installation. The only problem is that it takes more time to ensure all computer systems have the required operating system.</w:t>
      </w:r>
    </w:p>
    <w:p w14:paraId="447F4F3A"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lastRenderedPageBreak/>
        <w:t>Strategies for ensuring Updates </w:t>
      </w:r>
    </w:p>
    <w:p w14:paraId="630F3272"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To ensure constant updates are undertaken in the company’s computer systems, it will be important to ensure that they are undertaken manually. An information management officer can check for possible and needed updates from time to time. This enables the company to avoid automated computer updates (Li et al., 2021). The company can maintain its position in dealing with different issues such as hacks with automated updates. Hackers can take advantage of the open networks used to update them. The situation may lead to a significant loss of data. </w:t>
      </w:r>
    </w:p>
    <w:p w14:paraId="590F191A"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Automated Deployment Options </w:t>
      </w:r>
    </w:p>
    <w:p w14:paraId="3342E48B"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MDT and SCCM will be the first automated deployment options. It is relevant for many computers and different applications. It will ensure building and testing images through MDT standalone. The deployment involves images transferred to a small number of test users through Windows Deployment Services (WDS). After confirmation, a mass rollout is undertaken through SCCM. The second deployment includes the SCCM standalone. It is important in the creation of OS images through WIM format. It creates thick and thin images then deploys them using an MDT. </w:t>
      </w:r>
    </w:p>
    <w:p w14:paraId="28468A21"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Addressing concerns regarding Upgrade</w:t>
      </w:r>
    </w:p>
    <w:p w14:paraId="352DE177" w14:textId="11F165FB" w:rsidR="00A00DF9" w:rsidRPr="00F009F3"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Concerns in the upgrade processes are important. It is crucial to address security risks and issues related to networking. With a well-networked company such as the Tetra Shillings Accounting LLC, it is crucial to ensure that the client has basic knowledge about how updates occur and the associated risks. Another major issue is reassuring them of the Upgrade benefits (Li et al., 2021). They have to learn the features of the Windows 10 Enterprise and how to use it for accounting purposes. Permissions involved in updates are also important to communicate to the customer. This is one way through which the client becomes confident of an upgrade. </w:t>
      </w:r>
    </w:p>
    <w:p w14:paraId="74E200AF" w14:textId="0BB4D450" w:rsidR="00A24931" w:rsidRPr="00F009F3" w:rsidRDefault="00A24931" w:rsidP="00F009F3">
      <w:pPr>
        <w:spacing w:after="0" w:line="480" w:lineRule="auto"/>
        <w:contextualSpacing/>
        <w:jc w:val="center"/>
        <w:rPr>
          <w:rFonts w:ascii="Times New Roman" w:eastAsia="Times New Roman" w:hAnsi="Times New Roman" w:cs="Times New Roman"/>
          <w:b/>
          <w:bCs/>
          <w:color w:val="0E101A"/>
          <w:sz w:val="24"/>
          <w:szCs w:val="24"/>
        </w:rPr>
      </w:pPr>
      <w:r w:rsidRPr="00F009F3">
        <w:rPr>
          <w:rFonts w:ascii="Times New Roman" w:eastAsia="Times New Roman" w:hAnsi="Times New Roman" w:cs="Times New Roman"/>
          <w:b/>
          <w:bCs/>
          <w:color w:val="0E101A"/>
          <w:sz w:val="24"/>
          <w:szCs w:val="24"/>
        </w:rPr>
        <w:lastRenderedPageBreak/>
        <w:t>Conclusion</w:t>
      </w:r>
    </w:p>
    <w:p w14:paraId="65B3B97D" w14:textId="1ACDBA07" w:rsidR="00F61810" w:rsidRPr="00F009F3" w:rsidRDefault="00D13188" w:rsidP="00F009F3">
      <w:pPr>
        <w:spacing w:line="480" w:lineRule="auto"/>
        <w:contextualSpacing/>
        <w:rPr>
          <w:rFonts w:ascii="Times New Roman" w:eastAsia="Arial" w:hAnsi="Times New Roman" w:cs="Times New Roman"/>
          <w:color w:val="000000" w:themeColor="text1"/>
          <w:sz w:val="24"/>
          <w:szCs w:val="24"/>
        </w:rPr>
      </w:pPr>
      <w:r w:rsidRPr="00F009F3">
        <w:rPr>
          <w:rFonts w:ascii="Times New Roman" w:eastAsia="Times New Roman" w:hAnsi="Times New Roman" w:cs="Times New Roman"/>
          <w:color w:val="0E101A"/>
          <w:sz w:val="24"/>
          <w:szCs w:val="24"/>
        </w:rPr>
        <w:t xml:space="preserve">           In conclusion, several issues have been raised through the plan. The plan has shown that traditional updates with an IT officer checking regular updates and dealing with permissions regarding the process are essential. It is a significant concern because it enables a client to have confidence in Windows 10. Also, the plan shows that SCCM and MDT/SCCM are necessary deployment plans that can ensure the right deployment of images for mass roll out in a network of the computer system. </w:t>
      </w:r>
      <w:r w:rsidRPr="00F009F3">
        <w:rPr>
          <w:rFonts w:ascii="Times New Roman" w:eastAsia="Times New Roman" w:hAnsi="Times New Roman" w:cs="Times New Roman"/>
          <w:color w:val="0E101A"/>
          <w:sz w:val="24"/>
          <w:szCs w:val="24"/>
        </w:rPr>
        <w:t xml:space="preserve">Therefore, through the right concerns such as deployment and updates, </w:t>
      </w:r>
      <w:r w:rsidRPr="00F009F3">
        <w:rPr>
          <w:rFonts w:ascii="Times New Roman" w:eastAsia="Times New Roman" w:hAnsi="Times New Roman" w:cs="Times New Roman"/>
          <w:color w:val="0E101A"/>
          <w:sz w:val="24"/>
          <w:szCs w:val="24"/>
        </w:rPr>
        <w:t>Windows 10 Enterprise brings more security capabilities and functionalities than any other operating system that comes before it due to its advanced status.</w:t>
      </w:r>
    </w:p>
    <w:p w14:paraId="75E46061" w14:textId="77777777" w:rsidR="00574CE3" w:rsidRPr="00F009F3" w:rsidRDefault="00574CE3" w:rsidP="00F009F3">
      <w:pPr>
        <w:spacing w:line="480" w:lineRule="auto"/>
        <w:contextualSpacing/>
        <w:rPr>
          <w:rFonts w:ascii="Times New Roman" w:eastAsia="Arial" w:hAnsi="Times New Roman" w:cs="Times New Roman"/>
          <w:color w:val="000000" w:themeColor="text1"/>
          <w:sz w:val="24"/>
          <w:szCs w:val="24"/>
        </w:rPr>
      </w:pPr>
    </w:p>
    <w:p w14:paraId="7277A737" w14:textId="1163EAEA" w:rsidR="009E6BB7" w:rsidRPr="00F009F3" w:rsidRDefault="009E6BB7" w:rsidP="00F009F3">
      <w:pPr>
        <w:spacing w:line="480" w:lineRule="auto"/>
        <w:contextualSpacing/>
        <w:rPr>
          <w:rFonts w:ascii="Times New Roman" w:eastAsia="Arial" w:hAnsi="Times New Roman" w:cs="Times New Roman"/>
          <w:b/>
          <w:bCs/>
          <w:color w:val="000000" w:themeColor="text1"/>
          <w:sz w:val="24"/>
          <w:szCs w:val="24"/>
        </w:rPr>
      </w:pPr>
    </w:p>
    <w:p w14:paraId="62226301" w14:textId="77777777" w:rsidR="009E6BB7" w:rsidRPr="00F009F3" w:rsidRDefault="009E6BB7" w:rsidP="00F009F3">
      <w:pPr>
        <w:spacing w:line="480" w:lineRule="auto"/>
        <w:contextualSpacing/>
        <w:rPr>
          <w:rFonts w:ascii="Times New Roman" w:eastAsia="Arial" w:hAnsi="Times New Roman" w:cs="Times New Roman"/>
          <w:b/>
          <w:bCs/>
          <w:color w:val="000000" w:themeColor="text1"/>
          <w:sz w:val="24"/>
          <w:szCs w:val="24"/>
        </w:rPr>
      </w:pPr>
    </w:p>
    <w:p w14:paraId="4D1FA450" w14:textId="77777777" w:rsidR="00A00DF9" w:rsidRPr="00F009F3" w:rsidRDefault="00A00DF9" w:rsidP="00F009F3">
      <w:pPr>
        <w:spacing w:line="480" w:lineRule="auto"/>
        <w:contextualSpacing/>
        <w:rPr>
          <w:rFonts w:ascii="Times New Roman" w:eastAsia="Arial" w:hAnsi="Times New Roman" w:cs="Times New Roman"/>
          <w:b/>
          <w:bCs/>
          <w:color w:val="000000" w:themeColor="text1"/>
          <w:sz w:val="24"/>
          <w:szCs w:val="24"/>
        </w:rPr>
      </w:pPr>
      <w:r w:rsidRPr="00F009F3">
        <w:rPr>
          <w:rFonts w:ascii="Times New Roman" w:eastAsia="Arial" w:hAnsi="Times New Roman" w:cs="Times New Roman"/>
          <w:b/>
          <w:bCs/>
          <w:color w:val="000000" w:themeColor="text1"/>
          <w:sz w:val="24"/>
          <w:szCs w:val="24"/>
        </w:rPr>
        <w:br w:type="page"/>
      </w:r>
    </w:p>
    <w:p w14:paraId="117A2CE3" w14:textId="29E83AAC" w:rsidR="00976CEF" w:rsidRPr="00F009F3" w:rsidRDefault="53A7284D" w:rsidP="00F009F3">
      <w:pPr>
        <w:spacing w:line="480" w:lineRule="auto"/>
        <w:contextualSpacing/>
        <w:jc w:val="center"/>
        <w:rPr>
          <w:rFonts w:ascii="Times New Roman" w:eastAsia="Arial" w:hAnsi="Times New Roman" w:cs="Times New Roman"/>
          <w:b/>
          <w:bCs/>
          <w:color w:val="000000" w:themeColor="text1"/>
          <w:sz w:val="24"/>
          <w:szCs w:val="24"/>
        </w:rPr>
      </w:pPr>
      <w:r w:rsidRPr="00F009F3">
        <w:rPr>
          <w:rFonts w:ascii="Times New Roman" w:eastAsia="Arial" w:hAnsi="Times New Roman" w:cs="Times New Roman"/>
          <w:b/>
          <w:bCs/>
          <w:color w:val="000000" w:themeColor="text1"/>
          <w:sz w:val="24"/>
          <w:szCs w:val="24"/>
        </w:rPr>
        <w:lastRenderedPageBreak/>
        <w:t>References</w:t>
      </w:r>
    </w:p>
    <w:p w14:paraId="01053B88" w14:textId="427458AC" w:rsidR="00FB0F79" w:rsidRPr="00F009F3" w:rsidRDefault="00FB0F79" w:rsidP="00F009F3">
      <w:pPr>
        <w:spacing w:line="480" w:lineRule="auto"/>
        <w:ind w:left="720" w:hanging="720"/>
        <w:contextualSpacing/>
        <w:rPr>
          <w:rFonts w:ascii="Times New Roman" w:hAnsi="Times New Roman" w:cs="Times New Roman"/>
          <w:color w:val="222222"/>
          <w:sz w:val="24"/>
          <w:szCs w:val="24"/>
          <w:shd w:val="clear" w:color="auto" w:fill="FFFFFF"/>
        </w:rPr>
      </w:pPr>
      <w:r w:rsidRPr="00F009F3">
        <w:rPr>
          <w:rFonts w:ascii="Times New Roman" w:hAnsi="Times New Roman" w:cs="Times New Roman"/>
          <w:color w:val="222222"/>
          <w:sz w:val="24"/>
          <w:szCs w:val="24"/>
          <w:shd w:val="clear" w:color="auto" w:fill="FFFFFF"/>
        </w:rPr>
        <w:t xml:space="preserve">Li, Z., Liu, X., </w:t>
      </w:r>
      <w:proofErr w:type="spellStart"/>
      <w:r w:rsidRPr="00F009F3">
        <w:rPr>
          <w:rFonts w:ascii="Times New Roman" w:hAnsi="Times New Roman" w:cs="Times New Roman"/>
          <w:color w:val="222222"/>
          <w:sz w:val="24"/>
          <w:szCs w:val="24"/>
          <w:shd w:val="clear" w:color="auto" w:fill="FFFFFF"/>
        </w:rPr>
        <w:t>Drenkow</w:t>
      </w:r>
      <w:proofErr w:type="spellEnd"/>
      <w:r w:rsidRPr="00F009F3">
        <w:rPr>
          <w:rFonts w:ascii="Times New Roman" w:hAnsi="Times New Roman" w:cs="Times New Roman"/>
          <w:color w:val="222222"/>
          <w:sz w:val="24"/>
          <w:szCs w:val="24"/>
          <w:shd w:val="clear" w:color="auto" w:fill="FFFFFF"/>
        </w:rPr>
        <w:t xml:space="preserve">, N., Ding, A., Creighton, F. X., Taylor, R. H., &amp; </w:t>
      </w:r>
      <w:proofErr w:type="spellStart"/>
      <w:r w:rsidRPr="00F009F3">
        <w:rPr>
          <w:rFonts w:ascii="Times New Roman" w:hAnsi="Times New Roman" w:cs="Times New Roman"/>
          <w:color w:val="222222"/>
          <w:sz w:val="24"/>
          <w:szCs w:val="24"/>
          <w:shd w:val="clear" w:color="auto" w:fill="FFFFFF"/>
        </w:rPr>
        <w:t>Unberath</w:t>
      </w:r>
      <w:proofErr w:type="spellEnd"/>
      <w:r w:rsidRPr="00F009F3">
        <w:rPr>
          <w:rFonts w:ascii="Times New Roman" w:hAnsi="Times New Roman" w:cs="Times New Roman"/>
          <w:color w:val="222222"/>
          <w:sz w:val="24"/>
          <w:szCs w:val="24"/>
          <w:shd w:val="clear" w:color="auto" w:fill="FFFFFF"/>
        </w:rPr>
        <w:t xml:space="preserve">, M. (2021). </w:t>
      </w:r>
      <w:r w:rsidR="00976CEF" w:rsidRPr="00F009F3">
        <w:rPr>
          <w:rFonts w:ascii="Times New Roman" w:hAnsi="Times New Roman" w:cs="Times New Roman"/>
          <w:color w:val="222222"/>
          <w:sz w:val="24"/>
          <w:szCs w:val="24"/>
          <w:shd w:val="clear" w:color="auto" w:fill="FFFFFF"/>
        </w:rPr>
        <w:t>"Revisiting stereo depth estimation from a sequence-to-sequence perspective with transformers." </w:t>
      </w:r>
      <w:r w:rsidR="00976CEF" w:rsidRPr="00F009F3">
        <w:rPr>
          <w:rFonts w:ascii="Times New Roman" w:hAnsi="Times New Roman" w:cs="Times New Roman"/>
          <w:i/>
          <w:iCs/>
          <w:color w:val="222222"/>
          <w:sz w:val="24"/>
          <w:szCs w:val="24"/>
          <w:shd w:val="clear" w:color="auto" w:fill="FFFFFF"/>
        </w:rPr>
        <w:t>Proceedings of the IEEE/CVF International Conference on Computer Vision</w:t>
      </w:r>
      <w:r w:rsidR="00976CEF" w:rsidRPr="00F009F3">
        <w:rPr>
          <w:rFonts w:ascii="Times New Roman" w:hAnsi="Times New Roman" w:cs="Times New Roman"/>
          <w:color w:val="222222"/>
          <w:sz w:val="24"/>
          <w:szCs w:val="24"/>
          <w:shd w:val="clear" w:color="auto" w:fill="FFFFFF"/>
        </w:rPr>
        <w:t xml:space="preserve">. </w:t>
      </w:r>
      <w:proofErr w:type="spellStart"/>
      <w:r w:rsidR="00976CEF" w:rsidRPr="00F009F3">
        <w:rPr>
          <w:rFonts w:ascii="Times New Roman" w:eastAsia="Arial" w:hAnsi="Times New Roman" w:cs="Times New Roman"/>
          <w:sz w:val="24"/>
          <w:szCs w:val="24"/>
        </w:rPr>
        <w:t>Avaliable</w:t>
      </w:r>
      <w:proofErr w:type="spellEnd"/>
      <w:r w:rsidR="00976CEF" w:rsidRPr="00F009F3">
        <w:rPr>
          <w:rFonts w:ascii="Times New Roman" w:eastAsia="Arial" w:hAnsi="Times New Roman" w:cs="Times New Roman"/>
          <w:sz w:val="24"/>
          <w:szCs w:val="24"/>
        </w:rPr>
        <w:t xml:space="preserve"> at: </w:t>
      </w:r>
      <w:hyperlink r:id="rId10" w:history="1">
        <w:r w:rsidR="00976CEF" w:rsidRPr="00F009F3">
          <w:rPr>
            <w:rStyle w:val="Hyperlink"/>
            <w:rFonts w:ascii="Times New Roman" w:eastAsia="Arial" w:hAnsi="Times New Roman" w:cs="Times New Roman"/>
            <w:color w:val="auto"/>
            <w:sz w:val="24"/>
            <w:szCs w:val="24"/>
            <w:u w:val="none"/>
          </w:rPr>
          <w:t>https://openaccess.thecvf.com/content/ICCV2021/papers/Li_Revisiting_Stereo_Depth_Estimation_From_a_Sequence-to-Sequence_Perspective_With_Transformers_ICCV_2021_paper.pdf</w:t>
        </w:r>
      </w:hyperlink>
    </w:p>
    <w:p w14:paraId="7BC3C44A" w14:textId="029813D6" w:rsidR="00FA08D3" w:rsidRPr="00F009F3" w:rsidRDefault="00FA08D3" w:rsidP="00F009F3">
      <w:pPr>
        <w:spacing w:line="480" w:lineRule="auto"/>
        <w:ind w:left="720" w:hanging="720"/>
        <w:contextualSpacing/>
        <w:rPr>
          <w:rFonts w:ascii="Times New Roman" w:hAnsi="Times New Roman" w:cs="Times New Roman"/>
          <w:sz w:val="24"/>
          <w:szCs w:val="24"/>
          <w:shd w:val="clear" w:color="auto" w:fill="FFFFFF"/>
        </w:rPr>
      </w:pPr>
      <w:r w:rsidRPr="00F009F3">
        <w:rPr>
          <w:rFonts w:ascii="Times New Roman" w:hAnsi="Times New Roman" w:cs="Times New Roman"/>
          <w:sz w:val="24"/>
          <w:szCs w:val="24"/>
          <w:shd w:val="clear" w:color="auto" w:fill="FFFFFF"/>
        </w:rPr>
        <w:t xml:space="preserve">Zhu, H., Cao, Y., Wang, W., Jiang, T., &amp; </w:t>
      </w:r>
      <w:proofErr w:type="spellStart"/>
      <w:r w:rsidRPr="00F009F3">
        <w:rPr>
          <w:rFonts w:ascii="Times New Roman" w:hAnsi="Times New Roman" w:cs="Times New Roman"/>
          <w:sz w:val="24"/>
          <w:szCs w:val="24"/>
          <w:shd w:val="clear" w:color="auto" w:fill="FFFFFF"/>
        </w:rPr>
        <w:t>Jin</w:t>
      </w:r>
      <w:proofErr w:type="spellEnd"/>
      <w:r w:rsidRPr="00F009F3">
        <w:rPr>
          <w:rFonts w:ascii="Times New Roman" w:hAnsi="Times New Roman" w:cs="Times New Roman"/>
          <w:sz w:val="24"/>
          <w:szCs w:val="24"/>
          <w:shd w:val="clear" w:color="auto" w:fill="FFFFFF"/>
        </w:rPr>
        <w:t xml:space="preserve">, S. (2018). </w:t>
      </w:r>
      <w:r w:rsidRPr="00F009F3">
        <w:rPr>
          <w:rFonts w:ascii="Times New Roman" w:hAnsi="Times New Roman" w:cs="Times New Roman"/>
          <w:sz w:val="24"/>
          <w:szCs w:val="24"/>
          <w:shd w:val="clear" w:color="auto" w:fill="FFFFFF"/>
        </w:rPr>
        <w:t>“</w:t>
      </w:r>
      <w:r w:rsidRPr="00F009F3">
        <w:rPr>
          <w:rFonts w:ascii="Times New Roman" w:hAnsi="Times New Roman" w:cs="Times New Roman"/>
          <w:sz w:val="24"/>
          <w:szCs w:val="24"/>
          <w:shd w:val="clear" w:color="auto" w:fill="FFFFFF"/>
        </w:rPr>
        <w:t>Deep reinforcement learning for mobile edge caching: Review, new features, and open issues.</w:t>
      </w:r>
      <w:r w:rsidRPr="00F009F3">
        <w:rPr>
          <w:rFonts w:ascii="Times New Roman" w:hAnsi="Times New Roman" w:cs="Times New Roman"/>
          <w:sz w:val="24"/>
          <w:szCs w:val="24"/>
          <w:shd w:val="clear" w:color="auto" w:fill="FFFFFF"/>
        </w:rPr>
        <w:t>”</w:t>
      </w:r>
      <w:r w:rsidRPr="00F009F3">
        <w:rPr>
          <w:rFonts w:ascii="Times New Roman" w:hAnsi="Times New Roman" w:cs="Times New Roman"/>
          <w:sz w:val="24"/>
          <w:szCs w:val="24"/>
          <w:shd w:val="clear" w:color="auto" w:fill="FFFFFF"/>
        </w:rPr>
        <w:t> </w:t>
      </w:r>
      <w:r w:rsidRPr="00F009F3">
        <w:rPr>
          <w:rFonts w:ascii="Times New Roman" w:hAnsi="Times New Roman" w:cs="Times New Roman"/>
          <w:i/>
          <w:iCs/>
          <w:sz w:val="24"/>
          <w:szCs w:val="24"/>
          <w:shd w:val="clear" w:color="auto" w:fill="FFFFFF"/>
        </w:rPr>
        <w:t>IEEE Network</w:t>
      </w:r>
      <w:r w:rsidRPr="00F009F3">
        <w:rPr>
          <w:rFonts w:ascii="Times New Roman" w:hAnsi="Times New Roman" w:cs="Times New Roman"/>
          <w:sz w:val="24"/>
          <w:szCs w:val="24"/>
          <w:shd w:val="clear" w:color="auto" w:fill="FFFFFF"/>
        </w:rPr>
        <w:t>, </w:t>
      </w:r>
      <w:r w:rsidRPr="00F009F3">
        <w:rPr>
          <w:rFonts w:ascii="Times New Roman" w:hAnsi="Times New Roman" w:cs="Times New Roman"/>
          <w:i/>
          <w:iCs/>
          <w:sz w:val="24"/>
          <w:szCs w:val="24"/>
          <w:shd w:val="clear" w:color="auto" w:fill="FFFFFF"/>
        </w:rPr>
        <w:t>32</w:t>
      </w:r>
      <w:r w:rsidRPr="00F009F3">
        <w:rPr>
          <w:rFonts w:ascii="Times New Roman" w:hAnsi="Times New Roman" w:cs="Times New Roman"/>
          <w:sz w:val="24"/>
          <w:szCs w:val="24"/>
          <w:shd w:val="clear" w:color="auto" w:fill="FFFFFF"/>
        </w:rPr>
        <w:t>(6), 50-</w:t>
      </w:r>
      <w:proofErr w:type="gramStart"/>
      <w:r w:rsidRPr="00F009F3">
        <w:rPr>
          <w:rFonts w:ascii="Times New Roman" w:hAnsi="Times New Roman" w:cs="Times New Roman"/>
          <w:sz w:val="24"/>
          <w:szCs w:val="24"/>
          <w:shd w:val="clear" w:color="auto" w:fill="FFFFFF"/>
        </w:rPr>
        <w:t>57.</w:t>
      </w:r>
      <w:r w:rsidRPr="00F009F3">
        <w:rPr>
          <w:rFonts w:ascii="Times New Roman" w:eastAsia="Arial" w:hAnsi="Times New Roman" w:cs="Times New Roman"/>
          <w:sz w:val="24"/>
          <w:szCs w:val="24"/>
        </w:rPr>
        <w:t>Available</w:t>
      </w:r>
      <w:proofErr w:type="gramEnd"/>
      <w:r w:rsidRPr="00F009F3">
        <w:rPr>
          <w:rFonts w:ascii="Times New Roman" w:eastAsia="Arial" w:hAnsi="Times New Roman" w:cs="Times New Roman"/>
          <w:sz w:val="24"/>
          <w:szCs w:val="24"/>
        </w:rPr>
        <w:t xml:space="preserve"> at: </w:t>
      </w:r>
      <w:r w:rsidRPr="00F009F3">
        <w:rPr>
          <w:rFonts w:ascii="Times New Roman" w:eastAsia="Arial" w:hAnsi="Times New Roman" w:cs="Times New Roman"/>
          <w:sz w:val="24"/>
          <w:szCs w:val="24"/>
        </w:rPr>
        <w:t>https://www.researchgate.net/publication/327651392_Deep_Reinforcement_Learning_for_Mobile_Edge_Caching_Review_New_Features_and_Open_Issues</w:t>
      </w:r>
    </w:p>
    <w:p w14:paraId="52A6886A" w14:textId="77777777" w:rsidR="00976CEF" w:rsidRPr="00F009F3" w:rsidRDefault="00976CEF" w:rsidP="00F009F3">
      <w:pPr>
        <w:spacing w:line="480" w:lineRule="auto"/>
        <w:contextualSpacing/>
        <w:rPr>
          <w:rFonts w:ascii="Times New Roman" w:eastAsia="Arial" w:hAnsi="Times New Roman" w:cs="Times New Roman"/>
          <w:b/>
          <w:bCs/>
          <w:color w:val="4471C4"/>
          <w:sz w:val="24"/>
          <w:szCs w:val="24"/>
        </w:rPr>
      </w:pPr>
    </w:p>
    <w:p w14:paraId="26B6D9B8" w14:textId="4FCB4055" w:rsidR="00DA1E5B" w:rsidRPr="00F009F3" w:rsidRDefault="00DA1E5B" w:rsidP="00F009F3">
      <w:pPr>
        <w:spacing w:line="480" w:lineRule="auto"/>
        <w:ind w:left="720" w:hanging="720"/>
        <w:contextualSpacing/>
        <w:rPr>
          <w:rFonts w:ascii="Times New Roman" w:eastAsia="Arial" w:hAnsi="Times New Roman" w:cs="Times New Roman"/>
          <w:color w:val="000000" w:themeColor="text1"/>
          <w:sz w:val="24"/>
          <w:szCs w:val="24"/>
        </w:rPr>
      </w:pPr>
    </w:p>
    <w:sectPr w:rsidR="00DA1E5B" w:rsidRPr="00F009F3">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29B66B" w14:textId="77777777" w:rsidR="00320DA4" w:rsidRDefault="00320DA4" w:rsidP="007D1EEF">
      <w:pPr>
        <w:spacing w:after="0" w:line="240" w:lineRule="auto"/>
      </w:pPr>
      <w:r>
        <w:separator/>
      </w:r>
    </w:p>
  </w:endnote>
  <w:endnote w:type="continuationSeparator" w:id="0">
    <w:p w14:paraId="4610DAA2" w14:textId="77777777" w:rsidR="00320DA4" w:rsidRDefault="00320DA4" w:rsidP="007D1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A4A092" w14:textId="77777777" w:rsidR="00320DA4" w:rsidRDefault="00320DA4" w:rsidP="007D1EEF">
      <w:pPr>
        <w:spacing w:after="0" w:line="240" w:lineRule="auto"/>
      </w:pPr>
      <w:r>
        <w:separator/>
      </w:r>
    </w:p>
  </w:footnote>
  <w:footnote w:type="continuationSeparator" w:id="0">
    <w:p w14:paraId="27634521" w14:textId="77777777" w:rsidR="00320DA4" w:rsidRDefault="00320DA4" w:rsidP="007D1E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846434897"/>
      <w:docPartObj>
        <w:docPartGallery w:val="Page Numbers (Top of Page)"/>
        <w:docPartUnique/>
      </w:docPartObj>
    </w:sdtPr>
    <w:sdtEndPr>
      <w:rPr>
        <w:noProof/>
      </w:rPr>
    </w:sdtEndPr>
    <w:sdtContent>
      <w:p w14:paraId="5A23B636" w14:textId="7DBC2C95" w:rsidR="007D1EEF" w:rsidRPr="007D1EEF" w:rsidRDefault="007D1EEF">
        <w:pPr>
          <w:pStyle w:val="Header"/>
          <w:jc w:val="right"/>
          <w:rPr>
            <w:rFonts w:ascii="Times New Roman" w:hAnsi="Times New Roman" w:cs="Times New Roman"/>
            <w:sz w:val="24"/>
            <w:szCs w:val="24"/>
          </w:rPr>
        </w:pPr>
        <w:r w:rsidRPr="007D1EEF">
          <w:rPr>
            <w:rFonts w:ascii="Times New Roman" w:hAnsi="Times New Roman" w:cs="Times New Roman"/>
            <w:sz w:val="24"/>
            <w:szCs w:val="24"/>
          </w:rPr>
          <w:fldChar w:fldCharType="begin"/>
        </w:r>
        <w:r w:rsidRPr="007D1EEF">
          <w:rPr>
            <w:rFonts w:ascii="Times New Roman" w:hAnsi="Times New Roman" w:cs="Times New Roman"/>
            <w:sz w:val="24"/>
            <w:szCs w:val="24"/>
          </w:rPr>
          <w:instrText xml:space="preserve"> PAGE   \* MERGEFORMAT </w:instrText>
        </w:r>
        <w:r w:rsidRPr="007D1EEF">
          <w:rPr>
            <w:rFonts w:ascii="Times New Roman" w:hAnsi="Times New Roman" w:cs="Times New Roman"/>
            <w:sz w:val="24"/>
            <w:szCs w:val="24"/>
          </w:rPr>
          <w:fldChar w:fldCharType="separate"/>
        </w:r>
        <w:r w:rsidRPr="007D1EEF">
          <w:rPr>
            <w:rFonts w:ascii="Times New Roman" w:hAnsi="Times New Roman" w:cs="Times New Roman"/>
            <w:noProof/>
            <w:sz w:val="24"/>
            <w:szCs w:val="24"/>
          </w:rPr>
          <w:t>2</w:t>
        </w:r>
        <w:r w:rsidRPr="007D1EEF">
          <w:rPr>
            <w:rFonts w:ascii="Times New Roman" w:hAnsi="Times New Roman" w:cs="Times New Roman"/>
            <w:noProof/>
            <w:sz w:val="24"/>
            <w:szCs w:val="24"/>
          </w:rPr>
          <w:fldChar w:fldCharType="end"/>
        </w:r>
      </w:p>
    </w:sdtContent>
  </w:sdt>
  <w:p w14:paraId="24877D1F" w14:textId="77777777" w:rsidR="007D1EEF" w:rsidRPr="007D1EEF" w:rsidRDefault="007D1EEF">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3B335F"/>
    <w:multiLevelType w:val="hybridMultilevel"/>
    <w:tmpl w:val="F4AE67C2"/>
    <w:lvl w:ilvl="0" w:tplc="D49C152C">
      <w:start w:val="1"/>
      <w:numFmt w:val="bullet"/>
      <w:lvlText w:val=""/>
      <w:lvlJc w:val="left"/>
      <w:pPr>
        <w:ind w:left="720" w:hanging="360"/>
      </w:pPr>
      <w:rPr>
        <w:rFonts w:ascii="Symbol" w:hAnsi="Symbol" w:hint="default"/>
      </w:rPr>
    </w:lvl>
    <w:lvl w:ilvl="1" w:tplc="76DAF0BC">
      <w:start w:val="1"/>
      <w:numFmt w:val="bullet"/>
      <w:lvlText w:val="o"/>
      <w:lvlJc w:val="left"/>
      <w:pPr>
        <w:ind w:left="1440" w:hanging="360"/>
      </w:pPr>
      <w:rPr>
        <w:rFonts w:ascii="Courier New" w:hAnsi="Courier New" w:hint="default"/>
      </w:rPr>
    </w:lvl>
    <w:lvl w:ilvl="2" w:tplc="FAD4301A">
      <w:start w:val="1"/>
      <w:numFmt w:val="bullet"/>
      <w:lvlText w:val=""/>
      <w:lvlJc w:val="left"/>
      <w:pPr>
        <w:ind w:left="2160" w:hanging="360"/>
      </w:pPr>
      <w:rPr>
        <w:rFonts w:ascii="Wingdings" w:hAnsi="Wingdings" w:hint="default"/>
      </w:rPr>
    </w:lvl>
    <w:lvl w:ilvl="3" w:tplc="9F4254AE">
      <w:start w:val="1"/>
      <w:numFmt w:val="bullet"/>
      <w:lvlText w:val=""/>
      <w:lvlJc w:val="left"/>
      <w:pPr>
        <w:ind w:left="2880" w:hanging="360"/>
      </w:pPr>
      <w:rPr>
        <w:rFonts w:ascii="Symbol" w:hAnsi="Symbol" w:hint="default"/>
      </w:rPr>
    </w:lvl>
    <w:lvl w:ilvl="4" w:tplc="F29A9E6C">
      <w:start w:val="1"/>
      <w:numFmt w:val="bullet"/>
      <w:lvlText w:val="o"/>
      <w:lvlJc w:val="left"/>
      <w:pPr>
        <w:ind w:left="3600" w:hanging="360"/>
      </w:pPr>
      <w:rPr>
        <w:rFonts w:ascii="Courier New" w:hAnsi="Courier New" w:hint="default"/>
      </w:rPr>
    </w:lvl>
    <w:lvl w:ilvl="5" w:tplc="1B723050">
      <w:start w:val="1"/>
      <w:numFmt w:val="bullet"/>
      <w:lvlText w:val=""/>
      <w:lvlJc w:val="left"/>
      <w:pPr>
        <w:ind w:left="4320" w:hanging="360"/>
      </w:pPr>
      <w:rPr>
        <w:rFonts w:ascii="Wingdings" w:hAnsi="Wingdings" w:hint="default"/>
      </w:rPr>
    </w:lvl>
    <w:lvl w:ilvl="6" w:tplc="B79C4B62">
      <w:start w:val="1"/>
      <w:numFmt w:val="bullet"/>
      <w:lvlText w:val=""/>
      <w:lvlJc w:val="left"/>
      <w:pPr>
        <w:ind w:left="5040" w:hanging="360"/>
      </w:pPr>
      <w:rPr>
        <w:rFonts w:ascii="Symbol" w:hAnsi="Symbol" w:hint="default"/>
      </w:rPr>
    </w:lvl>
    <w:lvl w:ilvl="7" w:tplc="559489D2">
      <w:start w:val="1"/>
      <w:numFmt w:val="bullet"/>
      <w:lvlText w:val="o"/>
      <w:lvlJc w:val="left"/>
      <w:pPr>
        <w:ind w:left="5760" w:hanging="360"/>
      </w:pPr>
      <w:rPr>
        <w:rFonts w:ascii="Courier New" w:hAnsi="Courier New" w:hint="default"/>
      </w:rPr>
    </w:lvl>
    <w:lvl w:ilvl="8" w:tplc="D220BCA6">
      <w:start w:val="1"/>
      <w:numFmt w:val="bullet"/>
      <w:lvlText w:val=""/>
      <w:lvlJc w:val="left"/>
      <w:pPr>
        <w:ind w:left="6480" w:hanging="360"/>
      </w:pPr>
      <w:rPr>
        <w:rFonts w:ascii="Wingdings" w:hAnsi="Wingdings" w:hint="default"/>
      </w:rPr>
    </w:lvl>
  </w:abstractNum>
  <w:abstractNum w:abstractNumId="1" w15:restartNumberingAfterBreak="0">
    <w:nsid w:val="30084EBC"/>
    <w:multiLevelType w:val="multilevel"/>
    <w:tmpl w:val="924CE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0310688"/>
    <w:multiLevelType w:val="hybridMultilevel"/>
    <w:tmpl w:val="6616EAE0"/>
    <w:lvl w:ilvl="0" w:tplc="56160D84">
      <w:start w:val="1"/>
      <w:numFmt w:val="bullet"/>
      <w:lvlText w:val="·"/>
      <w:lvlJc w:val="left"/>
      <w:pPr>
        <w:ind w:left="720" w:hanging="360"/>
      </w:pPr>
      <w:rPr>
        <w:rFonts w:ascii="Symbol" w:hAnsi="Symbol" w:hint="default"/>
      </w:rPr>
    </w:lvl>
    <w:lvl w:ilvl="1" w:tplc="C3285694">
      <w:start w:val="1"/>
      <w:numFmt w:val="bullet"/>
      <w:lvlText w:val="o"/>
      <w:lvlJc w:val="left"/>
      <w:pPr>
        <w:ind w:left="1440" w:hanging="360"/>
      </w:pPr>
      <w:rPr>
        <w:rFonts w:ascii="&quot;Courier New&quot;" w:hAnsi="&quot;Courier New&quot;" w:hint="default"/>
      </w:rPr>
    </w:lvl>
    <w:lvl w:ilvl="2" w:tplc="00A030DA">
      <w:start w:val="1"/>
      <w:numFmt w:val="bullet"/>
      <w:lvlText w:val=""/>
      <w:lvlJc w:val="left"/>
      <w:pPr>
        <w:ind w:left="2160" w:hanging="360"/>
      </w:pPr>
      <w:rPr>
        <w:rFonts w:ascii="Wingdings" w:hAnsi="Wingdings" w:hint="default"/>
      </w:rPr>
    </w:lvl>
    <w:lvl w:ilvl="3" w:tplc="815C38BC">
      <w:start w:val="1"/>
      <w:numFmt w:val="bullet"/>
      <w:lvlText w:val=""/>
      <w:lvlJc w:val="left"/>
      <w:pPr>
        <w:ind w:left="2880" w:hanging="360"/>
      </w:pPr>
      <w:rPr>
        <w:rFonts w:ascii="Symbol" w:hAnsi="Symbol" w:hint="default"/>
      </w:rPr>
    </w:lvl>
    <w:lvl w:ilvl="4" w:tplc="EBFCC0AA">
      <w:start w:val="1"/>
      <w:numFmt w:val="bullet"/>
      <w:lvlText w:val="o"/>
      <w:lvlJc w:val="left"/>
      <w:pPr>
        <w:ind w:left="3600" w:hanging="360"/>
      </w:pPr>
      <w:rPr>
        <w:rFonts w:ascii="Courier New" w:hAnsi="Courier New" w:hint="default"/>
      </w:rPr>
    </w:lvl>
    <w:lvl w:ilvl="5" w:tplc="D9C6003C">
      <w:start w:val="1"/>
      <w:numFmt w:val="bullet"/>
      <w:lvlText w:val=""/>
      <w:lvlJc w:val="left"/>
      <w:pPr>
        <w:ind w:left="4320" w:hanging="360"/>
      </w:pPr>
      <w:rPr>
        <w:rFonts w:ascii="Wingdings" w:hAnsi="Wingdings" w:hint="default"/>
      </w:rPr>
    </w:lvl>
    <w:lvl w:ilvl="6" w:tplc="3F38C312">
      <w:start w:val="1"/>
      <w:numFmt w:val="bullet"/>
      <w:lvlText w:val=""/>
      <w:lvlJc w:val="left"/>
      <w:pPr>
        <w:ind w:left="5040" w:hanging="360"/>
      </w:pPr>
      <w:rPr>
        <w:rFonts w:ascii="Symbol" w:hAnsi="Symbol" w:hint="default"/>
      </w:rPr>
    </w:lvl>
    <w:lvl w:ilvl="7" w:tplc="1272F134">
      <w:start w:val="1"/>
      <w:numFmt w:val="bullet"/>
      <w:lvlText w:val="o"/>
      <w:lvlJc w:val="left"/>
      <w:pPr>
        <w:ind w:left="5760" w:hanging="360"/>
      </w:pPr>
      <w:rPr>
        <w:rFonts w:ascii="Courier New" w:hAnsi="Courier New" w:hint="default"/>
      </w:rPr>
    </w:lvl>
    <w:lvl w:ilvl="8" w:tplc="20F253E8">
      <w:start w:val="1"/>
      <w:numFmt w:val="bullet"/>
      <w:lvlText w:val=""/>
      <w:lvlJc w:val="left"/>
      <w:pPr>
        <w:ind w:left="6480" w:hanging="360"/>
      </w:pPr>
      <w:rPr>
        <w:rFonts w:ascii="Wingdings" w:hAnsi="Wingdings" w:hint="default"/>
      </w:rPr>
    </w:lvl>
  </w:abstractNum>
  <w:abstractNum w:abstractNumId="3" w15:restartNumberingAfterBreak="0">
    <w:nsid w:val="67086074"/>
    <w:multiLevelType w:val="hybridMultilevel"/>
    <w:tmpl w:val="1056FDB8"/>
    <w:lvl w:ilvl="0" w:tplc="FEF6C1C2">
      <w:start w:val="1"/>
      <w:numFmt w:val="bullet"/>
      <w:lvlText w:val="o"/>
      <w:lvlJc w:val="left"/>
      <w:pPr>
        <w:ind w:left="720" w:hanging="360"/>
      </w:pPr>
      <w:rPr>
        <w:rFonts w:ascii="&quot;Courier New&quot;" w:hAnsi="&quot;Courier New&quot;" w:hint="default"/>
      </w:rPr>
    </w:lvl>
    <w:lvl w:ilvl="1" w:tplc="D160EF96">
      <w:start w:val="1"/>
      <w:numFmt w:val="bullet"/>
      <w:lvlText w:val="o"/>
      <w:lvlJc w:val="left"/>
      <w:pPr>
        <w:ind w:left="1440" w:hanging="360"/>
      </w:pPr>
      <w:rPr>
        <w:rFonts w:ascii="Courier New" w:hAnsi="Courier New" w:hint="default"/>
      </w:rPr>
    </w:lvl>
    <w:lvl w:ilvl="2" w:tplc="CCC091A0">
      <w:start w:val="1"/>
      <w:numFmt w:val="bullet"/>
      <w:lvlText w:val=""/>
      <w:lvlJc w:val="left"/>
      <w:pPr>
        <w:ind w:left="2160" w:hanging="360"/>
      </w:pPr>
      <w:rPr>
        <w:rFonts w:ascii="Wingdings" w:hAnsi="Wingdings" w:hint="default"/>
      </w:rPr>
    </w:lvl>
    <w:lvl w:ilvl="3" w:tplc="48E83D5A">
      <w:start w:val="1"/>
      <w:numFmt w:val="bullet"/>
      <w:lvlText w:val=""/>
      <w:lvlJc w:val="left"/>
      <w:pPr>
        <w:ind w:left="2880" w:hanging="360"/>
      </w:pPr>
      <w:rPr>
        <w:rFonts w:ascii="Symbol" w:hAnsi="Symbol" w:hint="default"/>
      </w:rPr>
    </w:lvl>
    <w:lvl w:ilvl="4" w:tplc="0136DB74">
      <w:start w:val="1"/>
      <w:numFmt w:val="bullet"/>
      <w:lvlText w:val="o"/>
      <w:lvlJc w:val="left"/>
      <w:pPr>
        <w:ind w:left="3600" w:hanging="360"/>
      </w:pPr>
      <w:rPr>
        <w:rFonts w:ascii="Courier New" w:hAnsi="Courier New" w:hint="default"/>
      </w:rPr>
    </w:lvl>
    <w:lvl w:ilvl="5" w:tplc="8ECCBFFC">
      <w:start w:val="1"/>
      <w:numFmt w:val="bullet"/>
      <w:lvlText w:val=""/>
      <w:lvlJc w:val="left"/>
      <w:pPr>
        <w:ind w:left="4320" w:hanging="360"/>
      </w:pPr>
      <w:rPr>
        <w:rFonts w:ascii="Wingdings" w:hAnsi="Wingdings" w:hint="default"/>
      </w:rPr>
    </w:lvl>
    <w:lvl w:ilvl="6" w:tplc="9760AA78">
      <w:start w:val="1"/>
      <w:numFmt w:val="bullet"/>
      <w:lvlText w:val=""/>
      <w:lvlJc w:val="left"/>
      <w:pPr>
        <w:ind w:left="5040" w:hanging="360"/>
      </w:pPr>
      <w:rPr>
        <w:rFonts w:ascii="Symbol" w:hAnsi="Symbol" w:hint="default"/>
      </w:rPr>
    </w:lvl>
    <w:lvl w:ilvl="7" w:tplc="3CF88432">
      <w:start w:val="1"/>
      <w:numFmt w:val="bullet"/>
      <w:lvlText w:val="o"/>
      <w:lvlJc w:val="left"/>
      <w:pPr>
        <w:ind w:left="5760" w:hanging="360"/>
      </w:pPr>
      <w:rPr>
        <w:rFonts w:ascii="Courier New" w:hAnsi="Courier New" w:hint="default"/>
      </w:rPr>
    </w:lvl>
    <w:lvl w:ilvl="8" w:tplc="0058A128">
      <w:start w:val="1"/>
      <w:numFmt w:val="bullet"/>
      <w:lvlText w:val=""/>
      <w:lvlJc w:val="left"/>
      <w:pPr>
        <w:ind w:left="6480" w:hanging="360"/>
      </w:pPr>
      <w:rPr>
        <w:rFonts w:ascii="Wingdings" w:hAnsi="Wingdings" w:hint="default"/>
      </w:rPr>
    </w:lvl>
  </w:abstractNum>
  <w:abstractNum w:abstractNumId="4" w15:restartNumberingAfterBreak="0">
    <w:nsid w:val="77053E32"/>
    <w:multiLevelType w:val="hybridMultilevel"/>
    <w:tmpl w:val="6B38AD9A"/>
    <w:lvl w:ilvl="0" w:tplc="743CC494">
      <w:start w:val="1"/>
      <w:numFmt w:val="bullet"/>
      <w:lvlText w:val="·"/>
      <w:lvlJc w:val="left"/>
      <w:pPr>
        <w:ind w:left="720" w:hanging="360"/>
      </w:pPr>
      <w:rPr>
        <w:rFonts w:ascii="Symbol" w:hAnsi="Symbol" w:hint="default"/>
      </w:rPr>
    </w:lvl>
    <w:lvl w:ilvl="1" w:tplc="EE24826C">
      <w:start w:val="1"/>
      <w:numFmt w:val="bullet"/>
      <w:lvlText w:val="o"/>
      <w:lvlJc w:val="left"/>
      <w:pPr>
        <w:ind w:left="1440" w:hanging="360"/>
      </w:pPr>
      <w:rPr>
        <w:rFonts w:ascii="Courier New" w:hAnsi="Courier New" w:hint="default"/>
      </w:rPr>
    </w:lvl>
    <w:lvl w:ilvl="2" w:tplc="F77CE26A">
      <w:start w:val="1"/>
      <w:numFmt w:val="bullet"/>
      <w:lvlText w:val=""/>
      <w:lvlJc w:val="left"/>
      <w:pPr>
        <w:ind w:left="2160" w:hanging="360"/>
      </w:pPr>
      <w:rPr>
        <w:rFonts w:ascii="Wingdings" w:hAnsi="Wingdings" w:hint="default"/>
      </w:rPr>
    </w:lvl>
    <w:lvl w:ilvl="3" w:tplc="8974BF70">
      <w:start w:val="1"/>
      <w:numFmt w:val="bullet"/>
      <w:lvlText w:val=""/>
      <w:lvlJc w:val="left"/>
      <w:pPr>
        <w:ind w:left="2880" w:hanging="360"/>
      </w:pPr>
      <w:rPr>
        <w:rFonts w:ascii="Symbol" w:hAnsi="Symbol" w:hint="default"/>
      </w:rPr>
    </w:lvl>
    <w:lvl w:ilvl="4" w:tplc="E7486410">
      <w:start w:val="1"/>
      <w:numFmt w:val="bullet"/>
      <w:lvlText w:val="o"/>
      <w:lvlJc w:val="left"/>
      <w:pPr>
        <w:ind w:left="3600" w:hanging="360"/>
      </w:pPr>
      <w:rPr>
        <w:rFonts w:ascii="Courier New" w:hAnsi="Courier New" w:hint="default"/>
      </w:rPr>
    </w:lvl>
    <w:lvl w:ilvl="5" w:tplc="118A3AC0">
      <w:start w:val="1"/>
      <w:numFmt w:val="bullet"/>
      <w:lvlText w:val=""/>
      <w:lvlJc w:val="left"/>
      <w:pPr>
        <w:ind w:left="4320" w:hanging="360"/>
      </w:pPr>
      <w:rPr>
        <w:rFonts w:ascii="Wingdings" w:hAnsi="Wingdings" w:hint="default"/>
      </w:rPr>
    </w:lvl>
    <w:lvl w:ilvl="6" w:tplc="20A60CC6">
      <w:start w:val="1"/>
      <w:numFmt w:val="bullet"/>
      <w:lvlText w:val=""/>
      <w:lvlJc w:val="left"/>
      <w:pPr>
        <w:ind w:left="5040" w:hanging="360"/>
      </w:pPr>
      <w:rPr>
        <w:rFonts w:ascii="Symbol" w:hAnsi="Symbol" w:hint="default"/>
      </w:rPr>
    </w:lvl>
    <w:lvl w:ilvl="7" w:tplc="85020E5C">
      <w:start w:val="1"/>
      <w:numFmt w:val="bullet"/>
      <w:lvlText w:val="o"/>
      <w:lvlJc w:val="left"/>
      <w:pPr>
        <w:ind w:left="5760" w:hanging="360"/>
      </w:pPr>
      <w:rPr>
        <w:rFonts w:ascii="Courier New" w:hAnsi="Courier New" w:hint="default"/>
      </w:rPr>
    </w:lvl>
    <w:lvl w:ilvl="8" w:tplc="32929B78">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1F6CAF4"/>
    <w:rsid w:val="00020588"/>
    <w:rsid w:val="000A18F9"/>
    <w:rsid w:val="001F27A0"/>
    <w:rsid w:val="002B63E4"/>
    <w:rsid w:val="002F725A"/>
    <w:rsid w:val="00314A8F"/>
    <w:rsid w:val="00320DA4"/>
    <w:rsid w:val="00395046"/>
    <w:rsid w:val="00405CF4"/>
    <w:rsid w:val="00477377"/>
    <w:rsid w:val="00574CE3"/>
    <w:rsid w:val="0060561A"/>
    <w:rsid w:val="00711B8D"/>
    <w:rsid w:val="007D1EEF"/>
    <w:rsid w:val="00887995"/>
    <w:rsid w:val="008F3F69"/>
    <w:rsid w:val="00967184"/>
    <w:rsid w:val="00976CEF"/>
    <w:rsid w:val="009D4808"/>
    <w:rsid w:val="009E6BB7"/>
    <w:rsid w:val="00A00DF9"/>
    <w:rsid w:val="00A24931"/>
    <w:rsid w:val="00A34610"/>
    <w:rsid w:val="00AA51D3"/>
    <w:rsid w:val="00B3116D"/>
    <w:rsid w:val="00B41157"/>
    <w:rsid w:val="00C0469B"/>
    <w:rsid w:val="00C2707B"/>
    <w:rsid w:val="00CA000D"/>
    <w:rsid w:val="00D13188"/>
    <w:rsid w:val="00D519D8"/>
    <w:rsid w:val="00D92598"/>
    <w:rsid w:val="00DA1E5B"/>
    <w:rsid w:val="00DF0AC4"/>
    <w:rsid w:val="00E1501A"/>
    <w:rsid w:val="00E322E4"/>
    <w:rsid w:val="00E376AE"/>
    <w:rsid w:val="00E551AD"/>
    <w:rsid w:val="00F009F3"/>
    <w:rsid w:val="00F61810"/>
    <w:rsid w:val="00FA08D3"/>
    <w:rsid w:val="00FB0F79"/>
    <w:rsid w:val="00FC212F"/>
    <w:rsid w:val="029CC5D8"/>
    <w:rsid w:val="03B08F0A"/>
    <w:rsid w:val="03C6475B"/>
    <w:rsid w:val="055F8F36"/>
    <w:rsid w:val="06873DF7"/>
    <w:rsid w:val="06FD2A04"/>
    <w:rsid w:val="07D88AF0"/>
    <w:rsid w:val="0822685B"/>
    <w:rsid w:val="0A41F710"/>
    <w:rsid w:val="0A51D9FD"/>
    <w:rsid w:val="0AA2D186"/>
    <w:rsid w:val="0CDA3D9D"/>
    <w:rsid w:val="0D061F37"/>
    <w:rsid w:val="0E1847A3"/>
    <w:rsid w:val="0F188EF1"/>
    <w:rsid w:val="0F68A1D9"/>
    <w:rsid w:val="10078657"/>
    <w:rsid w:val="10A19B82"/>
    <w:rsid w:val="11EFADD6"/>
    <w:rsid w:val="1276546F"/>
    <w:rsid w:val="16301CCE"/>
    <w:rsid w:val="1748A4A1"/>
    <w:rsid w:val="181F9902"/>
    <w:rsid w:val="18547314"/>
    <w:rsid w:val="1AA67E3A"/>
    <w:rsid w:val="1B07C2F0"/>
    <w:rsid w:val="1B7C6584"/>
    <w:rsid w:val="1C1A0D3D"/>
    <w:rsid w:val="1F45C7D9"/>
    <w:rsid w:val="27B01BE8"/>
    <w:rsid w:val="29B45483"/>
    <w:rsid w:val="2BDB9529"/>
    <w:rsid w:val="2DE815C2"/>
    <w:rsid w:val="2E0F12EE"/>
    <w:rsid w:val="317C8643"/>
    <w:rsid w:val="32682E76"/>
    <w:rsid w:val="357DA1CB"/>
    <w:rsid w:val="35DC0CBD"/>
    <w:rsid w:val="365DBD2E"/>
    <w:rsid w:val="391C15BE"/>
    <w:rsid w:val="3A480C01"/>
    <w:rsid w:val="3AB73337"/>
    <w:rsid w:val="3BC52018"/>
    <w:rsid w:val="3C320305"/>
    <w:rsid w:val="3E3504CF"/>
    <w:rsid w:val="3F58FDFF"/>
    <w:rsid w:val="3F6B72F4"/>
    <w:rsid w:val="405A1033"/>
    <w:rsid w:val="4077B6EB"/>
    <w:rsid w:val="41F6CAF4"/>
    <w:rsid w:val="41FBBF1B"/>
    <w:rsid w:val="43E04DBB"/>
    <w:rsid w:val="44124533"/>
    <w:rsid w:val="45DBCE61"/>
    <w:rsid w:val="47DEE91A"/>
    <w:rsid w:val="4AC40F22"/>
    <w:rsid w:val="4AD85680"/>
    <w:rsid w:val="4E9B62D7"/>
    <w:rsid w:val="4FEA3BA9"/>
    <w:rsid w:val="50605CDF"/>
    <w:rsid w:val="51F25A3C"/>
    <w:rsid w:val="53358433"/>
    <w:rsid w:val="53A7284D"/>
    <w:rsid w:val="54474DD6"/>
    <w:rsid w:val="5A269B1E"/>
    <w:rsid w:val="5A627E04"/>
    <w:rsid w:val="5B628305"/>
    <w:rsid w:val="5BABAC65"/>
    <w:rsid w:val="5CB48446"/>
    <w:rsid w:val="5D56CE1D"/>
    <w:rsid w:val="5DACAF52"/>
    <w:rsid w:val="5E9B6721"/>
    <w:rsid w:val="5F15D86D"/>
    <w:rsid w:val="5F5F61E4"/>
    <w:rsid w:val="5F741050"/>
    <w:rsid w:val="622EBDBC"/>
    <w:rsid w:val="62887D0E"/>
    <w:rsid w:val="631D2C57"/>
    <w:rsid w:val="65378564"/>
    <w:rsid w:val="65599CE3"/>
    <w:rsid w:val="6611DDEB"/>
    <w:rsid w:val="66459EA9"/>
    <w:rsid w:val="680655A2"/>
    <w:rsid w:val="681041A6"/>
    <w:rsid w:val="68C5CB77"/>
    <w:rsid w:val="6963D079"/>
    <w:rsid w:val="6A192A24"/>
    <w:rsid w:val="6BD15B23"/>
    <w:rsid w:val="6D8E912A"/>
    <w:rsid w:val="6E20E96B"/>
    <w:rsid w:val="6E47D232"/>
    <w:rsid w:val="73B326DB"/>
    <w:rsid w:val="76AD5A93"/>
    <w:rsid w:val="79A931FD"/>
    <w:rsid w:val="7B172D62"/>
    <w:rsid w:val="7BCD566E"/>
    <w:rsid w:val="7BDAA271"/>
    <w:rsid w:val="7DD3C269"/>
    <w:rsid w:val="7DDF022F"/>
    <w:rsid w:val="7F1EE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6CAF4"/>
  <w15:chartTrackingRefBased/>
  <w15:docId w15:val="{07016E3E-2B3D-41B6-834E-A3B7D5E492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181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9E6B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E6BB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PlainTable4">
    <w:name w:val="Plain Table 4"/>
    <w:basedOn w:val="TableNormal"/>
    <w:uiPriority w:val="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tion1">
    <w:name w:val="Mention1"/>
    <w:basedOn w:val="DefaultParagraphFont"/>
    <w:uiPriority w:val="99"/>
    <w:unhideWhenUsed/>
    <w:rPr>
      <w:color w:val="2B579A"/>
      <w:shd w:val="clear" w:color="auto" w:fill="E6E6E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020588"/>
    <w:pPr>
      <w:spacing w:after="0" w:line="240" w:lineRule="auto"/>
    </w:pPr>
  </w:style>
  <w:style w:type="paragraph" w:styleId="BalloonText">
    <w:name w:val="Balloon Text"/>
    <w:basedOn w:val="Normal"/>
    <w:link w:val="BalloonTextChar"/>
    <w:uiPriority w:val="99"/>
    <w:semiHidden/>
    <w:unhideWhenUsed/>
    <w:rsid w:val="000205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0588"/>
    <w:rPr>
      <w:rFonts w:ascii="Segoe UI" w:hAnsi="Segoe UI" w:cs="Segoe UI"/>
      <w:sz w:val="18"/>
      <w:szCs w:val="18"/>
    </w:rPr>
  </w:style>
  <w:style w:type="paragraph" w:styleId="Header">
    <w:name w:val="header"/>
    <w:basedOn w:val="Normal"/>
    <w:link w:val="HeaderChar"/>
    <w:uiPriority w:val="99"/>
    <w:unhideWhenUsed/>
    <w:rsid w:val="007D1E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EEF"/>
  </w:style>
  <w:style w:type="paragraph" w:styleId="Footer">
    <w:name w:val="footer"/>
    <w:basedOn w:val="Normal"/>
    <w:link w:val="FooterChar"/>
    <w:uiPriority w:val="99"/>
    <w:unhideWhenUsed/>
    <w:rsid w:val="007D1E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EEF"/>
  </w:style>
  <w:style w:type="character" w:customStyle="1" w:styleId="Heading2Char">
    <w:name w:val="Heading 2 Char"/>
    <w:basedOn w:val="DefaultParagraphFont"/>
    <w:link w:val="Heading2"/>
    <w:uiPriority w:val="9"/>
    <w:rsid w:val="009E6BB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E6BB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E6B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rt0xe">
    <w:name w:val="trt0xe"/>
    <w:basedOn w:val="Normal"/>
    <w:rsid w:val="009E6B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F61810"/>
    <w:rPr>
      <w:rFonts w:asciiTheme="majorHAnsi" w:eastAsiaTheme="majorEastAsia" w:hAnsiTheme="majorHAnsi" w:cstheme="majorBidi"/>
      <w:color w:val="2F5496" w:themeColor="accent1" w:themeShade="BF"/>
      <w:sz w:val="32"/>
      <w:szCs w:val="32"/>
    </w:rPr>
  </w:style>
  <w:style w:type="character" w:customStyle="1" w:styleId="hgkelc">
    <w:name w:val="hgkelc"/>
    <w:basedOn w:val="DefaultParagraphFont"/>
    <w:rsid w:val="00F61810"/>
  </w:style>
  <w:style w:type="character" w:customStyle="1" w:styleId="kx21rb">
    <w:name w:val="kx21rb"/>
    <w:basedOn w:val="DefaultParagraphFont"/>
    <w:rsid w:val="00F61810"/>
  </w:style>
  <w:style w:type="character" w:styleId="UnresolvedMention">
    <w:name w:val="Unresolved Mention"/>
    <w:basedOn w:val="DefaultParagraphFont"/>
    <w:uiPriority w:val="99"/>
    <w:semiHidden/>
    <w:unhideWhenUsed/>
    <w:rsid w:val="00976CEF"/>
    <w:rPr>
      <w:color w:val="605E5C"/>
      <w:shd w:val="clear" w:color="auto" w:fill="E1DFDD"/>
    </w:rPr>
  </w:style>
  <w:style w:type="character" w:styleId="Strong">
    <w:name w:val="Strong"/>
    <w:basedOn w:val="DefaultParagraphFont"/>
    <w:uiPriority w:val="22"/>
    <w:qFormat/>
    <w:rsid w:val="00A00D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694949">
      <w:bodyDiv w:val="1"/>
      <w:marLeft w:val="0"/>
      <w:marRight w:val="0"/>
      <w:marTop w:val="0"/>
      <w:marBottom w:val="0"/>
      <w:divBdr>
        <w:top w:val="none" w:sz="0" w:space="0" w:color="auto"/>
        <w:left w:val="none" w:sz="0" w:space="0" w:color="auto"/>
        <w:bottom w:val="none" w:sz="0" w:space="0" w:color="auto"/>
        <w:right w:val="none" w:sz="0" w:space="0" w:color="auto"/>
      </w:divBdr>
    </w:div>
    <w:div w:id="302929021">
      <w:bodyDiv w:val="1"/>
      <w:marLeft w:val="0"/>
      <w:marRight w:val="0"/>
      <w:marTop w:val="0"/>
      <w:marBottom w:val="0"/>
      <w:divBdr>
        <w:top w:val="none" w:sz="0" w:space="0" w:color="auto"/>
        <w:left w:val="none" w:sz="0" w:space="0" w:color="auto"/>
        <w:bottom w:val="none" w:sz="0" w:space="0" w:color="auto"/>
        <w:right w:val="none" w:sz="0" w:space="0" w:color="auto"/>
      </w:divBdr>
    </w:div>
    <w:div w:id="591400985">
      <w:bodyDiv w:val="1"/>
      <w:marLeft w:val="0"/>
      <w:marRight w:val="0"/>
      <w:marTop w:val="0"/>
      <w:marBottom w:val="0"/>
      <w:divBdr>
        <w:top w:val="none" w:sz="0" w:space="0" w:color="auto"/>
        <w:left w:val="none" w:sz="0" w:space="0" w:color="auto"/>
        <w:bottom w:val="none" w:sz="0" w:space="0" w:color="auto"/>
        <w:right w:val="none" w:sz="0" w:space="0" w:color="auto"/>
      </w:divBdr>
    </w:div>
    <w:div w:id="785998995">
      <w:bodyDiv w:val="1"/>
      <w:marLeft w:val="0"/>
      <w:marRight w:val="0"/>
      <w:marTop w:val="0"/>
      <w:marBottom w:val="0"/>
      <w:divBdr>
        <w:top w:val="none" w:sz="0" w:space="0" w:color="auto"/>
        <w:left w:val="none" w:sz="0" w:space="0" w:color="auto"/>
        <w:bottom w:val="none" w:sz="0" w:space="0" w:color="auto"/>
        <w:right w:val="none" w:sz="0" w:space="0" w:color="auto"/>
      </w:divBdr>
    </w:div>
    <w:div w:id="1463384006">
      <w:bodyDiv w:val="1"/>
      <w:marLeft w:val="0"/>
      <w:marRight w:val="0"/>
      <w:marTop w:val="0"/>
      <w:marBottom w:val="0"/>
      <w:divBdr>
        <w:top w:val="none" w:sz="0" w:space="0" w:color="auto"/>
        <w:left w:val="none" w:sz="0" w:space="0" w:color="auto"/>
        <w:bottom w:val="none" w:sz="0" w:space="0" w:color="auto"/>
        <w:right w:val="none" w:sz="0" w:space="0" w:color="auto"/>
      </w:divBdr>
    </w:div>
    <w:div w:id="174660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openaccess.thecvf.com/content/ICCV2021/papers/Li_Revisiting_Stereo_Depth_Estimation_From_a_Sequence-to-Sequence_Perspective_With_Transformers_ICCV_2021_paper.pdf"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FFCCFD2A481E748B9B53FBA23101200" ma:contentTypeVersion="12" ma:contentTypeDescription="Create a new document." ma:contentTypeScope="" ma:versionID="da004c43674aa34808d9081282bd8c3a">
  <xsd:schema xmlns:xsd="http://www.w3.org/2001/XMLSchema" xmlns:xs="http://www.w3.org/2001/XMLSchema" xmlns:p="http://schemas.microsoft.com/office/2006/metadata/properties" xmlns:ns2="d6bdd6d0-03ec-49c9-9ca3-ad6d5cb1bde4" xmlns:ns3="42411b68-02d5-4f09-93d3-ef94c7806c0f" targetNamespace="http://schemas.microsoft.com/office/2006/metadata/properties" ma:root="true" ma:fieldsID="4aa3640977943a841afb29a7623be26b" ns2:_="" ns3:_="">
    <xsd:import namespace="d6bdd6d0-03ec-49c9-9ca3-ad6d5cb1bde4"/>
    <xsd:import namespace="42411b68-02d5-4f09-93d3-ef94c7806c0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DocumentType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bdd6d0-03ec-49c9-9ca3-ad6d5cb1bd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DocumentTypes" ma:index="12" nillable="true" ma:displayName="Document Types" ma:format="Dropdown" ma:internalName="DocumentTypes">
      <xsd:simpleType>
        <xsd:union memberTypes="dms:Text">
          <xsd:simpleType>
            <xsd:restriction base="dms:Choice">
              <xsd:enumeration value="Minutes"/>
              <xsd:enumeration value="Competencies"/>
              <xsd:enumeration value="Media"/>
            </xsd:restriction>
          </xsd:simpleType>
        </xsd:un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411b68-02d5-4f09-93d3-ef94c7806c0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ocumentTypes xmlns="d6bdd6d0-03ec-49c9-9ca3-ad6d5cb1bde4" xsi:nil="true"/>
  </documentManagement>
</p:properties>
</file>

<file path=customXml/itemProps1.xml><?xml version="1.0" encoding="utf-8"?>
<ds:datastoreItem xmlns:ds="http://schemas.openxmlformats.org/officeDocument/2006/customXml" ds:itemID="{0D56337F-3997-4901-9087-C6E88B93A326}">
  <ds:schemaRefs>
    <ds:schemaRef ds:uri="http://schemas.microsoft.com/sharepoint/v3/contenttype/forms"/>
  </ds:schemaRefs>
</ds:datastoreItem>
</file>

<file path=customXml/itemProps2.xml><?xml version="1.0" encoding="utf-8"?>
<ds:datastoreItem xmlns:ds="http://schemas.openxmlformats.org/officeDocument/2006/customXml" ds:itemID="{AA1A365A-C5CE-46D6-A6E0-BF673E342D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bdd6d0-03ec-49c9-9ca3-ad6d5cb1bde4"/>
    <ds:schemaRef ds:uri="42411b68-02d5-4f09-93d3-ef94c7806c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F3805E3-E4A3-4B8B-8771-1794FCE0FE94}">
  <ds:schemaRefs>
    <ds:schemaRef ds:uri="http://schemas.microsoft.com/office/2006/metadata/properties"/>
    <ds:schemaRef ds:uri="http://schemas.microsoft.com/office/infopath/2007/PartnerControls"/>
    <ds:schemaRef ds:uri="d6bdd6d0-03ec-49c9-9ca3-ad6d5cb1bde4"/>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6</Pages>
  <Words>1133</Words>
  <Characters>6463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Windows Upgrade Plan Template</vt:lpstr>
    </vt:vector>
  </TitlesOfParts>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Upgrade Plan Template</dc:title>
  <dc:subject/>
  <dc:creator>Andrew Rider</dc:creator>
  <cp:keywords/>
  <dc:description/>
  <cp:lastModifiedBy>Ben Ng'ang'a</cp:lastModifiedBy>
  <cp:revision>85</cp:revision>
  <dcterms:created xsi:type="dcterms:W3CDTF">2022-01-21T09:04:00Z</dcterms:created>
  <dcterms:modified xsi:type="dcterms:W3CDTF">2022-01-21T12:58:00Z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0x010100BFFCCFD2A481E748B9B53FBA23101200</vt:lpwstr>
  </property>
</Properties>
</file>