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bookmarkEnd w:id="0"/>
    </w:p>
    <w:p>
      <w:pPr>
        <w:jc w:val="center"/>
      </w:pPr>
    </w:p>
    <w:p>
      <w:pPr>
        <w:jc w:val="center"/>
      </w:pPr>
    </w:p>
    <w:p>
      <w:pPr>
        <w:jc w:val="center"/>
      </w:pPr>
    </w:p>
    <w:p>
      <w:pPr>
        <w:jc w:val="center"/>
      </w:pPr>
      <w:r>
        <w:t>Risk Mitigation</w:t>
      </w:r>
    </w:p>
    <w:p>
      <w:pPr>
        <w:jc w:val="center"/>
      </w:pPr>
    </w:p>
    <w:p>
      <w:pPr>
        <w:jc w:val="center"/>
        <w:rPr>
          <w:b w:val="0"/>
        </w:rPr>
      </w:pPr>
      <w:r>
        <w:rPr>
          <w:b w:val="0"/>
        </w:rPr>
        <w:t>Student Name</w:t>
      </w:r>
    </w:p>
    <w:p>
      <w:pPr>
        <w:jc w:val="center"/>
        <w:rPr>
          <w:b w:val="0"/>
        </w:rPr>
      </w:pPr>
      <w:r>
        <w:rPr>
          <w:b w:val="0"/>
        </w:rPr>
        <w:t>Institutional Affiliation</w:t>
      </w:r>
    </w:p>
    <w:p>
      <w:pPr>
        <w:jc w:val="center"/>
        <w:rPr>
          <w:b w:val="0"/>
        </w:rPr>
      </w:pPr>
      <w:r>
        <w:rPr>
          <w:b w:val="0"/>
        </w:rPr>
        <w:t>Course Number and Name</w:t>
      </w:r>
    </w:p>
    <w:p>
      <w:pPr>
        <w:jc w:val="center"/>
        <w:rPr>
          <w:b w:val="0"/>
        </w:rPr>
      </w:pPr>
      <w:r>
        <w:rPr>
          <w:b w:val="0"/>
        </w:rPr>
        <w:t>Instructors Name</w:t>
      </w:r>
    </w:p>
    <w:p>
      <w:pPr>
        <w:jc w:val="center"/>
      </w:pPr>
      <w:r>
        <w:rPr>
          <w:b w:val="0"/>
        </w:rPr>
        <w:t>Due Date</w:t>
      </w:r>
    </w:p>
    <w:p>
      <w:pPr>
        <w:jc w:val="center"/>
      </w:pPr>
    </w:p>
    <w:p>
      <w:r>
        <w:br w:type="page"/>
      </w:r>
    </w:p>
    <w:p>
      <w:pPr>
        <w:jc w:val="center"/>
      </w:pPr>
      <w:r>
        <w:t>Risk Mitigation</w:t>
      </w:r>
    </w:p>
    <w:p>
      <w:r>
        <w:rPr>
          <w:bCs/>
        </w:rPr>
        <w:t>Scope</w:t>
      </w:r>
      <w:r>
        <w:t>: Evaluate the scope and comprehensiveness of the current plan.</w:t>
      </w:r>
    </w:p>
    <w:p>
      <w:pPr>
        <w:ind w:firstLine="720"/>
        <w:rPr>
          <w:b w:val="0"/>
        </w:rPr>
      </w:pPr>
      <w:r>
        <w:rPr>
          <w:b w:val="0"/>
        </w:rPr>
        <w:t>The plan describes its objectives by considering profitability and how to survive. It uses a risk assessment to maintain a proper balance between these two goals. The plan manages higher risks and accepts the lesser risks in order to achieve its objectives. The risk assessment helps the plan to know the best methods to achieve its objectives.</w:t>
      </w:r>
    </w:p>
    <w:p>
      <w:pPr>
        <w:ind w:firstLine="720"/>
        <w:rPr>
          <w:b w:val="0"/>
        </w:rPr>
      </w:pPr>
      <w:r>
        <w:rPr>
          <w:b w:val="0"/>
        </w:rPr>
        <w:t>The plan considers every company having a huge amount of money. A security expert may request for more money to spend on security. There is a limit for too much money spent on security, may lead to deteriorated profit and health of the company. If the company gains much revenue from a specific site, it may lose that revenue if the site stops for a while. An analysis that is cost benefit provides important data to making a decision. If the costs are greater than the benefits, you can actually accept and consider the risk.</w:t>
      </w:r>
    </w:p>
    <w:p>
      <w:pPr>
        <w:ind w:firstLine="720"/>
        <w:rPr>
          <w:b w:val="0"/>
        </w:rPr>
      </w:pPr>
      <w:r>
        <w:rPr>
          <w:b w:val="0"/>
        </w:rPr>
        <w:t>The plan considers identifying the risks, threats and vulnerabilities using qualitative and quantitative methods. On identifying the risks, the plan tends to control and later implement some policies to curb or utilize the risk, hence achieving its business objectives end to end.</w:t>
      </w:r>
    </w:p>
    <w:p>
      <w:pPr>
        <w:ind w:firstLine="720"/>
        <w:rPr>
          <w:b w:val="0"/>
        </w:rPr>
      </w:pPr>
      <w:r>
        <w:rPr>
          <w:b w:val="0"/>
        </w:rPr>
        <w:t>The plan assures stakeholders that if existing practices and controls have eliminated most of the risk, the threat of cyber security attack is minimal. For example, administrators can remove all private information from the website quickly; hence if someone tries to hack into the website they will not find the private information. The hackers will only find the public data which is of low risk.</w:t>
      </w:r>
    </w:p>
    <w:p>
      <w:r>
        <w:rPr>
          <w:bCs/>
        </w:rPr>
        <w:t>Risk</w:t>
      </w:r>
      <w:r>
        <w:t>: Determine how the current plan identifies risks.</w:t>
      </w:r>
    </w:p>
    <w:p>
      <w:pPr>
        <w:ind w:firstLine="720"/>
        <w:rPr>
          <w:b w:val="0"/>
        </w:rPr>
      </w:pPr>
      <w:r>
        <w:rPr>
          <w:b w:val="0"/>
        </w:rPr>
        <w:t>The plan uses quantitative risk assessment to identify various risks, vulnerabilities and threats if historical data is easily available. The data can be used to find ALE from SLE and ARO through the formula, ALE=SLE*ARO. The plan also provides a solution to stay informed of vulnerabilities by subscribing to notifications from the US-Computer Emergency Readiness team. On doing so you will see that upcoming vulnerabilities are discovered from time to time. Some of these vulnerabilities represent very major risks.</w:t>
      </w:r>
    </w:p>
    <w:p>
      <w:pPr>
        <w:ind w:firstLine="720"/>
        <w:rPr>
          <w:b w:val="0"/>
        </w:rPr>
      </w:pPr>
      <w:r>
        <w:rPr>
          <w:b w:val="0"/>
        </w:rPr>
        <w:t>To identify industry-related risks either internal or external, the plan suggests the use of a qualitative risk assessment. This method uses the opinions of experts. It does not have any defined formulas but requires you to make your own scale which may consist of words like low, medium and high. This method can be achieved in a shorter period of time.</w:t>
      </w:r>
    </w:p>
    <w:p>
      <w:r>
        <w:rPr>
          <w:bCs/>
        </w:rPr>
        <w:t>Impact</w:t>
      </w:r>
      <w:r>
        <w:t>: Analyze how the identified risks might impact the organization’s assets.</w:t>
      </w:r>
    </w:p>
    <w:p>
      <w:pPr>
        <w:ind w:firstLine="720"/>
        <w:rPr>
          <w:b w:val="0"/>
        </w:rPr>
      </w:pPr>
      <w:r>
        <w:rPr>
          <w:b w:val="0"/>
        </w:rPr>
        <w:t xml:space="preserve">The plan uses the qualitative and quantitative risk assessment methods to identify the key assets and activities needing protection. The plan suggests the use of surveys to accomplish the previous task. These surveys can be conducted in several ways: either through surveys filled out independently by interviewing experts or in a meeting with no discussion. </w:t>
      </w:r>
    </w:p>
    <w:p>
      <w:pPr>
        <w:ind w:firstLine="720"/>
        <w:rPr>
          <w:b w:val="0"/>
        </w:rPr>
      </w:pPr>
      <w:r>
        <w:rPr>
          <w:b w:val="0"/>
        </w:rPr>
        <w:t>Through differences in data format, changes in data collection and changes in the business, the plan tends to estimate the financial effect of losses. The three above processes tend to affect the financial sector and bring about losses which can be estimated.</w:t>
      </w:r>
    </w:p>
    <w:p>
      <w:pPr>
        <w:ind w:firstLine="720"/>
        <w:rPr>
          <w:b w:val="0"/>
        </w:rPr>
      </w:pPr>
      <w:r>
        <w:rPr>
          <w:b w:val="0"/>
        </w:rPr>
        <w:t>The plan suggests for business continuity and asset replacement, one may:</w:t>
      </w:r>
    </w:p>
    <w:p>
      <w:pPr>
        <w:pStyle w:val="8"/>
        <w:numPr>
          <w:ilvl w:val="0"/>
          <w:numId w:val="1"/>
        </w:numPr>
        <w:rPr>
          <w:b w:val="0"/>
        </w:rPr>
      </w:pPr>
      <w:r>
        <w:rPr>
          <w:b w:val="0"/>
        </w:rPr>
        <w:t xml:space="preserve">Begin with clear goals and a known scope; Enlist the senior management support; Enhance a strong risk assessment team; Repeat the risk assessment regularly; </w:t>
      </w:r>
    </w:p>
    <w:p>
      <w:pPr>
        <w:pStyle w:val="8"/>
        <w:numPr>
          <w:ilvl w:val="0"/>
          <w:numId w:val="1"/>
        </w:numPr>
        <w:rPr>
          <w:b w:val="0"/>
        </w:rPr>
      </w:pPr>
      <w:r>
        <w:rPr>
          <w:rFonts w:hint="default"/>
          <w:b w:val="0"/>
          <w:bCs/>
          <w:lang w:val="en-US"/>
        </w:rPr>
        <w:t>Choose</w:t>
      </w:r>
      <w:r>
        <w:rPr>
          <w:b w:val="0"/>
          <w:bCs/>
        </w:rPr>
        <w:t xml:space="preserve"> a method to use; </w:t>
      </w:r>
      <w:r>
        <w:rPr>
          <w:b w:val="0"/>
        </w:rPr>
        <w:t>if the same method</w:t>
      </w:r>
      <w:r>
        <w:rPr>
          <w:rFonts w:hint="default"/>
          <w:b w:val="0"/>
          <w:lang w:val="en-US"/>
        </w:rPr>
        <w:t xml:space="preserve"> is</w:t>
      </w:r>
      <w:r>
        <w:rPr>
          <w:b w:val="0"/>
        </w:rPr>
        <w:t xml:space="preserve"> consistently</w:t>
      </w:r>
      <w:r>
        <w:rPr>
          <w:rFonts w:hint="default"/>
          <w:b w:val="0"/>
          <w:lang w:val="en-US"/>
        </w:rPr>
        <w:t xml:space="preserve"> used,</w:t>
      </w:r>
      <w:r>
        <w:rPr>
          <w:b w:val="0"/>
        </w:rPr>
        <w:t xml:space="preserve"> people become more familiar at it. For example, an organization can decide to use qualitative</w:t>
      </w:r>
      <w:r>
        <w:rPr>
          <w:rFonts w:hint="default"/>
          <w:b w:val="0"/>
          <w:lang w:val="en-US"/>
        </w:rPr>
        <w:t xml:space="preserve"> method </w:t>
      </w:r>
      <w:r>
        <w:rPr>
          <w:b w:val="0"/>
        </w:rPr>
        <w:t xml:space="preserve"> regular</w:t>
      </w:r>
      <w:r>
        <w:rPr>
          <w:rFonts w:hint="default"/>
          <w:b w:val="0"/>
          <w:lang w:val="en-US"/>
        </w:rPr>
        <w:t>ly</w:t>
      </w:r>
      <w:r>
        <w:rPr>
          <w:b w:val="0"/>
        </w:rPr>
        <w:t>, therefore defining scale</w:t>
      </w:r>
      <w:r>
        <w:rPr>
          <w:rFonts w:hint="default"/>
          <w:b w:val="0"/>
          <w:lang w:val="en-US"/>
        </w:rPr>
        <w:t>s to use</w:t>
      </w:r>
      <w:r>
        <w:rPr>
          <w:b w:val="0"/>
        </w:rPr>
        <w:t>. When assessments are done</w:t>
      </w:r>
      <w:r>
        <w:rPr>
          <w:rFonts w:hint="default"/>
          <w:b w:val="0"/>
          <w:lang w:val="en-US"/>
        </w:rPr>
        <w:t xml:space="preserve"> in</w:t>
      </w:r>
      <w:r>
        <w:rPr>
          <w:b w:val="0"/>
        </w:rPr>
        <w:t xml:space="preserve"> the </w:t>
      </w:r>
      <w:r>
        <w:rPr>
          <w:rFonts w:hint="default"/>
          <w:b w:val="0"/>
          <w:lang w:val="en-US"/>
        </w:rPr>
        <w:t>similar manner</w:t>
      </w:r>
      <w:r>
        <w:rPr>
          <w:b w:val="0"/>
        </w:rPr>
        <w:t>, they are easier to achieve, thus providing higher quality results.</w:t>
      </w:r>
    </w:p>
    <w:p>
      <w:pPr>
        <w:pStyle w:val="8"/>
        <w:numPr>
          <w:ilvl w:val="0"/>
          <w:numId w:val="1"/>
        </w:numPr>
        <w:rPr>
          <w:b w:val="0"/>
        </w:rPr>
      </w:pPr>
      <w:r>
        <w:rPr>
          <w:b w:val="0"/>
          <w:bCs/>
        </w:rPr>
        <w:t xml:space="preserve">Provide a report of </w:t>
      </w:r>
      <w:r>
        <w:rPr>
          <w:rFonts w:hint="default"/>
          <w:b w:val="0"/>
          <w:bCs/>
          <w:lang w:val="en-US"/>
        </w:rPr>
        <w:t>well defined</w:t>
      </w:r>
      <w:r>
        <w:rPr>
          <w:b w:val="0"/>
          <w:bCs/>
        </w:rPr>
        <w:t xml:space="preserve"> risks and recommendations</w:t>
      </w:r>
      <w:r>
        <w:rPr>
          <w:b w:val="0"/>
        </w:rPr>
        <w:t xml:space="preserve">; every risk assessment should end with a report </w:t>
      </w:r>
      <w:r>
        <w:rPr>
          <w:rFonts w:hint="default"/>
          <w:b w:val="0"/>
          <w:lang w:val="en-US"/>
        </w:rPr>
        <w:t>of</w:t>
      </w:r>
      <w:r>
        <w:rPr>
          <w:b w:val="0"/>
        </w:rPr>
        <w:t xml:space="preserve"> findings. These findings should be </w:t>
      </w:r>
      <w:r>
        <w:rPr>
          <w:rFonts w:hint="default"/>
          <w:b w:val="0"/>
          <w:lang w:val="en-US"/>
        </w:rPr>
        <w:t>well</w:t>
      </w:r>
      <w:r>
        <w:rPr>
          <w:b w:val="0"/>
        </w:rPr>
        <w:t xml:space="preserve"> </w:t>
      </w:r>
      <w:r>
        <w:rPr>
          <w:rFonts w:hint="default"/>
          <w:b w:val="0"/>
          <w:lang w:val="en-US"/>
        </w:rPr>
        <w:t>outlined</w:t>
      </w:r>
      <w:r>
        <w:rPr>
          <w:b w:val="0"/>
        </w:rPr>
        <w:t xml:space="preserve"> and the risks </w:t>
      </w:r>
      <w:r>
        <w:rPr>
          <w:rFonts w:hint="default"/>
          <w:b w:val="0"/>
          <w:lang w:val="en-US"/>
        </w:rPr>
        <w:t>well</w:t>
      </w:r>
      <w:r>
        <w:rPr>
          <w:b w:val="0"/>
        </w:rPr>
        <w:t xml:space="preserve"> </w:t>
      </w:r>
      <w:r>
        <w:rPr>
          <w:rFonts w:hint="default"/>
          <w:b w:val="0"/>
          <w:lang w:val="en-US"/>
        </w:rPr>
        <w:t>proven</w:t>
      </w:r>
      <w:r>
        <w:rPr>
          <w:b w:val="0"/>
        </w:rPr>
        <w:t xml:space="preserve">. It is more important </w:t>
      </w:r>
      <w:r>
        <w:rPr>
          <w:rFonts w:hint="default"/>
          <w:b w:val="0"/>
          <w:lang w:val="en-US"/>
        </w:rPr>
        <w:t>for</w:t>
      </w:r>
      <w:r>
        <w:rPr>
          <w:b w:val="0"/>
        </w:rPr>
        <w:t xml:space="preserve"> recommendations </w:t>
      </w:r>
      <w:r>
        <w:rPr>
          <w:rFonts w:hint="default"/>
          <w:b w:val="0"/>
          <w:lang w:val="en-US"/>
        </w:rPr>
        <w:t xml:space="preserve">to be </w:t>
      </w:r>
      <w:r>
        <w:rPr>
          <w:b w:val="0"/>
        </w:rPr>
        <w:t xml:space="preserve">clear. The purpose of risk assessment is fully mitigating risks with </w:t>
      </w:r>
      <w:r>
        <w:rPr>
          <w:rFonts w:hint="default"/>
          <w:b w:val="0"/>
          <w:lang w:val="en-US"/>
        </w:rPr>
        <w:t>suitable</w:t>
      </w:r>
      <w:r>
        <w:rPr>
          <w:b w:val="0"/>
        </w:rPr>
        <w:t xml:space="preserve"> controls. If the recommendations are not clear, the report loses a </w:t>
      </w:r>
      <w:r>
        <w:rPr>
          <w:rFonts w:hint="default"/>
          <w:b w:val="0"/>
          <w:lang w:val="en-US"/>
        </w:rPr>
        <w:t>lot of</w:t>
      </w:r>
      <w:r>
        <w:rPr>
          <w:b w:val="0"/>
        </w:rPr>
        <w:t xml:space="preserve"> value.</w:t>
      </w:r>
    </w:p>
    <w:p>
      <w:r>
        <w:rPr>
          <w:bCs/>
        </w:rPr>
        <w:t>Mitigation</w:t>
      </w:r>
      <w:r>
        <w:t>: Evaluate the current plan’s mitigation recommendations.</w:t>
      </w:r>
    </w:p>
    <w:p>
      <w:pPr>
        <w:ind w:firstLine="720"/>
        <w:rPr>
          <w:b w:val="0"/>
        </w:rPr>
      </w:pPr>
      <w:r>
        <w:rPr>
          <w:b w:val="0"/>
        </w:rPr>
        <w:t xml:space="preserve">Through risk acceptance the plan changes the risk assessment into a risk mitigation plan. There are two </w:t>
      </w:r>
      <w:r>
        <w:rPr>
          <w:rFonts w:hint="default"/>
          <w:b w:val="0"/>
          <w:lang w:val="en-US"/>
        </w:rPr>
        <w:t>assumptions in</w:t>
      </w:r>
      <w:r>
        <w:rPr>
          <w:b w:val="0"/>
        </w:rPr>
        <w:t xml:space="preserve"> accep</w:t>
      </w:r>
      <w:r>
        <w:rPr>
          <w:rFonts w:hint="default"/>
          <w:b w:val="0"/>
          <w:lang w:val="en-US"/>
        </w:rPr>
        <w:t>ting</w:t>
      </w:r>
      <w:r>
        <w:rPr>
          <w:b w:val="0"/>
        </w:rPr>
        <w:t xml:space="preserve"> risk: The greater the risk, the greater the rewards and</w:t>
      </w:r>
      <w:r>
        <w:rPr>
          <w:rFonts w:hint="default"/>
          <w:b w:val="0"/>
          <w:lang w:val="en-US"/>
        </w:rPr>
        <w:t xml:space="preserve"> contrary,</w:t>
      </w:r>
      <w:r>
        <w:rPr>
          <w:b w:val="0"/>
        </w:rPr>
        <w:t xml:space="preserve"> the bigger the risks</w:t>
      </w:r>
      <w:r>
        <w:rPr>
          <w:rFonts w:hint="default"/>
          <w:b w:val="0"/>
          <w:lang w:val="en-US"/>
        </w:rPr>
        <w:t>,</w:t>
      </w:r>
      <w:r>
        <w:rPr>
          <w:b w:val="0"/>
        </w:rPr>
        <w:t xml:space="preserve"> the greater the losses. For example, when the stock is at a low price, it is not clear whether the company would survive. Some people tend to take the risk and have great rewards. However, other companies take similar risks that lead them to greater losses. </w:t>
      </w:r>
    </w:p>
    <w:p>
      <w:pPr>
        <w:ind w:firstLine="720"/>
        <w:rPr>
          <w:b w:val="0"/>
        </w:rPr>
      </w:pPr>
      <w:r>
        <w:rPr>
          <w:b w:val="0"/>
        </w:rPr>
        <w:t>The senior management has a higher say in risk mitigation. They are responsible for identifying what risks to mitigate, share, avoid or accept. When making recommendations to the senior management, consideration of the residual risk</w:t>
      </w:r>
      <w:r>
        <w:rPr>
          <w:rFonts w:hint="default"/>
          <w:b w:val="0"/>
          <w:lang w:val="en-US"/>
        </w:rPr>
        <w:t xml:space="preserve">, </w:t>
      </w:r>
      <w:r>
        <w:rPr>
          <w:b w:val="0"/>
        </w:rPr>
        <w:t>that</w:t>
      </w:r>
      <w:r>
        <w:rPr>
          <w:rFonts w:hint="default"/>
          <w:b w:val="0"/>
          <w:lang w:val="en-US"/>
        </w:rPr>
        <w:t xml:space="preserve"> which</w:t>
      </w:r>
      <w:r>
        <w:rPr>
          <w:b w:val="0"/>
        </w:rPr>
        <w:t xml:space="preserve"> remains after management has decided to implement control</w:t>
      </w:r>
      <w:r>
        <w:rPr>
          <w:rFonts w:hint="default"/>
          <w:b w:val="0"/>
          <w:lang w:val="en-US"/>
        </w:rPr>
        <w:t>s,</w:t>
      </w:r>
      <w:r>
        <w:rPr>
          <w:b w:val="0"/>
        </w:rPr>
        <w:t xml:space="preserve"> you expect them to accept should be done. Senior management is responsible for decisions</w:t>
      </w:r>
      <w:r>
        <w:rPr>
          <w:rFonts w:hint="default"/>
          <w:b w:val="0"/>
          <w:lang w:val="en-US"/>
        </w:rPr>
        <w:t xml:space="preserve"> about this risk</w:t>
      </w:r>
      <w:r>
        <w:rPr>
          <w:b w:val="0"/>
        </w:rPr>
        <w:t xml:space="preserve"> a</w:t>
      </w:r>
      <w:r>
        <w:rPr>
          <w:rFonts w:hint="default"/>
          <w:b w:val="0"/>
          <w:lang w:val="en-US"/>
        </w:rPr>
        <w:t>nd</w:t>
      </w:r>
      <w:r>
        <w:rPr>
          <w:b w:val="0"/>
        </w:rPr>
        <w:t xml:space="preserve"> for any losses t</w:t>
      </w:r>
      <w:r>
        <w:rPr>
          <w:rFonts w:hint="default"/>
          <w:b w:val="0"/>
          <w:lang w:val="en-US"/>
        </w:rPr>
        <w:t>hat</w:t>
      </w:r>
      <w:r>
        <w:rPr>
          <w:b w:val="0"/>
        </w:rPr>
        <w:t xml:space="preserve"> result </w:t>
      </w:r>
      <w:r>
        <w:rPr>
          <w:rFonts w:hint="default"/>
          <w:b w:val="0"/>
          <w:lang w:val="en-US"/>
        </w:rPr>
        <w:t>from the risk</w:t>
      </w:r>
      <w:r>
        <w:rPr>
          <w:b w:val="0"/>
        </w:rPr>
        <w:t>.</w:t>
      </w:r>
    </w:p>
    <w:p>
      <w:pPr>
        <w:pStyle w:val="7"/>
        <w:shd w:val="clear" w:color="auto" w:fill="FFFFFF"/>
        <w:spacing w:before="0" w:beforeAutospacing="0" w:after="0" w:afterAutospacing="0" w:line="480" w:lineRule="auto"/>
        <w:ind w:firstLine="720"/>
        <w:jc w:val="both"/>
      </w:pPr>
      <w:r>
        <w:t>The plan prioritizes risk elements by using a static process to evaluate a moving target, checking the availability of resources and data, determining data consistency, estimating impact effects and providing results that support resource allocation and risk acceptance</w:t>
      </w:r>
    </w:p>
    <w:p>
      <w:r>
        <w:rPr>
          <w:bCs/>
        </w:rPr>
        <w:t>Legal Compliance</w:t>
      </w:r>
      <w:r>
        <w:t>: Assess how the plan addresses legal considerations.</w:t>
      </w:r>
    </w:p>
    <w:p>
      <w:pPr>
        <w:rPr>
          <w:b w:val="0"/>
        </w:rPr>
      </w:pPr>
      <w:r>
        <w:rPr>
          <w:b w:val="0"/>
        </w:rPr>
        <w:t>The plan addresses legal considerations through obeying the rules and regulations set for every company in the ITIL practices concerning management processes.</w:t>
      </w:r>
    </w:p>
    <w:p>
      <w:r>
        <w:rPr>
          <w:bCs/>
        </w:rPr>
        <w:t>Non-Compliance</w:t>
      </w:r>
      <w:r>
        <w:t>: Determine how the plan anticipates the implications of non-compliance.</w:t>
      </w:r>
    </w:p>
    <w:p>
      <w:pPr>
        <w:rPr>
          <w:b w:val="0"/>
        </w:rPr>
      </w:pPr>
      <w:r>
        <w:rPr>
          <w:b w:val="0"/>
        </w:rPr>
        <w:t>Chang</w:t>
      </w:r>
      <w:r>
        <w:rPr>
          <w:rFonts w:hint="default"/>
          <w:b w:val="0"/>
          <w:lang w:val="en-US"/>
        </w:rPr>
        <w:t>ing the</w:t>
      </w:r>
      <w:r>
        <w:rPr>
          <w:b w:val="0"/>
        </w:rPr>
        <w:t xml:space="preserve"> management is a process</w:t>
      </w:r>
      <w:r>
        <w:rPr>
          <w:rFonts w:hint="default"/>
          <w:b w:val="0"/>
          <w:lang w:val="en-US"/>
        </w:rPr>
        <w:t xml:space="preserve"> where</w:t>
      </w:r>
      <w:r>
        <w:rPr>
          <w:b w:val="0"/>
        </w:rPr>
        <w:t xml:space="preserve"> changes are made only after a </w:t>
      </w:r>
      <w:r>
        <w:rPr>
          <w:rFonts w:hint="default"/>
          <w:b w:val="0"/>
          <w:lang w:val="en-US"/>
        </w:rPr>
        <w:t>cross-checking</w:t>
      </w:r>
      <w:r>
        <w:rPr>
          <w:b w:val="0"/>
        </w:rPr>
        <w:t xml:space="preserve"> proces</w:t>
      </w:r>
      <w:r>
        <w:rPr>
          <w:rFonts w:hint="default"/>
          <w:b w:val="0"/>
          <w:lang w:val="en-US"/>
        </w:rPr>
        <w:t>s, where the</w:t>
      </w:r>
      <w:r>
        <w:rPr>
          <w:b w:val="0"/>
        </w:rPr>
        <w:t xml:space="preserve"> changes are documented. Chang</w:t>
      </w:r>
      <w:r>
        <w:rPr>
          <w:rFonts w:hint="default"/>
          <w:b w:val="0"/>
          <w:lang w:val="en-US"/>
        </w:rPr>
        <w:t>ing the</w:t>
      </w:r>
      <w:r>
        <w:rPr>
          <w:b w:val="0"/>
        </w:rPr>
        <w:t xml:space="preserve"> management is a</w:t>
      </w:r>
      <w:r>
        <w:rPr>
          <w:rFonts w:hint="default"/>
          <w:b w:val="0"/>
          <w:lang w:val="en-US"/>
        </w:rPr>
        <w:t xml:space="preserve"> major</w:t>
      </w:r>
      <w:r>
        <w:rPr>
          <w:b w:val="0"/>
        </w:rPr>
        <w:t xml:space="preserve"> process </w:t>
      </w:r>
      <w:r>
        <w:rPr>
          <w:rFonts w:hint="default"/>
          <w:b w:val="0"/>
          <w:lang w:val="en-US"/>
        </w:rPr>
        <w:t>administered</w:t>
      </w:r>
      <w:r>
        <w:rPr>
          <w:b w:val="0"/>
        </w:rPr>
        <w:t xml:space="preserve"> by the Information Technology Infrastructure Library. Many companies use</w:t>
      </w:r>
      <w:r>
        <w:rPr>
          <w:rFonts w:hint="default"/>
          <w:b w:val="0"/>
          <w:lang w:val="en-US"/>
        </w:rPr>
        <w:t xml:space="preserve"> the</w:t>
      </w:r>
      <w:r>
        <w:rPr>
          <w:b w:val="0"/>
        </w:rPr>
        <w:t xml:space="preserve"> change management processes even </w:t>
      </w:r>
      <w:r>
        <w:rPr>
          <w:rFonts w:hint="default"/>
          <w:b w:val="0"/>
          <w:lang w:val="en-US"/>
        </w:rPr>
        <w:t>when not</w:t>
      </w:r>
      <w:r>
        <w:rPr>
          <w:b w:val="0"/>
        </w:rPr>
        <w:t xml:space="preserve"> following Information Technology Infrastructure Library practices directly.</w:t>
      </w:r>
    </w:p>
    <w:p>
      <w:r>
        <w:rPr>
          <w:bCs/>
        </w:rPr>
        <w:t>Ethical Considerations</w:t>
      </w:r>
      <w:r>
        <w:t>: Assess how the plan aligns with current ethical codes within the cybersecurity field.</w:t>
      </w:r>
    </w:p>
    <w:p>
      <w:pPr>
        <w:rPr>
          <w:b w:val="0"/>
        </w:rPr>
      </w:pPr>
      <w:r>
        <w:rPr>
          <w:b w:val="0"/>
        </w:rPr>
        <w:t>The plan suggests due to ethical concerns the management should be fairly set with no ethical biasness. This helps to avoid cyber security threats coming from ethical codes.</w:t>
      </w:r>
    </w:p>
    <w:p>
      <w:pPr>
        <w:rPr>
          <w:b w:val="0"/>
        </w:rPr>
      </w:pPr>
    </w:p>
    <w:p>
      <w:pPr>
        <w:rPr>
          <w:b w:val="0"/>
        </w:rPr>
      </w:pPr>
      <w:r>
        <w:rPr>
          <w:b w:val="0"/>
        </w:rPr>
        <w:br w:type="page"/>
      </w:r>
    </w:p>
    <w:p>
      <w:pPr>
        <w:jc w:val="center"/>
        <w:rPr>
          <w:rFonts w:cs="Times New Roman"/>
          <w:szCs w:val="24"/>
          <w:shd w:val="clear" w:color="auto" w:fill="FFFFFF"/>
        </w:rPr>
      </w:pPr>
      <w:r>
        <w:rPr>
          <w:rFonts w:cs="Times New Roman"/>
          <w:szCs w:val="24"/>
          <w:shd w:val="clear" w:color="auto" w:fill="FFFFFF"/>
        </w:rPr>
        <w:t>References</w:t>
      </w:r>
    </w:p>
    <w:p>
      <w:pPr>
        <w:ind w:left="720" w:hanging="720"/>
        <w:rPr>
          <w:rFonts w:cs="Times New Roman"/>
          <w:b w:val="0"/>
          <w:szCs w:val="24"/>
          <w:shd w:val="clear" w:color="auto" w:fill="FFFFFF"/>
        </w:rPr>
      </w:pPr>
      <w:r>
        <w:rPr>
          <w:rFonts w:cs="Times New Roman"/>
          <w:b w:val="0"/>
          <w:szCs w:val="24"/>
          <w:shd w:val="clear" w:color="auto" w:fill="FFFFFF"/>
        </w:rPr>
        <w:t>Rajagopal, V., Venkatesan, S. P., &amp; Goh, M. (2017). Decision-making models for supply chain risk mitigation: A review. </w:t>
      </w:r>
      <w:r>
        <w:rPr>
          <w:rFonts w:cs="Times New Roman"/>
          <w:b w:val="0"/>
          <w:i/>
          <w:iCs/>
          <w:szCs w:val="24"/>
          <w:shd w:val="clear" w:color="auto" w:fill="FFFFFF"/>
        </w:rPr>
        <w:t>Computers &amp; Industrial Engineering</w:t>
      </w:r>
      <w:r>
        <w:rPr>
          <w:rFonts w:cs="Times New Roman"/>
          <w:b w:val="0"/>
          <w:szCs w:val="24"/>
          <w:shd w:val="clear" w:color="auto" w:fill="FFFFFF"/>
        </w:rPr>
        <w:t>, </w:t>
      </w:r>
      <w:r>
        <w:rPr>
          <w:rFonts w:cs="Times New Roman"/>
          <w:b w:val="0"/>
          <w:i/>
          <w:iCs/>
          <w:szCs w:val="24"/>
          <w:shd w:val="clear" w:color="auto" w:fill="FFFFFF"/>
        </w:rPr>
        <w:t>113</w:t>
      </w:r>
      <w:r>
        <w:rPr>
          <w:rFonts w:cs="Times New Roman"/>
          <w:b w:val="0"/>
          <w:szCs w:val="24"/>
          <w:shd w:val="clear" w:color="auto" w:fill="FFFFFF"/>
        </w:rPr>
        <w:t xml:space="preserve">, 646-682. </w:t>
      </w:r>
      <w:r>
        <w:fldChar w:fldCharType="begin"/>
      </w:r>
      <w:r>
        <w:instrText xml:space="preserve"> HYPERLINK "https://doi.org/10.1016/j.cie.2017.09.043" </w:instrText>
      </w:r>
      <w:r>
        <w:fldChar w:fldCharType="separate"/>
      </w:r>
      <w:r>
        <w:rPr>
          <w:rStyle w:val="6"/>
          <w:rFonts w:cs="Times New Roman"/>
          <w:b w:val="0"/>
          <w:szCs w:val="24"/>
          <w:shd w:val="clear" w:color="auto" w:fill="FFFFFF"/>
        </w:rPr>
        <w:t>https://doi.org/10.1016/j.cie.2017.09.043</w:t>
      </w:r>
      <w:r>
        <w:rPr>
          <w:rStyle w:val="6"/>
          <w:rFonts w:cs="Times New Roman"/>
          <w:b w:val="0"/>
          <w:szCs w:val="24"/>
          <w:shd w:val="clear" w:color="auto" w:fill="FFFFFF"/>
        </w:rPr>
        <w:fldChar w:fldCharType="end"/>
      </w:r>
      <w:r>
        <w:rPr>
          <w:rFonts w:cs="Times New Roman"/>
          <w:b w:val="0"/>
          <w:szCs w:val="24"/>
          <w:shd w:val="clear" w:color="auto" w:fill="FFFFFF"/>
        </w:rPr>
        <w:t xml:space="preserve">  </w:t>
      </w:r>
    </w:p>
    <w:p>
      <w:pPr>
        <w:ind w:left="720" w:hanging="720"/>
        <w:rPr>
          <w:b w:val="0"/>
        </w:rPr>
      </w:pPr>
      <w:r>
        <w:rPr>
          <w:rFonts w:cs="Times New Roman"/>
          <w:b w:val="0"/>
          <w:szCs w:val="24"/>
          <w:shd w:val="clear" w:color="auto" w:fill="FFFFFF"/>
        </w:rPr>
        <w:t>Yoon, J., Talluri, S., Yildiz, H., &amp; Ho, W. (2018). Models for supplier selection and risk mitigation: a holistic approach. </w:t>
      </w:r>
      <w:r>
        <w:rPr>
          <w:rFonts w:cs="Times New Roman"/>
          <w:b w:val="0"/>
          <w:i/>
          <w:iCs/>
          <w:szCs w:val="24"/>
          <w:shd w:val="clear" w:color="auto" w:fill="FFFFFF"/>
        </w:rPr>
        <w:t>International Journal of Production Research</w:t>
      </w:r>
      <w:r>
        <w:rPr>
          <w:rFonts w:cs="Times New Roman"/>
          <w:b w:val="0"/>
          <w:szCs w:val="24"/>
          <w:shd w:val="clear" w:color="auto" w:fill="FFFFFF"/>
        </w:rPr>
        <w:t>, </w:t>
      </w:r>
      <w:r>
        <w:rPr>
          <w:rFonts w:cs="Times New Roman"/>
          <w:b w:val="0"/>
          <w:i/>
          <w:iCs/>
          <w:szCs w:val="24"/>
          <w:shd w:val="clear" w:color="auto" w:fill="FFFFFF"/>
        </w:rPr>
        <w:t>56</w:t>
      </w:r>
      <w:r>
        <w:rPr>
          <w:rFonts w:cs="Times New Roman"/>
          <w:b w:val="0"/>
          <w:szCs w:val="24"/>
          <w:shd w:val="clear" w:color="auto" w:fill="FFFFFF"/>
        </w:rPr>
        <w:t xml:space="preserve">(10), 3636-3661. </w:t>
      </w:r>
      <w:r>
        <w:fldChar w:fldCharType="begin"/>
      </w:r>
      <w:r>
        <w:instrText xml:space="preserve"> HYPERLINK "https://doi.org/10.1080/00207543.2017.1403056" </w:instrText>
      </w:r>
      <w:r>
        <w:fldChar w:fldCharType="separate"/>
      </w:r>
      <w:r>
        <w:rPr>
          <w:rStyle w:val="6"/>
          <w:rFonts w:cs="Times New Roman"/>
          <w:b w:val="0"/>
          <w:szCs w:val="24"/>
        </w:rPr>
        <w:t>https://doi.org/10.1080/00207543.2017.1403056</w:t>
      </w:r>
      <w:r>
        <w:rPr>
          <w:rStyle w:val="6"/>
          <w:rFonts w:cs="Times New Roman"/>
          <w:b w:val="0"/>
          <w:szCs w:val="24"/>
        </w:rPr>
        <w:fldChar w:fldCharType="end"/>
      </w:r>
      <w:r>
        <w:rPr>
          <w:b w:val="0"/>
        </w:rPr>
        <w:t xml:space="preserve"> </w:t>
      </w: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886122"/>
      <w:docPartObj>
        <w:docPartGallery w:val="autotext"/>
      </w:docPartObj>
    </w:sdtPr>
    <w:sdtContent>
      <w:p>
        <w:pPr>
          <w:pStyle w:val="5"/>
          <w:jc w:val="right"/>
        </w:pPr>
        <w:r>
          <w:fldChar w:fldCharType="begin"/>
        </w:r>
        <w:r>
          <w:instrText xml:space="preserve"> PAGE   \* MERGEFORMAT </w:instrText>
        </w:r>
        <w:r>
          <w:fldChar w:fldCharType="separate"/>
        </w:r>
        <w:r>
          <w:t>6</w:t>
        </w:r>
        <w:r>
          <w:fldChar w:fldCharType="end"/>
        </w:r>
      </w:p>
    </w:sdtContent>
  </w:sdt>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9A3FC2"/>
    <w:multiLevelType w:val="multilevel"/>
    <w:tmpl w:val="7A9A3FC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D52"/>
    <w:rsid w:val="000244EA"/>
    <w:rsid w:val="000357B4"/>
    <w:rsid w:val="00107AAE"/>
    <w:rsid w:val="00142D52"/>
    <w:rsid w:val="001D31F0"/>
    <w:rsid w:val="0020316B"/>
    <w:rsid w:val="00216768"/>
    <w:rsid w:val="002B6CFD"/>
    <w:rsid w:val="00303590"/>
    <w:rsid w:val="0031103D"/>
    <w:rsid w:val="003225F5"/>
    <w:rsid w:val="0036736E"/>
    <w:rsid w:val="003B47E3"/>
    <w:rsid w:val="004864E9"/>
    <w:rsid w:val="005F02E3"/>
    <w:rsid w:val="005F15B3"/>
    <w:rsid w:val="00601EA9"/>
    <w:rsid w:val="006F166C"/>
    <w:rsid w:val="006F6BA1"/>
    <w:rsid w:val="007126B0"/>
    <w:rsid w:val="007B032B"/>
    <w:rsid w:val="007F1FD6"/>
    <w:rsid w:val="007F3532"/>
    <w:rsid w:val="00870E56"/>
    <w:rsid w:val="00876ECB"/>
    <w:rsid w:val="009717BC"/>
    <w:rsid w:val="00A07351"/>
    <w:rsid w:val="00A10C52"/>
    <w:rsid w:val="00A346C3"/>
    <w:rsid w:val="00A468D5"/>
    <w:rsid w:val="00B47BDA"/>
    <w:rsid w:val="00C0437B"/>
    <w:rsid w:val="00C35DF1"/>
    <w:rsid w:val="00CA7E61"/>
    <w:rsid w:val="00E67914"/>
    <w:rsid w:val="00FC4B18"/>
    <w:rsid w:val="269B4CE8"/>
    <w:rsid w:val="6674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480" w:lineRule="auto"/>
      <w:jc w:val="both"/>
    </w:pPr>
    <w:rPr>
      <w:rFonts w:ascii="Times New Roman" w:hAnsi="Times New Roman" w:eastAsiaTheme="minorHAnsi" w:cstheme="minorBidi"/>
      <w:b/>
      <w:sz w:val="24"/>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semiHidden/>
    <w:unhideWhenUsed/>
    <w:qFormat/>
    <w:uiPriority w:val="99"/>
    <w:pPr>
      <w:tabs>
        <w:tab w:val="center" w:pos="4680"/>
        <w:tab w:val="right" w:pos="9360"/>
      </w:tabs>
      <w:spacing w:after="0" w:line="240" w:lineRule="auto"/>
    </w:pPr>
  </w:style>
  <w:style w:type="paragraph" w:styleId="5">
    <w:name w:val="header"/>
    <w:basedOn w:val="1"/>
    <w:link w:val="9"/>
    <w:unhideWhenUsed/>
    <w:qFormat/>
    <w:uiPriority w:val="99"/>
    <w:pPr>
      <w:tabs>
        <w:tab w:val="center" w:pos="4680"/>
        <w:tab w:val="right" w:pos="9360"/>
      </w:tabs>
      <w:spacing w:after="0" w:line="240" w:lineRule="auto"/>
    </w:pPr>
  </w:style>
  <w:style w:type="character" w:styleId="6">
    <w:name w:val="Hyperlink"/>
    <w:basedOn w:val="2"/>
    <w:unhideWhenUsed/>
    <w:qFormat/>
    <w:uiPriority w:val="99"/>
    <w:rPr>
      <w:color w:val="0000FF"/>
      <w:u w:val="single"/>
    </w:rPr>
  </w:style>
  <w:style w:type="paragraph" w:styleId="7">
    <w:name w:val="Normal (Web)"/>
    <w:basedOn w:val="1"/>
    <w:unhideWhenUsed/>
    <w:uiPriority w:val="99"/>
    <w:pPr>
      <w:spacing w:before="100" w:beforeAutospacing="1" w:after="100" w:afterAutospacing="1" w:line="240" w:lineRule="auto"/>
      <w:jc w:val="left"/>
    </w:pPr>
    <w:rPr>
      <w:rFonts w:eastAsia="Times New Roman" w:cs="Times New Roman"/>
      <w:b w:val="0"/>
      <w:szCs w:val="24"/>
    </w:rPr>
  </w:style>
  <w:style w:type="paragraph" w:styleId="8">
    <w:name w:val="List Paragraph"/>
    <w:basedOn w:val="1"/>
    <w:qFormat/>
    <w:uiPriority w:val="34"/>
    <w:pPr>
      <w:ind w:left="720"/>
      <w:contextualSpacing/>
    </w:pPr>
  </w:style>
  <w:style w:type="character" w:customStyle="1" w:styleId="9">
    <w:name w:val="Header Char"/>
    <w:basedOn w:val="2"/>
    <w:link w:val="5"/>
    <w:qFormat/>
    <w:uiPriority w:val="99"/>
  </w:style>
  <w:style w:type="character" w:customStyle="1" w:styleId="10">
    <w:name w:val="Footer Char"/>
    <w:basedOn w:val="2"/>
    <w:link w:val="4"/>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1084</Words>
  <Characters>6179</Characters>
  <Lines>51</Lines>
  <Paragraphs>14</Paragraphs>
  <TotalTime>1</TotalTime>
  <ScaleCrop>false</ScaleCrop>
  <LinksUpToDate>false</LinksUpToDate>
  <CharactersWithSpaces>7249</CharactersWithSpaces>
  <Application>WPS Office_11.2.0.10152_F1E327BC-269C-435d-A152-05C5408002CA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2021-06-04T09:10:00Z</dcterms:created>
  <dc:creator>LJ</dc:creator>
  <cp:lastModifiedBy>Ngiabi</cp:lastModifiedBy>
  <dcterms:modified xsi:type="dcterms:W3CDTF">2021-06-04T17:52:14Z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1033-11.2.0.10152</vt:lpwstr>
  </property>
</Properties>
</file>