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EA3D1" w14:textId="77777777" w:rsidR="005825E4" w:rsidRDefault="005825E4" w:rsidP="005825E4">
      <w:pPr>
        <w:spacing w:line="480" w:lineRule="auto"/>
        <w:jc w:val="center"/>
        <w:rPr>
          <w:rFonts w:ascii="Times New Roman" w:hAnsi="Times New Roman" w:cs="Times New Roman"/>
          <w:b/>
          <w:sz w:val="24"/>
          <w:szCs w:val="24"/>
        </w:rPr>
      </w:pPr>
    </w:p>
    <w:p w14:paraId="7E07EDFB" w14:textId="77777777" w:rsidR="005825E4" w:rsidRDefault="005825E4" w:rsidP="00EE62F8">
      <w:pPr>
        <w:spacing w:line="480" w:lineRule="auto"/>
        <w:rPr>
          <w:rFonts w:ascii="Times New Roman" w:hAnsi="Times New Roman" w:cs="Times New Roman"/>
          <w:b/>
          <w:sz w:val="24"/>
          <w:szCs w:val="24"/>
        </w:rPr>
      </w:pPr>
    </w:p>
    <w:p w14:paraId="1141AC20" w14:textId="77777777" w:rsidR="005825E4" w:rsidRDefault="005825E4" w:rsidP="005825E4">
      <w:pPr>
        <w:spacing w:line="480" w:lineRule="auto"/>
        <w:jc w:val="center"/>
        <w:rPr>
          <w:rFonts w:ascii="Times New Roman" w:hAnsi="Times New Roman" w:cs="Times New Roman"/>
          <w:b/>
          <w:sz w:val="24"/>
          <w:szCs w:val="24"/>
        </w:rPr>
      </w:pPr>
    </w:p>
    <w:p w14:paraId="1F74F782" w14:textId="77777777" w:rsidR="005825E4" w:rsidRDefault="005825E4" w:rsidP="005825E4">
      <w:pPr>
        <w:spacing w:line="480" w:lineRule="auto"/>
        <w:jc w:val="center"/>
        <w:rPr>
          <w:rFonts w:ascii="Times New Roman" w:hAnsi="Times New Roman" w:cs="Times New Roman"/>
          <w:b/>
          <w:sz w:val="24"/>
          <w:szCs w:val="24"/>
        </w:rPr>
      </w:pPr>
    </w:p>
    <w:p w14:paraId="6547EC53" w14:textId="26E029F8" w:rsidR="00801918" w:rsidRPr="00801918" w:rsidRDefault="00D25912" w:rsidP="00801918">
      <w:pPr>
        <w:spacing w:line="480" w:lineRule="auto"/>
        <w:jc w:val="center"/>
        <w:rPr>
          <w:rFonts w:ascii="Times New Roman" w:hAnsi="Times New Roman" w:cs="Times New Roman"/>
          <w:sz w:val="24"/>
          <w:szCs w:val="24"/>
        </w:rPr>
      </w:pPr>
      <w:r w:rsidRPr="00801918">
        <w:rPr>
          <w:rFonts w:ascii="Times New Roman" w:hAnsi="Times New Roman" w:cs="Times New Roman"/>
          <w:sz w:val="24"/>
          <w:szCs w:val="24"/>
        </w:rPr>
        <w:t xml:space="preserve">The Sarbanes-Oxley Act and PCAOB Auditing </w:t>
      </w:r>
      <w:r w:rsidR="00EE62F8">
        <w:rPr>
          <w:rFonts w:ascii="Times New Roman" w:hAnsi="Times New Roman" w:cs="Times New Roman"/>
          <w:sz w:val="24"/>
          <w:szCs w:val="24"/>
        </w:rPr>
        <w:t>S</w:t>
      </w:r>
      <w:r w:rsidRPr="00801918">
        <w:rPr>
          <w:rFonts w:ascii="Times New Roman" w:hAnsi="Times New Roman" w:cs="Times New Roman"/>
          <w:sz w:val="24"/>
          <w:szCs w:val="24"/>
        </w:rPr>
        <w:t>tandard</w:t>
      </w:r>
    </w:p>
    <w:p w14:paraId="13420B8A" w14:textId="2847C7D0" w:rsidR="005825E4" w:rsidRPr="00801918" w:rsidRDefault="00EE62F8" w:rsidP="00801918">
      <w:pPr>
        <w:spacing w:before="240" w:line="480" w:lineRule="auto"/>
        <w:jc w:val="center"/>
        <w:rPr>
          <w:rFonts w:ascii="Times New Roman" w:hAnsi="Times New Roman" w:cs="Times New Roman"/>
          <w:sz w:val="24"/>
          <w:szCs w:val="24"/>
        </w:rPr>
      </w:pPr>
      <w:r>
        <w:rPr>
          <w:rFonts w:ascii="Times New Roman" w:hAnsi="Times New Roman" w:cs="Times New Roman"/>
          <w:sz w:val="24"/>
          <w:szCs w:val="24"/>
        </w:rPr>
        <w:t>Institution</w:t>
      </w:r>
      <w:r w:rsidR="00D25912" w:rsidRPr="00801918">
        <w:rPr>
          <w:rFonts w:ascii="Times New Roman" w:hAnsi="Times New Roman" w:cs="Times New Roman"/>
          <w:sz w:val="24"/>
          <w:szCs w:val="24"/>
        </w:rPr>
        <w:t xml:space="preserve"> Affiliation </w:t>
      </w:r>
    </w:p>
    <w:p w14:paraId="67C16960" w14:textId="2232C65B" w:rsidR="00801918" w:rsidRPr="00801918" w:rsidRDefault="00D25912" w:rsidP="00801918">
      <w:pPr>
        <w:spacing w:before="240" w:line="480" w:lineRule="auto"/>
        <w:jc w:val="center"/>
        <w:rPr>
          <w:rFonts w:ascii="Times New Roman" w:hAnsi="Times New Roman" w:cs="Times New Roman"/>
          <w:sz w:val="24"/>
          <w:szCs w:val="24"/>
        </w:rPr>
      </w:pPr>
      <w:r w:rsidRPr="00801918">
        <w:rPr>
          <w:rFonts w:ascii="Times New Roman" w:hAnsi="Times New Roman" w:cs="Times New Roman"/>
          <w:sz w:val="24"/>
          <w:szCs w:val="24"/>
        </w:rPr>
        <w:t xml:space="preserve">Student Name </w:t>
      </w:r>
    </w:p>
    <w:p w14:paraId="01F46337" w14:textId="4252B11E" w:rsidR="00801918" w:rsidRPr="00801918" w:rsidRDefault="00D25912" w:rsidP="00801918">
      <w:pPr>
        <w:spacing w:before="240" w:line="480" w:lineRule="auto"/>
        <w:jc w:val="center"/>
        <w:rPr>
          <w:rFonts w:ascii="Times New Roman" w:hAnsi="Times New Roman" w:cs="Times New Roman"/>
          <w:sz w:val="24"/>
          <w:szCs w:val="24"/>
        </w:rPr>
      </w:pPr>
      <w:r w:rsidRPr="00801918">
        <w:rPr>
          <w:rFonts w:ascii="Times New Roman" w:hAnsi="Times New Roman" w:cs="Times New Roman"/>
          <w:sz w:val="24"/>
          <w:szCs w:val="24"/>
        </w:rPr>
        <w:t xml:space="preserve">Date </w:t>
      </w:r>
    </w:p>
    <w:p w14:paraId="178EF892" w14:textId="77777777" w:rsidR="005825E4" w:rsidRDefault="005825E4" w:rsidP="005825E4">
      <w:pPr>
        <w:spacing w:line="480" w:lineRule="auto"/>
        <w:jc w:val="center"/>
        <w:rPr>
          <w:rFonts w:ascii="Times New Roman" w:hAnsi="Times New Roman" w:cs="Times New Roman"/>
          <w:b/>
          <w:sz w:val="24"/>
          <w:szCs w:val="24"/>
        </w:rPr>
      </w:pPr>
    </w:p>
    <w:p w14:paraId="62E2A65F" w14:textId="77777777" w:rsidR="005825E4" w:rsidRDefault="005825E4" w:rsidP="005825E4">
      <w:pPr>
        <w:spacing w:line="480" w:lineRule="auto"/>
        <w:jc w:val="center"/>
        <w:rPr>
          <w:rFonts w:ascii="Times New Roman" w:hAnsi="Times New Roman" w:cs="Times New Roman"/>
          <w:b/>
          <w:sz w:val="24"/>
          <w:szCs w:val="24"/>
        </w:rPr>
      </w:pPr>
    </w:p>
    <w:p w14:paraId="2C15773C" w14:textId="77777777" w:rsidR="005825E4" w:rsidRDefault="005825E4" w:rsidP="005825E4">
      <w:pPr>
        <w:spacing w:line="480" w:lineRule="auto"/>
        <w:jc w:val="center"/>
        <w:rPr>
          <w:rFonts w:ascii="Times New Roman" w:hAnsi="Times New Roman" w:cs="Times New Roman"/>
          <w:b/>
          <w:sz w:val="24"/>
          <w:szCs w:val="24"/>
        </w:rPr>
      </w:pPr>
    </w:p>
    <w:p w14:paraId="4E8C01C7" w14:textId="77777777" w:rsidR="005825E4" w:rsidRDefault="005825E4" w:rsidP="005825E4">
      <w:pPr>
        <w:spacing w:line="480" w:lineRule="auto"/>
        <w:jc w:val="center"/>
        <w:rPr>
          <w:rFonts w:ascii="Times New Roman" w:hAnsi="Times New Roman" w:cs="Times New Roman"/>
          <w:b/>
          <w:sz w:val="24"/>
          <w:szCs w:val="24"/>
        </w:rPr>
      </w:pPr>
    </w:p>
    <w:p w14:paraId="6C2D05FC" w14:textId="77777777" w:rsidR="005825E4" w:rsidRDefault="005825E4" w:rsidP="005825E4">
      <w:pPr>
        <w:spacing w:line="480" w:lineRule="auto"/>
        <w:jc w:val="center"/>
        <w:rPr>
          <w:rFonts w:ascii="Times New Roman" w:hAnsi="Times New Roman" w:cs="Times New Roman"/>
          <w:b/>
          <w:sz w:val="24"/>
          <w:szCs w:val="24"/>
        </w:rPr>
      </w:pPr>
    </w:p>
    <w:p w14:paraId="164B7475" w14:textId="728B0EEE" w:rsidR="005825E4" w:rsidRDefault="005825E4" w:rsidP="00801918">
      <w:pPr>
        <w:spacing w:line="480" w:lineRule="auto"/>
        <w:rPr>
          <w:rFonts w:ascii="Times New Roman" w:hAnsi="Times New Roman" w:cs="Times New Roman"/>
          <w:b/>
          <w:sz w:val="24"/>
          <w:szCs w:val="24"/>
        </w:rPr>
      </w:pPr>
    </w:p>
    <w:p w14:paraId="5BC8A949" w14:textId="3C1333DB" w:rsidR="00D061AE" w:rsidRDefault="00D061AE" w:rsidP="00801918">
      <w:pPr>
        <w:spacing w:line="480" w:lineRule="auto"/>
        <w:rPr>
          <w:rFonts w:ascii="Times New Roman" w:hAnsi="Times New Roman" w:cs="Times New Roman"/>
          <w:b/>
          <w:sz w:val="24"/>
          <w:szCs w:val="24"/>
        </w:rPr>
      </w:pPr>
    </w:p>
    <w:p w14:paraId="47B92656" w14:textId="2500798D" w:rsidR="00D061AE" w:rsidRDefault="00D061AE" w:rsidP="00801918">
      <w:pPr>
        <w:spacing w:line="480" w:lineRule="auto"/>
        <w:rPr>
          <w:rFonts w:ascii="Times New Roman" w:hAnsi="Times New Roman" w:cs="Times New Roman"/>
          <w:b/>
          <w:sz w:val="24"/>
          <w:szCs w:val="24"/>
        </w:rPr>
      </w:pPr>
    </w:p>
    <w:p w14:paraId="1E43D491" w14:textId="77777777" w:rsidR="00D061AE" w:rsidRDefault="00D061AE" w:rsidP="00801918">
      <w:pPr>
        <w:spacing w:line="480" w:lineRule="auto"/>
        <w:rPr>
          <w:rFonts w:ascii="Times New Roman" w:hAnsi="Times New Roman" w:cs="Times New Roman"/>
          <w:b/>
          <w:sz w:val="24"/>
          <w:szCs w:val="24"/>
        </w:rPr>
      </w:pPr>
    </w:p>
    <w:p w14:paraId="67BF7329" w14:textId="77777777" w:rsidR="008F07A8" w:rsidRPr="005825E4" w:rsidRDefault="00D25912" w:rsidP="005825E4">
      <w:pPr>
        <w:spacing w:line="480" w:lineRule="auto"/>
        <w:jc w:val="center"/>
        <w:rPr>
          <w:rFonts w:ascii="Times New Roman" w:hAnsi="Times New Roman" w:cs="Times New Roman"/>
          <w:b/>
          <w:sz w:val="24"/>
          <w:szCs w:val="24"/>
        </w:rPr>
      </w:pPr>
      <w:r w:rsidRPr="005825E4">
        <w:rPr>
          <w:rFonts w:ascii="Times New Roman" w:hAnsi="Times New Roman" w:cs="Times New Roman"/>
          <w:b/>
          <w:sz w:val="24"/>
          <w:szCs w:val="24"/>
        </w:rPr>
        <w:lastRenderedPageBreak/>
        <w:t xml:space="preserve">Introduction </w:t>
      </w:r>
    </w:p>
    <w:p w14:paraId="36B1D0C0" w14:textId="77777777" w:rsidR="00242F6D" w:rsidRPr="005825E4" w:rsidRDefault="00D25912"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t xml:space="preserve">The Companies Act, 2013 legally </w:t>
      </w:r>
      <w:r w:rsidR="00476933" w:rsidRPr="005825E4">
        <w:rPr>
          <w:rFonts w:ascii="Times New Roman" w:hAnsi="Times New Roman" w:cs="Times New Roman"/>
          <w:sz w:val="24"/>
          <w:szCs w:val="24"/>
        </w:rPr>
        <w:t xml:space="preserve">provides for the conversion of companies from private to public. The </w:t>
      </w:r>
      <w:r w:rsidR="00F94367" w:rsidRPr="005825E4">
        <w:rPr>
          <w:rFonts w:ascii="Times New Roman" w:hAnsi="Times New Roman" w:cs="Times New Roman"/>
          <w:sz w:val="24"/>
          <w:szCs w:val="24"/>
        </w:rPr>
        <w:t>conversion from</w:t>
      </w:r>
      <w:r w:rsidR="00476933" w:rsidRPr="005825E4">
        <w:rPr>
          <w:rFonts w:ascii="Times New Roman" w:hAnsi="Times New Roman" w:cs="Times New Roman"/>
          <w:sz w:val="24"/>
          <w:szCs w:val="24"/>
        </w:rPr>
        <w:t xml:space="preserve"> a private company into a public company can be accomplished by altering the Memorandum Association (MoA) and Articles of Association (AoA</w:t>
      </w:r>
      <w:r w:rsidR="00F909F0" w:rsidRPr="005825E4">
        <w:rPr>
          <w:rFonts w:ascii="Times New Roman" w:hAnsi="Times New Roman" w:cs="Times New Roman"/>
          <w:sz w:val="24"/>
          <w:szCs w:val="24"/>
        </w:rPr>
        <w:t xml:space="preserve">). </w:t>
      </w:r>
      <w:r w:rsidR="00EA6385" w:rsidRPr="005825E4">
        <w:rPr>
          <w:rFonts w:ascii="Times New Roman" w:hAnsi="Times New Roman" w:cs="Times New Roman"/>
          <w:sz w:val="24"/>
          <w:szCs w:val="24"/>
        </w:rPr>
        <w:t xml:space="preserve">The cost of operating a public company has increased as a result of the </w:t>
      </w:r>
      <w:r w:rsidR="006B7C68" w:rsidRPr="005825E4">
        <w:rPr>
          <w:rFonts w:ascii="Times New Roman" w:hAnsi="Times New Roman" w:cs="Times New Roman"/>
          <w:sz w:val="24"/>
          <w:szCs w:val="24"/>
        </w:rPr>
        <w:t xml:space="preserve">Sarbanes-Oxley Act and the PCAOB Auditing Standard No. </w:t>
      </w:r>
      <w:r w:rsidR="00131043" w:rsidRPr="005825E4">
        <w:rPr>
          <w:rFonts w:ascii="Times New Roman" w:hAnsi="Times New Roman" w:cs="Times New Roman"/>
          <w:sz w:val="24"/>
          <w:szCs w:val="24"/>
        </w:rPr>
        <w:t>2201 that</w:t>
      </w:r>
      <w:r w:rsidR="006B7C68" w:rsidRPr="005825E4">
        <w:rPr>
          <w:rFonts w:ascii="Times New Roman" w:hAnsi="Times New Roman" w:cs="Times New Roman"/>
          <w:sz w:val="24"/>
          <w:szCs w:val="24"/>
        </w:rPr>
        <w:t xml:space="preserve"> affect the audit processes and requirements of public companies.  </w:t>
      </w:r>
      <w:r w:rsidR="00131043" w:rsidRPr="005825E4">
        <w:rPr>
          <w:rFonts w:ascii="Times New Roman" w:hAnsi="Times New Roman" w:cs="Times New Roman"/>
          <w:sz w:val="24"/>
          <w:szCs w:val="24"/>
        </w:rPr>
        <w:t xml:space="preserve">Before converting to a public company, Colorado Company leaders need to understand this Act and the PCAOB Auditing standard will affect the company’s </w:t>
      </w:r>
      <w:r w:rsidR="0070549F" w:rsidRPr="005825E4">
        <w:rPr>
          <w:rFonts w:ascii="Times New Roman" w:hAnsi="Times New Roman" w:cs="Times New Roman"/>
          <w:sz w:val="24"/>
          <w:szCs w:val="24"/>
        </w:rPr>
        <w:t>audit</w:t>
      </w:r>
      <w:r w:rsidR="00131043" w:rsidRPr="005825E4">
        <w:rPr>
          <w:rFonts w:ascii="Times New Roman" w:hAnsi="Times New Roman" w:cs="Times New Roman"/>
          <w:sz w:val="24"/>
          <w:szCs w:val="24"/>
        </w:rPr>
        <w:t xml:space="preserve"> and the related costs expected to be incurred.</w:t>
      </w:r>
    </w:p>
    <w:p w14:paraId="5EA21BF5" w14:textId="77777777" w:rsidR="00131043" w:rsidRPr="005825E4" w:rsidRDefault="00D25912" w:rsidP="005825E4">
      <w:pPr>
        <w:spacing w:line="480" w:lineRule="auto"/>
        <w:jc w:val="center"/>
        <w:rPr>
          <w:rFonts w:ascii="Times New Roman" w:hAnsi="Times New Roman" w:cs="Times New Roman"/>
          <w:b/>
          <w:sz w:val="24"/>
          <w:szCs w:val="24"/>
        </w:rPr>
      </w:pPr>
      <w:r w:rsidRPr="005825E4">
        <w:rPr>
          <w:rFonts w:ascii="Times New Roman" w:hAnsi="Times New Roman" w:cs="Times New Roman"/>
          <w:b/>
          <w:sz w:val="24"/>
          <w:szCs w:val="24"/>
        </w:rPr>
        <w:t>The Sarbanes-Oxley Act</w:t>
      </w:r>
      <w:r w:rsidR="00891ACA" w:rsidRPr="005825E4">
        <w:rPr>
          <w:rFonts w:ascii="Times New Roman" w:hAnsi="Times New Roman" w:cs="Times New Roman"/>
          <w:b/>
          <w:sz w:val="24"/>
          <w:szCs w:val="24"/>
        </w:rPr>
        <w:t xml:space="preserve"> and PCAOB Auditing standard</w:t>
      </w:r>
    </w:p>
    <w:p w14:paraId="0C17676A" w14:textId="77777777" w:rsidR="0070549F" w:rsidRPr="005825E4" w:rsidRDefault="00D25912"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t>Th</w:t>
      </w:r>
      <w:r w:rsidRPr="005825E4">
        <w:rPr>
          <w:rFonts w:ascii="Times New Roman" w:hAnsi="Times New Roman" w:cs="Times New Roman"/>
          <w:sz w:val="24"/>
          <w:szCs w:val="24"/>
        </w:rPr>
        <w:t xml:space="preserve">e Sarbanes-Oxley Act is an active law passed in 2002 by the U.S Congress to protect investors and shareholders </w:t>
      </w:r>
      <w:r w:rsidR="00A47766" w:rsidRPr="005825E4">
        <w:rPr>
          <w:rFonts w:ascii="Times New Roman" w:hAnsi="Times New Roman" w:cs="Times New Roman"/>
          <w:sz w:val="24"/>
          <w:szCs w:val="24"/>
        </w:rPr>
        <w:t>from fraudulent</w:t>
      </w:r>
      <w:r w:rsidRPr="005825E4">
        <w:rPr>
          <w:rFonts w:ascii="Times New Roman" w:hAnsi="Times New Roman" w:cs="Times New Roman"/>
          <w:sz w:val="24"/>
          <w:szCs w:val="24"/>
        </w:rPr>
        <w:t xml:space="preserve"> reporting of financial results of public companies. </w:t>
      </w:r>
      <w:r w:rsidR="00A47766" w:rsidRPr="005825E4">
        <w:rPr>
          <w:rFonts w:ascii="Times New Roman" w:hAnsi="Times New Roman" w:cs="Times New Roman"/>
          <w:sz w:val="24"/>
          <w:szCs w:val="24"/>
        </w:rPr>
        <w:t xml:space="preserve"> The Act brought strict reforms to securities regulations. It also impose</w:t>
      </w:r>
      <w:r w:rsidR="001A59FC" w:rsidRPr="005825E4">
        <w:rPr>
          <w:rFonts w:ascii="Times New Roman" w:hAnsi="Times New Roman" w:cs="Times New Roman"/>
          <w:sz w:val="24"/>
          <w:szCs w:val="24"/>
        </w:rPr>
        <w:t xml:space="preserve">d </w:t>
      </w:r>
      <w:r w:rsidR="00A47766" w:rsidRPr="005825E4">
        <w:rPr>
          <w:rFonts w:ascii="Times New Roman" w:hAnsi="Times New Roman" w:cs="Times New Roman"/>
          <w:sz w:val="24"/>
          <w:szCs w:val="24"/>
        </w:rPr>
        <w:t xml:space="preserve">harsh penalties on companies or individuals who break the new and the already existing regulations. In the 2000s, many financial scandals became rampant where publicly traded companies were in the spotlight.  Some companies such as </w:t>
      </w:r>
      <w:r w:rsidR="001A59FC" w:rsidRPr="005825E4">
        <w:rPr>
          <w:rFonts w:ascii="Times New Roman" w:hAnsi="Times New Roman" w:cs="Times New Roman"/>
          <w:sz w:val="24"/>
          <w:szCs w:val="24"/>
        </w:rPr>
        <w:t xml:space="preserve">Tyco International plc, Enron Corporation, and WorldCom were involved in severe fraudulent activities that shook investors </w:t>
      </w:r>
      <w:r w:rsidR="00E22B38" w:rsidRPr="005825E4">
        <w:rPr>
          <w:rFonts w:ascii="Times New Roman" w:hAnsi="Times New Roman" w:cs="Times New Roman"/>
          <w:sz w:val="24"/>
          <w:szCs w:val="24"/>
        </w:rPr>
        <w:t>‘confidence</w:t>
      </w:r>
      <w:r w:rsidR="002A2A91" w:rsidRPr="005825E4">
        <w:rPr>
          <w:rFonts w:ascii="Times New Roman" w:hAnsi="Times New Roman" w:cs="Times New Roman"/>
          <w:sz w:val="24"/>
          <w:szCs w:val="24"/>
        </w:rPr>
        <w:t xml:space="preserve"> (Kenton, 2020). </w:t>
      </w:r>
      <w:r w:rsidR="001A59FC" w:rsidRPr="005825E4">
        <w:rPr>
          <w:rFonts w:ascii="Times New Roman" w:hAnsi="Times New Roman" w:cs="Times New Roman"/>
          <w:sz w:val="24"/>
          <w:szCs w:val="24"/>
        </w:rPr>
        <w:t xml:space="preserve"> The trustworthiness of public companies' financial statements was also shaken, forcing the amendment of more than decade-old financial regulatory standards.  </w:t>
      </w:r>
    </w:p>
    <w:p w14:paraId="78E70613" w14:textId="77777777" w:rsidR="00E22B38" w:rsidRPr="005825E4" w:rsidRDefault="00D25912"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t xml:space="preserve"> The Act was sponsored by Rep. Micheal G. Oxley (R-Ohio) and Sen. Paul S. Sarbanes (D-Md).</w:t>
      </w:r>
      <w:r w:rsidR="00A77210" w:rsidRPr="005825E4">
        <w:rPr>
          <w:rFonts w:ascii="Times New Roman" w:hAnsi="Times New Roman" w:cs="Times New Roman"/>
          <w:sz w:val="24"/>
          <w:szCs w:val="24"/>
        </w:rPr>
        <w:t xml:space="preserve"> The Act brought four additional principal areas: accounting regulation, new protections, increased criminal punishment, and corporate responsibility</w:t>
      </w:r>
      <w:r w:rsidR="00DC08BC" w:rsidRPr="005825E4">
        <w:rPr>
          <w:rFonts w:ascii="Times New Roman" w:hAnsi="Times New Roman" w:cs="Times New Roman"/>
          <w:sz w:val="24"/>
          <w:szCs w:val="24"/>
        </w:rPr>
        <w:t xml:space="preserve"> (Kenton, 2020). </w:t>
      </w:r>
      <w:r w:rsidR="00A77210" w:rsidRPr="005825E4">
        <w:rPr>
          <w:rFonts w:ascii="Times New Roman" w:hAnsi="Times New Roman" w:cs="Times New Roman"/>
          <w:sz w:val="24"/>
          <w:szCs w:val="24"/>
        </w:rPr>
        <w:t xml:space="preserve">Section 302 of the </w:t>
      </w:r>
      <w:r w:rsidR="00A77210" w:rsidRPr="005825E4">
        <w:rPr>
          <w:rFonts w:ascii="Times New Roman" w:hAnsi="Times New Roman" w:cs="Times New Roman"/>
          <w:sz w:val="24"/>
          <w:szCs w:val="24"/>
        </w:rPr>
        <w:lastRenderedPageBreak/>
        <w:t xml:space="preserve">Sarbanes-Oxley Act mandates all corporate officers in senior positions to always personally certify in writing that the financial statements provided to the </w:t>
      </w:r>
      <w:r w:rsidR="00BA1BFF" w:rsidRPr="005825E4">
        <w:rPr>
          <w:rFonts w:ascii="Times New Roman" w:hAnsi="Times New Roman" w:cs="Times New Roman"/>
          <w:sz w:val="24"/>
          <w:szCs w:val="24"/>
        </w:rPr>
        <w:t>public comply</w:t>
      </w:r>
      <w:r w:rsidR="00A77210" w:rsidRPr="005825E4">
        <w:rPr>
          <w:rFonts w:ascii="Times New Roman" w:hAnsi="Times New Roman" w:cs="Times New Roman"/>
          <w:sz w:val="24"/>
          <w:szCs w:val="24"/>
        </w:rPr>
        <w:t xml:space="preserve"> with all SEC disclosure requirements. </w:t>
      </w:r>
      <w:r w:rsidR="00BA1BFF" w:rsidRPr="005825E4">
        <w:rPr>
          <w:rFonts w:ascii="Times New Roman" w:hAnsi="Times New Roman" w:cs="Times New Roman"/>
          <w:sz w:val="24"/>
          <w:szCs w:val="24"/>
        </w:rPr>
        <w:t>The officers should also ensure that the financial statements provided satisfy the aspects of the operations and the different financial conditions of the issuer</w:t>
      </w:r>
      <w:r w:rsidR="0070037F" w:rsidRPr="005825E4">
        <w:rPr>
          <w:rFonts w:ascii="Times New Roman" w:hAnsi="Times New Roman" w:cs="Times New Roman"/>
          <w:sz w:val="24"/>
          <w:szCs w:val="24"/>
        </w:rPr>
        <w:t xml:space="preserve"> (Glahn, 2021). </w:t>
      </w:r>
      <w:r w:rsidR="00A02822" w:rsidRPr="005825E4">
        <w:rPr>
          <w:rFonts w:ascii="Times New Roman" w:hAnsi="Times New Roman" w:cs="Times New Roman"/>
          <w:sz w:val="24"/>
          <w:szCs w:val="24"/>
        </w:rPr>
        <w:t xml:space="preserve">Officers who violate this section knowingly are subjected to criminal penalties, which include heavy fines and prison terms. </w:t>
      </w:r>
    </w:p>
    <w:p w14:paraId="51E10C6C" w14:textId="77777777" w:rsidR="00B705B0" w:rsidRPr="005825E4" w:rsidRDefault="00D25912" w:rsidP="005825E4">
      <w:pPr>
        <w:spacing w:line="480" w:lineRule="auto"/>
        <w:ind w:firstLine="720"/>
        <w:rPr>
          <w:rStyle w:val="Strong"/>
          <w:rFonts w:ascii="Times New Roman" w:hAnsi="Times New Roman" w:cs="Times New Roman"/>
          <w:b w:val="0"/>
          <w:color w:val="111111"/>
          <w:sz w:val="24"/>
          <w:szCs w:val="24"/>
          <w:shd w:val="clear" w:color="auto" w:fill="FFFFFF"/>
        </w:rPr>
      </w:pPr>
      <w:r w:rsidRPr="005825E4">
        <w:rPr>
          <w:rFonts w:ascii="Times New Roman" w:hAnsi="Times New Roman" w:cs="Times New Roman"/>
          <w:sz w:val="24"/>
          <w:szCs w:val="24"/>
        </w:rPr>
        <w:t>Section 404 of the</w:t>
      </w:r>
      <w:r w:rsidRPr="005825E4">
        <w:rPr>
          <w:rFonts w:ascii="Times New Roman" w:hAnsi="Times New Roman" w:cs="Times New Roman"/>
          <w:sz w:val="24"/>
          <w:szCs w:val="24"/>
        </w:rPr>
        <w:t xml:space="preserve"> Sarbanes-Oxley Act mandates auditors and management to establish reporting methods and internal controls to ensure the adequacy of the internal controls. </w:t>
      </w:r>
      <w:r w:rsidR="00506BFC" w:rsidRPr="005825E4">
        <w:rPr>
          <w:rFonts w:ascii="Times New Roman" w:hAnsi="Times New Roman" w:cs="Times New Roman"/>
          <w:sz w:val="24"/>
          <w:szCs w:val="24"/>
        </w:rPr>
        <w:t xml:space="preserve"> </w:t>
      </w:r>
      <w:r w:rsidR="002D5A57" w:rsidRPr="005825E4">
        <w:rPr>
          <w:rFonts w:ascii="Times New Roman" w:hAnsi="Times New Roman" w:cs="Times New Roman"/>
          <w:sz w:val="24"/>
          <w:szCs w:val="24"/>
        </w:rPr>
        <w:t xml:space="preserve">Section 802 of the Sarbanes-Oxley Act </w:t>
      </w:r>
      <w:r w:rsidR="00E919A1" w:rsidRPr="005825E4">
        <w:rPr>
          <w:rFonts w:ascii="Times New Roman" w:hAnsi="Times New Roman" w:cs="Times New Roman"/>
          <w:sz w:val="24"/>
          <w:szCs w:val="24"/>
        </w:rPr>
        <w:t xml:space="preserve">has three different rules that impact recordkeeping. </w:t>
      </w:r>
      <w:r w:rsidR="008E5A84" w:rsidRPr="005825E4">
        <w:rPr>
          <w:rFonts w:ascii="Times New Roman" w:hAnsi="Times New Roman" w:cs="Times New Roman"/>
          <w:sz w:val="24"/>
          <w:szCs w:val="24"/>
        </w:rPr>
        <w:t xml:space="preserve"> The first part of these section deals with the falsification and destruction of financial records, while the second part deals with the period that financial records should be stored. The third part outlines public companies</w:t>
      </w:r>
      <w:r w:rsidR="009657E2" w:rsidRPr="005825E4">
        <w:rPr>
          <w:rFonts w:ascii="Times New Roman" w:hAnsi="Times New Roman" w:cs="Times New Roman"/>
          <w:sz w:val="24"/>
          <w:szCs w:val="24"/>
        </w:rPr>
        <w:t xml:space="preserve">' rules when </w:t>
      </w:r>
      <w:r w:rsidR="00D60C37" w:rsidRPr="005825E4">
        <w:rPr>
          <w:rFonts w:ascii="Times New Roman" w:hAnsi="Times New Roman" w:cs="Times New Roman"/>
          <w:sz w:val="24"/>
          <w:szCs w:val="24"/>
        </w:rPr>
        <w:t>storing f</w:t>
      </w:r>
      <w:r w:rsidR="0070037F" w:rsidRPr="005825E4">
        <w:rPr>
          <w:rFonts w:ascii="Times New Roman" w:hAnsi="Times New Roman" w:cs="Times New Roman"/>
          <w:sz w:val="24"/>
          <w:szCs w:val="24"/>
        </w:rPr>
        <w:t xml:space="preserve">inancial data and information (Glahn, 2021). </w:t>
      </w:r>
      <w:r w:rsidR="00D60C37" w:rsidRPr="005825E4">
        <w:rPr>
          <w:rFonts w:ascii="Times New Roman" w:hAnsi="Times New Roman" w:cs="Times New Roman"/>
          <w:sz w:val="24"/>
          <w:szCs w:val="24"/>
        </w:rPr>
        <w:t>T</w:t>
      </w:r>
      <w:r w:rsidR="00254FA0" w:rsidRPr="005825E4">
        <w:rPr>
          <w:rStyle w:val="Strong"/>
          <w:rFonts w:ascii="Times New Roman" w:hAnsi="Times New Roman" w:cs="Times New Roman"/>
          <w:b w:val="0"/>
          <w:color w:val="111111"/>
          <w:sz w:val="24"/>
          <w:szCs w:val="24"/>
          <w:shd w:val="clear" w:color="auto" w:fill="FFFFFF"/>
        </w:rPr>
        <w:t xml:space="preserve">he SOX Act of 2002 also contains rules and regulations for Information Technology departments concerning electronic financial data and records. </w:t>
      </w:r>
    </w:p>
    <w:p w14:paraId="41A67F73" w14:textId="77777777" w:rsidR="00157599" w:rsidRPr="005825E4" w:rsidRDefault="00D25912" w:rsidP="005825E4">
      <w:pPr>
        <w:spacing w:line="480" w:lineRule="auto"/>
        <w:ind w:firstLine="720"/>
        <w:rPr>
          <w:rFonts w:ascii="Times New Roman" w:hAnsi="Times New Roman" w:cs="Times New Roman"/>
          <w:sz w:val="24"/>
          <w:szCs w:val="24"/>
        </w:rPr>
      </w:pPr>
      <w:r w:rsidRPr="005825E4">
        <w:rPr>
          <w:rStyle w:val="Strong"/>
          <w:rFonts w:ascii="Times New Roman" w:hAnsi="Times New Roman" w:cs="Times New Roman"/>
          <w:b w:val="0"/>
          <w:color w:val="111111"/>
          <w:sz w:val="24"/>
          <w:szCs w:val="24"/>
          <w:shd w:val="clear" w:color="auto" w:fill="FFFFFF"/>
        </w:rPr>
        <w:t xml:space="preserve">The </w:t>
      </w:r>
      <w:r w:rsidRPr="005825E4">
        <w:rPr>
          <w:rFonts w:ascii="Times New Roman" w:hAnsi="Times New Roman" w:cs="Times New Roman"/>
          <w:sz w:val="24"/>
          <w:szCs w:val="24"/>
        </w:rPr>
        <w:t xml:space="preserve">Public Company Accounting Oversight Board </w:t>
      </w:r>
      <w:r w:rsidR="002019C7" w:rsidRPr="005825E4">
        <w:rPr>
          <w:rFonts w:ascii="Times New Roman" w:hAnsi="Times New Roman" w:cs="Times New Roman"/>
          <w:sz w:val="24"/>
          <w:szCs w:val="24"/>
        </w:rPr>
        <w:t>dictates (PCAOB)</w:t>
      </w:r>
      <w:r w:rsidRPr="005825E4">
        <w:rPr>
          <w:rFonts w:ascii="Times New Roman" w:hAnsi="Times New Roman" w:cs="Times New Roman"/>
          <w:sz w:val="24"/>
          <w:szCs w:val="24"/>
        </w:rPr>
        <w:t xml:space="preserve"> auditing </w:t>
      </w:r>
      <w:r w:rsidRPr="005825E4">
        <w:rPr>
          <w:rFonts w:ascii="Times New Roman" w:hAnsi="Times New Roman" w:cs="Times New Roman"/>
          <w:sz w:val="24"/>
          <w:szCs w:val="24"/>
        </w:rPr>
        <w:t xml:space="preserve">standards are supposed </w:t>
      </w:r>
      <w:r w:rsidR="00F50B09" w:rsidRPr="005825E4">
        <w:rPr>
          <w:rFonts w:ascii="Times New Roman" w:hAnsi="Times New Roman" w:cs="Times New Roman"/>
          <w:sz w:val="24"/>
          <w:szCs w:val="24"/>
        </w:rPr>
        <w:t xml:space="preserve">to be followed by all auditors in public companies in the country. </w:t>
      </w:r>
      <w:r w:rsidR="002019C7" w:rsidRPr="005825E4">
        <w:rPr>
          <w:rFonts w:ascii="Times New Roman" w:hAnsi="Times New Roman" w:cs="Times New Roman"/>
          <w:sz w:val="24"/>
          <w:szCs w:val="24"/>
        </w:rPr>
        <w:t xml:space="preserve"> The PCAOB</w:t>
      </w:r>
      <w:r w:rsidRPr="005825E4">
        <w:rPr>
          <w:rFonts w:ascii="Times New Roman" w:hAnsi="Times New Roman" w:cs="Times New Roman"/>
          <w:sz w:val="24"/>
          <w:szCs w:val="24"/>
        </w:rPr>
        <w:t xml:space="preserve"> </w:t>
      </w:r>
      <w:r w:rsidR="0085414A" w:rsidRPr="005825E4">
        <w:rPr>
          <w:rFonts w:ascii="Times New Roman" w:hAnsi="Times New Roman" w:cs="Times New Roman"/>
          <w:sz w:val="24"/>
          <w:szCs w:val="24"/>
        </w:rPr>
        <w:t>was formed in 2002 as part of the Sarbanes-Oxley Act to prevent financial scandals by providing better oversight of auditing</w:t>
      </w:r>
      <w:r w:rsidR="00497B27" w:rsidRPr="005825E4">
        <w:rPr>
          <w:rFonts w:ascii="Times New Roman" w:hAnsi="Times New Roman" w:cs="Times New Roman"/>
          <w:sz w:val="24"/>
          <w:szCs w:val="24"/>
        </w:rPr>
        <w:t xml:space="preserve"> activities and protecting investors.  One of the responsibilities of PCAOB is to register public accounting firms that are supposed to audit the financial activities of publicly traded companies.  Secondly, PCAOB develops auditing standards </w:t>
      </w:r>
      <w:r w:rsidR="00F6736A" w:rsidRPr="005825E4">
        <w:rPr>
          <w:rFonts w:ascii="Times New Roman" w:hAnsi="Times New Roman" w:cs="Times New Roman"/>
          <w:sz w:val="24"/>
          <w:szCs w:val="24"/>
        </w:rPr>
        <w:t xml:space="preserve">that auditing firms must use and follow. Companies that do not follow the outlined auditing standards are prone to heavy </w:t>
      </w:r>
      <w:r w:rsidR="00F612A1" w:rsidRPr="005825E4">
        <w:rPr>
          <w:rFonts w:ascii="Times New Roman" w:hAnsi="Times New Roman" w:cs="Times New Roman"/>
          <w:sz w:val="24"/>
          <w:szCs w:val="24"/>
        </w:rPr>
        <w:t>fines (</w:t>
      </w:r>
      <w:r w:rsidR="00F612A1" w:rsidRPr="005825E4">
        <w:rPr>
          <w:rFonts w:ascii="Times New Roman" w:hAnsi="Times New Roman" w:cs="Times New Roman"/>
          <w:color w:val="222222"/>
          <w:sz w:val="24"/>
          <w:szCs w:val="24"/>
          <w:shd w:val="clear" w:color="auto" w:fill="FFFFFF"/>
        </w:rPr>
        <w:t>Johnson et al., 2020).</w:t>
      </w:r>
    </w:p>
    <w:p w14:paraId="2B742E0E" w14:textId="77777777" w:rsidR="00157599" w:rsidRPr="005825E4" w:rsidRDefault="00D26E45"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lastRenderedPageBreak/>
        <w:t xml:space="preserve">A recent example is KPMG which received a fine of $50 million for audit misconduct, including revision of work papers. The </w:t>
      </w:r>
      <w:r w:rsidR="000E389C" w:rsidRPr="005825E4">
        <w:rPr>
          <w:rFonts w:ascii="Times New Roman" w:hAnsi="Times New Roman" w:cs="Times New Roman"/>
          <w:sz w:val="24"/>
          <w:szCs w:val="24"/>
        </w:rPr>
        <w:t xml:space="preserve">company was doing so to reduce the likelihood of PCAOB inspectors </w:t>
      </w:r>
      <w:r w:rsidR="00F31101" w:rsidRPr="005825E4">
        <w:rPr>
          <w:rFonts w:ascii="Times New Roman" w:hAnsi="Times New Roman" w:cs="Times New Roman"/>
          <w:sz w:val="24"/>
          <w:szCs w:val="24"/>
        </w:rPr>
        <w:t>finding any auditing regulations (</w:t>
      </w:r>
      <w:r w:rsidR="00F31101" w:rsidRPr="005825E4">
        <w:rPr>
          <w:rFonts w:ascii="Times New Roman" w:hAnsi="Times New Roman" w:cs="Times New Roman"/>
          <w:color w:val="222222"/>
          <w:sz w:val="24"/>
          <w:szCs w:val="24"/>
          <w:shd w:val="clear" w:color="auto" w:fill="FFFFFF"/>
        </w:rPr>
        <w:t xml:space="preserve">Clarke, 2019). </w:t>
      </w:r>
      <w:r w:rsidR="002A4107" w:rsidRPr="005825E4">
        <w:rPr>
          <w:rFonts w:ascii="Times New Roman" w:hAnsi="Times New Roman" w:cs="Times New Roman"/>
          <w:sz w:val="24"/>
          <w:szCs w:val="24"/>
        </w:rPr>
        <w:t xml:space="preserve">PCAOB inspections focus on areas that are </w:t>
      </w:r>
      <w:r w:rsidR="00D90F65" w:rsidRPr="005825E4">
        <w:rPr>
          <w:rFonts w:ascii="Times New Roman" w:hAnsi="Times New Roman" w:cs="Times New Roman"/>
          <w:sz w:val="24"/>
          <w:szCs w:val="24"/>
        </w:rPr>
        <w:t>known</w:t>
      </w:r>
      <w:r w:rsidR="002A4107" w:rsidRPr="005825E4">
        <w:rPr>
          <w:rFonts w:ascii="Times New Roman" w:hAnsi="Times New Roman" w:cs="Times New Roman"/>
          <w:sz w:val="24"/>
          <w:szCs w:val="24"/>
        </w:rPr>
        <w:t xml:space="preserve"> to be of higher risk. Some of these areas include </w:t>
      </w:r>
      <w:r w:rsidR="002366E2" w:rsidRPr="005825E4">
        <w:rPr>
          <w:rFonts w:ascii="Times New Roman" w:hAnsi="Times New Roman" w:cs="Times New Roman"/>
          <w:sz w:val="24"/>
          <w:szCs w:val="24"/>
        </w:rPr>
        <w:t xml:space="preserve">accounting estimates, internal controls over financial </w:t>
      </w:r>
      <w:r w:rsidR="00D90F65" w:rsidRPr="005825E4">
        <w:rPr>
          <w:rFonts w:ascii="Times New Roman" w:hAnsi="Times New Roman" w:cs="Times New Roman"/>
          <w:sz w:val="24"/>
          <w:szCs w:val="24"/>
        </w:rPr>
        <w:t>reporting and</w:t>
      </w:r>
      <w:r w:rsidR="002366E2" w:rsidRPr="005825E4">
        <w:rPr>
          <w:rFonts w:ascii="Times New Roman" w:hAnsi="Times New Roman" w:cs="Times New Roman"/>
          <w:sz w:val="24"/>
          <w:szCs w:val="24"/>
        </w:rPr>
        <w:t xml:space="preserve"> assessment, and </w:t>
      </w:r>
      <w:r w:rsidR="00D90F65" w:rsidRPr="005825E4">
        <w:rPr>
          <w:rFonts w:ascii="Times New Roman" w:hAnsi="Times New Roman" w:cs="Times New Roman"/>
          <w:sz w:val="24"/>
          <w:szCs w:val="24"/>
        </w:rPr>
        <w:t>responding</w:t>
      </w:r>
      <w:r w:rsidR="002366E2" w:rsidRPr="005825E4">
        <w:rPr>
          <w:rFonts w:ascii="Times New Roman" w:hAnsi="Times New Roman" w:cs="Times New Roman"/>
          <w:sz w:val="24"/>
          <w:szCs w:val="24"/>
        </w:rPr>
        <w:t xml:space="preserve"> to financial risks.</w:t>
      </w:r>
      <w:r w:rsidR="007A4229" w:rsidRPr="005825E4">
        <w:rPr>
          <w:rFonts w:ascii="Times New Roman" w:hAnsi="Times New Roman" w:cs="Times New Roman"/>
          <w:sz w:val="24"/>
          <w:szCs w:val="24"/>
        </w:rPr>
        <w:t xml:space="preserve"> The company will also be required to develop a fraud d</w:t>
      </w:r>
      <w:r w:rsidR="00A2224A" w:rsidRPr="005825E4">
        <w:rPr>
          <w:rFonts w:ascii="Times New Roman" w:hAnsi="Times New Roman" w:cs="Times New Roman"/>
          <w:sz w:val="24"/>
          <w:szCs w:val="24"/>
        </w:rPr>
        <w:t>etection and prevention program (</w:t>
      </w:r>
      <w:r w:rsidR="00A2224A" w:rsidRPr="005825E4">
        <w:rPr>
          <w:rFonts w:ascii="Times New Roman" w:hAnsi="Times New Roman" w:cs="Times New Roman"/>
          <w:color w:val="222222"/>
          <w:sz w:val="24"/>
          <w:szCs w:val="24"/>
          <w:shd w:val="clear" w:color="auto" w:fill="FFFFFF"/>
        </w:rPr>
        <w:t>Clarke, 2019).</w:t>
      </w:r>
      <w:r w:rsidR="007A4229" w:rsidRPr="005825E4">
        <w:rPr>
          <w:rFonts w:ascii="Times New Roman" w:hAnsi="Times New Roman" w:cs="Times New Roman"/>
          <w:sz w:val="24"/>
          <w:szCs w:val="24"/>
        </w:rPr>
        <w:t xml:space="preserve"> This will enable the company to assess fraud within the company to prevent it from receiving sanctions and fines from PCEOB and other regulatory bodies in the country. </w:t>
      </w:r>
    </w:p>
    <w:p w14:paraId="2317894F" w14:textId="77777777" w:rsidR="00E1559F" w:rsidRPr="005825E4" w:rsidRDefault="00D25912" w:rsidP="005825E4">
      <w:pPr>
        <w:spacing w:line="480" w:lineRule="auto"/>
        <w:jc w:val="center"/>
        <w:rPr>
          <w:rFonts w:ascii="Times New Roman" w:hAnsi="Times New Roman" w:cs="Times New Roman"/>
          <w:b/>
          <w:sz w:val="24"/>
          <w:szCs w:val="24"/>
        </w:rPr>
      </w:pPr>
      <w:r w:rsidRPr="005825E4">
        <w:rPr>
          <w:rFonts w:ascii="Times New Roman" w:hAnsi="Times New Roman" w:cs="Times New Roman"/>
          <w:b/>
          <w:sz w:val="24"/>
          <w:szCs w:val="24"/>
        </w:rPr>
        <w:t>Internal control changes on Colorado Co</w:t>
      </w:r>
      <w:r w:rsidRPr="005825E4">
        <w:rPr>
          <w:rFonts w:ascii="Times New Roman" w:hAnsi="Times New Roman" w:cs="Times New Roman"/>
          <w:b/>
          <w:sz w:val="24"/>
          <w:szCs w:val="24"/>
        </w:rPr>
        <w:t>mpany after converting to public company</w:t>
      </w:r>
    </w:p>
    <w:p w14:paraId="58FB5458" w14:textId="77777777" w:rsidR="00E1559F" w:rsidRPr="005825E4" w:rsidRDefault="00D25912"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t>Section 404 of the Act will force Colorado Company to establish and maintain the required internal controls and reporting methods that are expensive to start and maintain. This will increase the company's cost of op</w:t>
      </w:r>
      <w:r w:rsidRPr="005825E4">
        <w:rPr>
          <w:rFonts w:ascii="Times New Roman" w:hAnsi="Times New Roman" w:cs="Times New Roman"/>
          <w:sz w:val="24"/>
          <w:szCs w:val="24"/>
        </w:rPr>
        <w:t xml:space="preserve">erations and reduce its profit margin. The company will also be required to hire </w:t>
      </w:r>
      <w:r w:rsidR="00212D62" w:rsidRPr="005825E4">
        <w:rPr>
          <w:rFonts w:ascii="Times New Roman" w:hAnsi="Times New Roman" w:cs="Times New Roman"/>
          <w:sz w:val="24"/>
          <w:szCs w:val="24"/>
        </w:rPr>
        <w:t xml:space="preserve">an </w:t>
      </w:r>
      <w:r w:rsidR="007B6EB0" w:rsidRPr="005825E4">
        <w:rPr>
          <w:rFonts w:ascii="Times New Roman" w:hAnsi="Times New Roman" w:cs="Times New Roman"/>
          <w:sz w:val="24"/>
          <w:szCs w:val="24"/>
        </w:rPr>
        <w:t>auditing</w:t>
      </w:r>
      <w:r w:rsidR="00212D62" w:rsidRPr="005825E4">
        <w:rPr>
          <w:rFonts w:ascii="Times New Roman" w:hAnsi="Times New Roman" w:cs="Times New Roman"/>
          <w:sz w:val="24"/>
          <w:szCs w:val="24"/>
        </w:rPr>
        <w:t xml:space="preserve"> firm or </w:t>
      </w:r>
      <w:r w:rsidR="007B6EB0" w:rsidRPr="005825E4">
        <w:rPr>
          <w:rFonts w:ascii="Times New Roman" w:hAnsi="Times New Roman" w:cs="Times New Roman"/>
          <w:sz w:val="24"/>
          <w:szCs w:val="24"/>
        </w:rPr>
        <w:t>individuals</w:t>
      </w:r>
      <w:r w:rsidR="00212D62" w:rsidRPr="005825E4">
        <w:rPr>
          <w:rFonts w:ascii="Times New Roman" w:hAnsi="Times New Roman" w:cs="Times New Roman"/>
          <w:sz w:val="24"/>
          <w:szCs w:val="24"/>
        </w:rPr>
        <w:t xml:space="preserve"> to audit its </w:t>
      </w:r>
      <w:r w:rsidR="007B6EB0" w:rsidRPr="005825E4">
        <w:rPr>
          <w:rFonts w:ascii="Times New Roman" w:hAnsi="Times New Roman" w:cs="Times New Roman"/>
          <w:sz w:val="24"/>
          <w:szCs w:val="24"/>
        </w:rPr>
        <w:t xml:space="preserve">financial activities at least every year according to the Sarbanes-Oxley Act and PCAOB Auditing standards. The directors, managers, and other leaders at </w:t>
      </w:r>
      <w:r w:rsidR="00BA2F2B" w:rsidRPr="005825E4">
        <w:rPr>
          <w:rFonts w:ascii="Times New Roman" w:hAnsi="Times New Roman" w:cs="Times New Roman"/>
          <w:sz w:val="24"/>
          <w:szCs w:val="24"/>
        </w:rPr>
        <w:t xml:space="preserve">Colorado Company will also be held liable for any inaccuracy or violation of financial statements and will have to incur the consequences that </w:t>
      </w:r>
      <w:r w:rsidR="00F73095" w:rsidRPr="005825E4">
        <w:rPr>
          <w:rFonts w:ascii="Times New Roman" w:hAnsi="Times New Roman" w:cs="Times New Roman"/>
          <w:sz w:val="24"/>
          <w:szCs w:val="24"/>
        </w:rPr>
        <w:t xml:space="preserve">come with it.  The company </w:t>
      </w:r>
      <w:r w:rsidR="004723CB" w:rsidRPr="005825E4">
        <w:rPr>
          <w:rFonts w:ascii="Times New Roman" w:hAnsi="Times New Roman" w:cs="Times New Roman"/>
          <w:sz w:val="24"/>
          <w:szCs w:val="24"/>
        </w:rPr>
        <w:t>will also be forced to establish an independent audit committee made up of individuals that are not part of the management.</w:t>
      </w:r>
      <w:r w:rsidR="00DA74F9" w:rsidRPr="005825E4">
        <w:rPr>
          <w:rFonts w:ascii="Times New Roman" w:hAnsi="Times New Roman" w:cs="Times New Roman"/>
          <w:sz w:val="24"/>
          <w:szCs w:val="24"/>
        </w:rPr>
        <w:t xml:space="preserve"> This will </w:t>
      </w:r>
      <w:r w:rsidR="00770369" w:rsidRPr="005825E4">
        <w:rPr>
          <w:rFonts w:ascii="Times New Roman" w:hAnsi="Times New Roman" w:cs="Times New Roman"/>
          <w:sz w:val="24"/>
          <w:szCs w:val="24"/>
        </w:rPr>
        <w:t>reduce</w:t>
      </w:r>
      <w:r w:rsidR="00DA74F9" w:rsidRPr="005825E4">
        <w:rPr>
          <w:rFonts w:ascii="Times New Roman" w:hAnsi="Times New Roman" w:cs="Times New Roman"/>
          <w:sz w:val="24"/>
          <w:szCs w:val="24"/>
        </w:rPr>
        <w:t xml:space="preserve"> cases of conflict of interest among the board members. </w:t>
      </w:r>
    </w:p>
    <w:p w14:paraId="3CDF9A19" w14:textId="77777777" w:rsidR="004723CB" w:rsidRPr="005825E4" w:rsidRDefault="00D25912" w:rsidP="005825E4">
      <w:pPr>
        <w:spacing w:line="480" w:lineRule="auto"/>
        <w:jc w:val="center"/>
        <w:rPr>
          <w:rFonts w:ascii="Times New Roman" w:hAnsi="Times New Roman" w:cs="Times New Roman"/>
          <w:b/>
          <w:sz w:val="24"/>
          <w:szCs w:val="24"/>
        </w:rPr>
      </w:pPr>
      <w:r w:rsidRPr="005825E4">
        <w:rPr>
          <w:rFonts w:ascii="Times New Roman" w:hAnsi="Times New Roman" w:cs="Times New Roman"/>
          <w:b/>
          <w:sz w:val="24"/>
          <w:szCs w:val="24"/>
        </w:rPr>
        <w:t xml:space="preserve">Conclusion </w:t>
      </w:r>
    </w:p>
    <w:p w14:paraId="69277AA9" w14:textId="77777777" w:rsidR="004723CB" w:rsidRPr="005825E4" w:rsidRDefault="00D25912" w:rsidP="005825E4">
      <w:pPr>
        <w:spacing w:line="480" w:lineRule="auto"/>
        <w:ind w:firstLine="720"/>
        <w:rPr>
          <w:rFonts w:ascii="Times New Roman" w:hAnsi="Times New Roman" w:cs="Times New Roman"/>
          <w:sz w:val="24"/>
          <w:szCs w:val="24"/>
        </w:rPr>
      </w:pPr>
      <w:r w:rsidRPr="005825E4">
        <w:rPr>
          <w:rFonts w:ascii="Times New Roman" w:hAnsi="Times New Roman" w:cs="Times New Roman"/>
          <w:sz w:val="24"/>
          <w:szCs w:val="24"/>
        </w:rPr>
        <w:t xml:space="preserve">Becoming a public company comes with several benefits. Some of the benefits entails better access to different sources of capital, higher growth and expansion opportunities, wider </w:t>
      </w:r>
      <w:r w:rsidRPr="005825E4">
        <w:rPr>
          <w:rFonts w:ascii="Times New Roman" w:hAnsi="Times New Roman" w:cs="Times New Roman"/>
          <w:sz w:val="24"/>
          <w:szCs w:val="24"/>
        </w:rPr>
        <w:lastRenderedPageBreak/>
        <w:t xml:space="preserve">shareholders' base, wider spread of risks to a wider number of players, and </w:t>
      </w:r>
      <w:r w:rsidRPr="005825E4">
        <w:rPr>
          <w:rFonts w:ascii="Times New Roman" w:hAnsi="Times New Roman" w:cs="Times New Roman"/>
          <w:sz w:val="24"/>
          <w:szCs w:val="24"/>
        </w:rPr>
        <w:t>allows the founders to exit the business if they wish.  However, there are many disadvantages that a company is likely to face after converting from a private company to a public company.</w:t>
      </w:r>
      <w:r w:rsidR="00A86EAD" w:rsidRPr="005825E4">
        <w:rPr>
          <w:rFonts w:ascii="Times New Roman" w:hAnsi="Times New Roman" w:cs="Times New Roman"/>
          <w:sz w:val="24"/>
          <w:szCs w:val="24"/>
        </w:rPr>
        <w:t xml:space="preserve"> </w:t>
      </w:r>
      <w:r w:rsidR="00644649" w:rsidRPr="005825E4">
        <w:rPr>
          <w:rFonts w:ascii="Times New Roman" w:hAnsi="Times New Roman" w:cs="Times New Roman"/>
          <w:sz w:val="24"/>
          <w:szCs w:val="24"/>
        </w:rPr>
        <w:t xml:space="preserve">Colorado Company needs to assess the advantages and the disadvantages of converting from a private company to a public company and the cost </w:t>
      </w:r>
      <w:r w:rsidR="00DB66E6" w:rsidRPr="005825E4">
        <w:rPr>
          <w:rFonts w:ascii="Times New Roman" w:hAnsi="Times New Roman" w:cs="Times New Roman"/>
          <w:sz w:val="24"/>
          <w:szCs w:val="24"/>
        </w:rPr>
        <w:t xml:space="preserve">related to complying with all the auditing and </w:t>
      </w:r>
      <w:r w:rsidR="00DA74F9" w:rsidRPr="005825E4">
        <w:rPr>
          <w:rFonts w:ascii="Times New Roman" w:hAnsi="Times New Roman" w:cs="Times New Roman"/>
          <w:sz w:val="24"/>
          <w:szCs w:val="24"/>
        </w:rPr>
        <w:t>financial reporting</w:t>
      </w:r>
      <w:r w:rsidR="00DB66E6" w:rsidRPr="005825E4">
        <w:rPr>
          <w:rFonts w:ascii="Times New Roman" w:hAnsi="Times New Roman" w:cs="Times New Roman"/>
          <w:sz w:val="24"/>
          <w:szCs w:val="24"/>
        </w:rPr>
        <w:t xml:space="preserve"> regulations. </w:t>
      </w:r>
    </w:p>
    <w:p w14:paraId="2A998D79" w14:textId="77777777" w:rsidR="005825E4" w:rsidRDefault="005825E4" w:rsidP="005825E4">
      <w:pPr>
        <w:spacing w:line="480" w:lineRule="auto"/>
        <w:jc w:val="center"/>
        <w:rPr>
          <w:rFonts w:ascii="Times New Roman" w:hAnsi="Times New Roman" w:cs="Times New Roman"/>
          <w:sz w:val="24"/>
          <w:szCs w:val="24"/>
        </w:rPr>
      </w:pPr>
    </w:p>
    <w:p w14:paraId="5FD519E5" w14:textId="77777777" w:rsidR="005825E4" w:rsidRDefault="005825E4" w:rsidP="005825E4">
      <w:pPr>
        <w:spacing w:line="480" w:lineRule="auto"/>
        <w:jc w:val="center"/>
        <w:rPr>
          <w:rFonts w:ascii="Times New Roman" w:hAnsi="Times New Roman" w:cs="Times New Roman"/>
          <w:sz w:val="24"/>
          <w:szCs w:val="24"/>
        </w:rPr>
      </w:pPr>
    </w:p>
    <w:p w14:paraId="0D4F5636" w14:textId="77777777" w:rsidR="005825E4" w:rsidRDefault="005825E4" w:rsidP="005825E4">
      <w:pPr>
        <w:spacing w:line="480" w:lineRule="auto"/>
        <w:jc w:val="center"/>
        <w:rPr>
          <w:rFonts w:ascii="Times New Roman" w:hAnsi="Times New Roman" w:cs="Times New Roman"/>
          <w:sz w:val="24"/>
          <w:szCs w:val="24"/>
        </w:rPr>
      </w:pPr>
    </w:p>
    <w:p w14:paraId="37AB1E4C" w14:textId="77777777" w:rsidR="005825E4" w:rsidRDefault="005825E4" w:rsidP="005825E4">
      <w:pPr>
        <w:spacing w:line="480" w:lineRule="auto"/>
        <w:jc w:val="center"/>
        <w:rPr>
          <w:rFonts w:ascii="Times New Roman" w:hAnsi="Times New Roman" w:cs="Times New Roman"/>
          <w:sz w:val="24"/>
          <w:szCs w:val="24"/>
        </w:rPr>
      </w:pPr>
    </w:p>
    <w:p w14:paraId="3AB62ACB" w14:textId="77777777" w:rsidR="005825E4" w:rsidRDefault="005825E4" w:rsidP="005825E4">
      <w:pPr>
        <w:spacing w:line="480" w:lineRule="auto"/>
        <w:jc w:val="center"/>
        <w:rPr>
          <w:rFonts w:ascii="Times New Roman" w:hAnsi="Times New Roman" w:cs="Times New Roman"/>
          <w:sz w:val="24"/>
          <w:szCs w:val="24"/>
        </w:rPr>
      </w:pPr>
    </w:p>
    <w:p w14:paraId="799477C6" w14:textId="77777777" w:rsidR="005825E4" w:rsidRDefault="005825E4" w:rsidP="005825E4">
      <w:pPr>
        <w:spacing w:line="480" w:lineRule="auto"/>
        <w:jc w:val="center"/>
        <w:rPr>
          <w:rFonts w:ascii="Times New Roman" w:hAnsi="Times New Roman" w:cs="Times New Roman"/>
          <w:sz w:val="24"/>
          <w:szCs w:val="24"/>
        </w:rPr>
      </w:pPr>
    </w:p>
    <w:p w14:paraId="4FC3D273" w14:textId="77777777" w:rsidR="005825E4" w:rsidRDefault="005825E4" w:rsidP="005825E4">
      <w:pPr>
        <w:spacing w:line="480" w:lineRule="auto"/>
        <w:jc w:val="center"/>
        <w:rPr>
          <w:rFonts w:ascii="Times New Roman" w:hAnsi="Times New Roman" w:cs="Times New Roman"/>
          <w:sz w:val="24"/>
          <w:szCs w:val="24"/>
        </w:rPr>
      </w:pPr>
    </w:p>
    <w:p w14:paraId="266D78CB" w14:textId="77777777" w:rsidR="005825E4" w:rsidRDefault="005825E4" w:rsidP="005825E4">
      <w:pPr>
        <w:spacing w:line="480" w:lineRule="auto"/>
        <w:jc w:val="center"/>
        <w:rPr>
          <w:rFonts w:ascii="Times New Roman" w:hAnsi="Times New Roman" w:cs="Times New Roman"/>
          <w:sz w:val="24"/>
          <w:szCs w:val="24"/>
        </w:rPr>
      </w:pPr>
    </w:p>
    <w:p w14:paraId="50BFD69E" w14:textId="77777777" w:rsidR="005825E4" w:rsidRDefault="005825E4" w:rsidP="005825E4">
      <w:pPr>
        <w:spacing w:line="480" w:lineRule="auto"/>
        <w:jc w:val="center"/>
        <w:rPr>
          <w:rFonts w:ascii="Times New Roman" w:hAnsi="Times New Roman" w:cs="Times New Roman"/>
          <w:sz w:val="24"/>
          <w:szCs w:val="24"/>
        </w:rPr>
      </w:pPr>
    </w:p>
    <w:p w14:paraId="6A994130" w14:textId="77777777" w:rsidR="005825E4" w:rsidRDefault="005825E4" w:rsidP="005825E4">
      <w:pPr>
        <w:spacing w:line="480" w:lineRule="auto"/>
        <w:jc w:val="center"/>
        <w:rPr>
          <w:rFonts w:ascii="Times New Roman" w:hAnsi="Times New Roman" w:cs="Times New Roman"/>
          <w:sz w:val="24"/>
          <w:szCs w:val="24"/>
        </w:rPr>
      </w:pPr>
    </w:p>
    <w:p w14:paraId="1466CDD2" w14:textId="77777777" w:rsidR="005825E4" w:rsidRDefault="005825E4" w:rsidP="005825E4">
      <w:pPr>
        <w:spacing w:line="480" w:lineRule="auto"/>
        <w:jc w:val="center"/>
        <w:rPr>
          <w:rFonts w:ascii="Times New Roman" w:hAnsi="Times New Roman" w:cs="Times New Roman"/>
          <w:sz w:val="24"/>
          <w:szCs w:val="24"/>
        </w:rPr>
      </w:pPr>
    </w:p>
    <w:p w14:paraId="46F29CAC" w14:textId="77777777" w:rsidR="005825E4" w:rsidRDefault="005825E4" w:rsidP="005825E4">
      <w:pPr>
        <w:spacing w:line="480" w:lineRule="auto"/>
        <w:jc w:val="center"/>
        <w:rPr>
          <w:rFonts w:ascii="Times New Roman" w:hAnsi="Times New Roman" w:cs="Times New Roman"/>
          <w:sz w:val="24"/>
          <w:szCs w:val="24"/>
        </w:rPr>
      </w:pPr>
    </w:p>
    <w:p w14:paraId="647152D7" w14:textId="77777777" w:rsidR="005825E4" w:rsidRDefault="005825E4" w:rsidP="005825E4">
      <w:pPr>
        <w:spacing w:line="480" w:lineRule="auto"/>
        <w:jc w:val="center"/>
        <w:rPr>
          <w:rFonts w:ascii="Times New Roman" w:hAnsi="Times New Roman" w:cs="Times New Roman"/>
          <w:sz w:val="24"/>
          <w:szCs w:val="24"/>
        </w:rPr>
      </w:pPr>
    </w:p>
    <w:p w14:paraId="6A83F292" w14:textId="77777777" w:rsidR="005825E4" w:rsidRDefault="005825E4" w:rsidP="005825E4">
      <w:pPr>
        <w:spacing w:line="480" w:lineRule="auto"/>
        <w:jc w:val="center"/>
        <w:rPr>
          <w:rFonts w:ascii="Times New Roman" w:hAnsi="Times New Roman" w:cs="Times New Roman"/>
          <w:sz w:val="24"/>
          <w:szCs w:val="24"/>
        </w:rPr>
      </w:pPr>
    </w:p>
    <w:p w14:paraId="62FDBD87" w14:textId="77777777" w:rsidR="00770369" w:rsidRPr="005825E4" w:rsidRDefault="00D25912" w:rsidP="005825E4">
      <w:pPr>
        <w:spacing w:line="480" w:lineRule="auto"/>
        <w:jc w:val="center"/>
        <w:rPr>
          <w:rFonts w:ascii="Times New Roman" w:hAnsi="Times New Roman" w:cs="Times New Roman"/>
          <w:sz w:val="24"/>
          <w:szCs w:val="24"/>
        </w:rPr>
      </w:pPr>
      <w:r w:rsidRPr="005825E4">
        <w:rPr>
          <w:rFonts w:ascii="Times New Roman" w:hAnsi="Times New Roman" w:cs="Times New Roman"/>
          <w:sz w:val="24"/>
          <w:szCs w:val="24"/>
        </w:rPr>
        <w:t>References</w:t>
      </w:r>
    </w:p>
    <w:p w14:paraId="3B5CD2DD" w14:textId="77777777" w:rsidR="005825E4" w:rsidRPr="005825E4" w:rsidRDefault="00D25912" w:rsidP="005825E4">
      <w:pPr>
        <w:spacing w:line="480" w:lineRule="auto"/>
        <w:ind w:left="720" w:hanging="720"/>
        <w:rPr>
          <w:rFonts w:ascii="Times New Roman" w:hAnsi="Times New Roman" w:cs="Times New Roman"/>
          <w:color w:val="222222"/>
          <w:sz w:val="24"/>
          <w:szCs w:val="24"/>
          <w:shd w:val="clear" w:color="auto" w:fill="FFFFFF"/>
        </w:rPr>
      </w:pPr>
      <w:r w:rsidRPr="005825E4">
        <w:rPr>
          <w:rFonts w:ascii="Times New Roman" w:hAnsi="Times New Roman" w:cs="Times New Roman"/>
          <w:color w:val="222222"/>
          <w:sz w:val="24"/>
          <w:szCs w:val="24"/>
          <w:shd w:val="clear" w:color="auto" w:fill="FFFFFF"/>
        </w:rPr>
        <w:t>Clarke, I. (2019). What is the PCAOB? Auditing Standards and Inspection Report</w:t>
      </w:r>
      <w:r w:rsidRPr="005825E4">
        <w:rPr>
          <w:rFonts w:ascii="Times New Roman" w:hAnsi="Times New Roman" w:cs="Times New Roman"/>
          <w:color w:val="222222"/>
          <w:sz w:val="24"/>
          <w:szCs w:val="24"/>
          <w:shd w:val="clear" w:color="auto" w:fill="FFFFFF"/>
        </w:rPr>
        <w:t xml:space="preserve">s. Retrieved from </w:t>
      </w:r>
      <w:hyperlink r:id="rId6" w:history="1">
        <w:r w:rsidRPr="005825E4">
          <w:rPr>
            <w:rStyle w:val="Hyperlink"/>
            <w:rFonts w:ascii="Times New Roman" w:hAnsi="Times New Roman" w:cs="Times New Roman"/>
            <w:sz w:val="24"/>
            <w:szCs w:val="24"/>
            <w:shd w:val="clear" w:color="auto" w:fill="FFFFFF"/>
          </w:rPr>
          <w:t>https://linfordco.com/blog/what-is-pcaob-auditing-standards/</w:t>
        </w:r>
      </w:hyperlink>
    </w:p>
    <w:p w14:paraId="7312348F" w14:textId="77777777" w:rsidR="005825E4" w:rsidRPr="005825E4" w:rsidRDefault="00D25912" w:rsidP="005825E4">
      <w:pPr>
        <w:spacing w:line="480" w:lineRule="auto"/>
        <w:ind w:left="720" w:hanging="720"/>
        <w:rPr>
          <w:rFonts w:ascii="Times New Roman" w:hAnsi="Times New Roman" w:cs="Times New Roman"/>
          <w:sz w:val="24"/>
          <w:szCs w:val="24"/>
        </w:rPr>
      </w:pPr>
      <w:r w:rsidRPr="005825E4">
        <w:rPr>
          <w:rFonts w:ascii="Times New Roman" w:hAnsi="Times New Roman" w:cs="Times New Roman"/>
          <w:sz w:val="24"/>
          <w:szCs w:val="24"/>
        </w:rPr>
        <w:t>Glahn, W. (2021).</w:t>
      </w:r>
      <w:r w:rsidRPr="005825E4">
        <w:rPr>
          <w:rFonts w:ascii="Times New Roman" w:hAnsi="Times New Roman" w:cs="Times New Roman"/>
          <w:sz w:val="24"/>
          <w:szCs w:val="24"/>
        </w:rPr>
        <w:t xml:space="preserve"> The Sarbanes-Oxley Act: New criminal liabilities for the destruction of corporate documents. Retrieved from </w:t>
      </w:r>
      <w:hyperlink r:id="rId7" w:history="1">
        <w:r w:rsidRPr="005825E4">
          <w:rPr>
            <w:rStyle w:val="Hyperlink"/>
            <w:rFonts w:ascii="Times New Roman" w:hAnsi="Times New Roman" w:cs="Times New Roman"/>
            <w:sz w:val="24"/>
            <w:szCs w:val="24"/>
          </w:rPr>
          <w:t>http</w:t>
        </w:r>
        <w:r w:rsidRPr="005825E4">
          <w:rPr>
            <w:rStyle w:val="Hyperlink"/>
            <w:rFonts w:ascii="Times New Roman" w:hAnsi="Times New Roman" w:cs="Times New Roman"/>
            <w:sz w:val="24"/>
            <w:szCs w:val="24"/>
          </w:rPr>
          <w:t>s://www.mclane.com/thought-leadership/the-sarbanes-oxley-act-new-criminal-liability-for-destruction-of-corporate-documents</w:t>
        </w:r>
      </w:hyperlink>
    </w:p>
    <w:p w14:paraId="1C774EB5" w14:textId="77777777" w:rsidR="005825E4" w:rsidRPr="005825E4" w:rsidRDefault="00D25912" w:rsidP="005825E4">
      <w:pPr>
        <w:spacing w:line="480" w:lineRule="auto"/>
        <w:ind w:left="720" w:hanging="720"/>
        <w:rPr>
          <w:rFonts w:ascii="Times New Roman" w:hAnsi="Times New Roman" w:cs="Times New Roman"/>
          <w:color w:val="222222"/>
          <w:sz w:val="24"/>
          <w:szCs w:val="24"/>
          <w:shd w:val="clear" w:color="auto" w:fill="FFFFFF"/>
        </w:rPr>
      </w:pPr>
      <w:r w:rsidRPr="005825E4">
        <w:rPr>
          <w:rFonts w:ascii="Times New Roman" w:hAnsi="Times New Roman" w:cs="Times New Roman"/>
          <w:color w:val="222222"/>
          <w:sz w:val="24"/>
          <w:szCs w:val="24"/>
          <w:shd w:val="clear" w:color="auto" w:fill="FFFFFF"/>
        </w:rPr>
        <w:t>Johnson, E. S., Reichelt, K. J., &amp; Soileau, J. S. (2020). The Impact of PCAOB Auditing Standard No. 5, the PCAOB Inspection Regime, a</w:t>
      </w:r>
      <w:r w:rsidRPr="005825E4">
        <w:rPr>
          <w:rFonts w:ascii="Times New Roman" w:hAnsi="Times New Roman" w:cs="Times New Roman"/>
          <w:color w:val="222222"/>
          <w:sz w:val="24"/>
          <w:szCs w:val="24"/>
          <w:shd w:val="clear" w:color="auto" w:fill="FFFFFF"/>
        </w:rPr>
        <w:t>nd the Great Recession on Audit Fees and Audit Quality. </w:t>
      </w:r>
      <w:r w:rsidRPr="005825E4">
        <w:rPr>
          <w:rFonts w:ascii="Times New Roman" w:hAnsi="Times New Roman" w:cs="Times New Roman"/>
          <w:i/>
          <w:iCs/>
          <w:color w:val="222222"/>
          <w:sz w:val="24"/>
          <w:szCs w:val="24"/>
          <w:shd w:val="clear" w:color="auto" w:fill="FFFFFF"/>
        </w:rPr>
        <w:t>Journal of Accounting, Auditing &amp; Finance</w:t>
      </w:r>
      <w:r w:rsidRPr="005825E4">
        <w:rPr>
          <w:rFonts w:ascii="Times New Roman" w:hAnsi="Times New Roman" w:cs="Times New Roman"/>
          <w:color w:val="222222"/>
          <w:sz w:val="24"/>
          <w:szCs w:val="24"/>
          <w:shd w:val="clear" w:color="auto" w:fill="FFFFFF"/>
        </w:rPr>
        <w:t>, 0148558X20982207.</w:t>
      </w:r>
    </w:p>
    <w:p w14:paraId="281339DE" w14:textId="77777777" w:rsidR="005825E4" w:rsidRPr="005825E4" w:rsidRDefault="00D25912" w:rsidP="005825E4">
      <w:pPr>
        <w:spacing w:line="480" w:lineRule="auto"/>
        <w:ind w:left="720" w:hanging="720"/>
        <w:rPr>
          <w:rFonts w:ascii="Times New Roman" w:hAnsi="Times New Roman" w:cs="Times New Roman"/>
          <w:sz w:val="24"/>
          <w:szCs w:val="24"/>
        </w:rPr>
      </w:pPr>
      <w:r w:rsidRPr="005825E4">
        <w:rPr>
          <w:rFonts w:ascii="Times New Roman" w:hAnsi="Times New Roman" w:cs="Times New Roman"/>
          <w:sz w:val="24"/>
          <w:szCs w:val="24"/>
        </w:rPr>
        <w:t xml:space="preserve">Kenton, W. (2020). The Sarbanes-Oxley (SOX) Act OF 2002. Retrieved from </w:t>
      </w:r>
      <w:hyperlink r:id="rId8" w:history="1">
        <w:r w:rsidRPr="005825E4">
          <w:rPr>
            <w:rStyle w:val="Hyperlink"/>
            <w:rFonts w:ascii="Times New Roman" w:hAnsi="Times New Roman" w:cs="Times New Roman"/>
            <w:sz w:val="24"/>
            <w:szCs w:val="24"/>
          </w:rPr>
          <w:t>https://www.investopedia.com/terms/s/sarbanesoxleyact.asp</w:t>
        </w:r>
      </w:hyperlink>
    </w:p>
    <w:p w14:paraId="049FB166" w14:textId="77777777" w:rsidR="00F31101" w:rsidRPr="005825E4" w:rsidRDefault="00F31101" w:rsidP="005825E4">
      <w:pPr>
        <w:spacing w:line="480" w:lineRule="auto"/>
        <w:rPr>
          <w:rFonts w:ascii="Times New Roman" w:hAnsi="Times New Roman" w:cs="Times New Roman"/>
          <w:sz w:val="24"/>
          <w:szCs w:val="24"/>
        </w:rPr>
      </w:pPr>
    </w:p>
    <w:p w14:paraId="7D654EEC" w14:textId="77777777" w:rsidR="002A2A91" w:rsidRPr="005825E4" w:rsidRDefault="002A2A91" w:rsidP="005825E4">
      <w:pPr>
        <w:spacing w:line="480" w:lineRule="auto"/>
        <w:rPr>
          <w:rFonts w:ascii="Times New Roman" w:hAnsi="Times New Roman" w:cs="Times New Roman"/>
          <w:sz w:val="24"/>
          <w:szCs w:val="24"/>
        </w:rPr>
      </w:pPr>
    </w:p>
    <w:p w14:paraId="3291AEC5" w14:textId="77777777" w:rsidR="005825E4" w:rsidRPr="005825E4" w:rsidRDefault="005825E4">
      <w:pPr>
        <w:spacing w:line="480" w:lineRule="auto"/>
        <w:rPr>
          <w:rFonts w:ascii="Times New Roman" w:hAnsi="Times New Roman" w:cs="Times New Roman"/>
          <w:sz w:val="24"/>
          <w:szCs w:val="24"/>
        </w:rPr>
      </w:pPr>
    </w:p>
    <w:sectPr w:rsidR="005825E4" w:rsidRPr="005825E4" w:rsidSect="00801918">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623A" w14:textId="77777777" w:rsidR="00D25912" w:rsidRDefault="00D25912">
      <w:pPr>
        <w:spacing w:after="0" w:line="240" w:lineRule="auto"/>
      </w:pPr>
      <w:r>
        <w:separator/>
      </w:r>
    </w:p>
  </w:endnote>
  <w:endnote w:type="continuationSeparator" w:id="0">
    <w:p w14:paraId="6AFC3F30" w14:textId="77777777" w:rsidR="00D25912" w:rsidRDefault="00D2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E7F0" w14:textId="77777777" w:rsidR="00D25912" w:rsidRDefault="00D25912">
      <w:pPr>
        <w:spacing w:after="0" w:line="240" w:lineRule="auto"/>
      </w:pPr>
      <w:r>
        <w:separator/>
      </w:r>
    </w:p>
  </w:footnote>
  <w:footnote w:type="continuationSeparator" w:id="0">
    <w:p w14:paraId="5069EA03" w14:textId="77777777" w:rsidR="00D25912" w:rsidRDefault="00D25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031282"/>
      <w:docPartObj>
        <w:docPartGallery w:val="Page Numbers (Top of Page)"/>
        <w:docPartUnique/>
      </w:docPartObj>
    </w:sdtPr>
    <w:sdtEndPr>
      <w:rPr>
        <w:noProof/>
      </w:rPr>
    </w:sdtEndPr>
    <w:sdtContent>
      <w:p w14:paraId="6472336F" w14:textId="77777777" w:rsidR="00801918" w:rsidRDefault="00D25912">
        <w:pPr>
          <w:pStyle w:val="Header"/>
          <w:jc w:val="right"/>
        </w:pPr>
        <w:r w:rsidRPr="00801918">
          <w:rPr>
            <w:rFonts w:ascii="Times New Roman" w:hAnsi="Times New Roman" w:cs="Times New Roman"/>
            <w:sz w:val="24"/>
            <w:szCs w:val="24"/>
          </w:rPr>
          <w:t>THE SARBANES-OXLEY ACT AND PCAOB AUDITING STANDARD</w:t>
        </w:r>
        <w:r>
          <w:rPr>
            <w:rFonts w:ascii="Times New Roman" w:hAnsi="Times New Roman" w:cs="Times New Roman"/>
            <w:sz w:val="24"/>
            <w:szCs w:val="24"/>
          </w:rPr>
          <w:t xml:space="preserve"> </w:t>
        </w:r>
        <w:r>
          <w:rPr>
            <w:rFonts w:ascii="Times New Roman" w:hAnsi="Times New Roman" w:cs="Times New Roman"/>
            <w:sz w:val="24"/>
            <w:szCs w:val="24"/>
          </w:rPr>
          <w:tab/>
        </w:r>
        <w:r>
          <w:fldChar w:fldCharType="begin"/>
        </w:r>
        <w:r>
          <w:instrText xml:space="preserve"> PAGE   \* MERGEFORMAT </w:instrText>
        </w:r>
        <w:r>
          <w:fldChar w:fldCharType="separate"/>
        </w:r>
        <w:r w:rsidR="008954C2">
          <w:rPr>
            <w:noProof/>
          </w:rPr>
          <w:t>6</w:t>
        </w:r>
        <w:r>
          <w:rPr>
            <w:noProof/>
          </w:rPr>
          <w:fldChar w:fldCharType="end"/>
        </w:r>
      </w:p>
    </w:sdtContent>
  </w:sdt>
  <w:p w14:paraId="0C2C2436" w14:textId="77777777" w:rsidR="00801918" w:rsidRDefault="00801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74A3" w14:textId="77777777" w:rsidR="00801918" w:rsidRPr="00801918" w:rsidRDefault="00D25912" w:rsidP="00801918">
    <w:pPr>
      <w:spacing w:line="480" w:lineRule="auto"/>
      <w:rPr>
        <w:rFonts w:ascii="Times New Roman" w:hAnsi="Times New Roman" w:cs="Times New Roman"/>
        <w:sz w:val="24"/>
        <w:szCs w:val="24"/>
      </w:rPr>
    </w:pPr>
    <w:r>
      <w:rPr>
        <w:rFonts w:ascii="Times New Roman" w:hAnsi="Times New Roman" w:cs="Times New Roman"/>
        <w:sz w:val="24"/>
        <w:szCs w:val="24"/>
      </w:rPr>
      <w:t>Running head:</w:t>
    </w:r>
    <w:r w:rsidRPr="00801918">
      <w:rPr>
        <w:rFonts w:ascii="Times New Roman" w:hAnsi="Times New Roman" w:cs="Times New Roman"/>
        <w:sz w:val="24"/>
        <w:szCs w:val="24"/>
      </w:rPr>
      <w:t xml:space="preserve"> THE SARBANES-OXLEY ACT AND PCAOB AUDITING STANDARD</w:t>
    </w:r>
    <w:r>
      <w:rPr>
        <w:rFonts w:ascii="Times New Roman" w:hAnsi="Times New Roman" w:cs="Times New Roman"/>
        <w:sz w:val="24"/>
        <w:szCs w:val="24"/>
      </w:rPr>
      <w:t xml:space="preserve"> 1</w:t>
    </w:r>
  </w:p>
  <w:p w14:paraId="379644D7" w14:textId="77777777" w:rsidR="00801918" w:rsidRPr="00801918" w:rsidRDefault="00801918">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105"/>
    <w:rsid w:val="00024935"/>
    <w:rsid w:val="000E389C"/>
    <w:rsid w:val="00131043"/>
    <w:rsid w:val="00157599"/>
    <w:rsid w:val="001A59FC"/>
    <w:rsid w:val="001A66D1"/>
    <w:rsid w:val="002019C7"/>
    <w:rsid w:val="00212D62"/>
    <w:rsid w:val="002366E2"/>
    <w:rsid w:val="00242F6D"/>
    <w:rsid w:val="00254FA0"/>
    <w:rsid w:val="002A2A91"/>
    <w:rsid w:val="002A4107"/>
    <w:rsid w:val="002D5A57"/>
    <w:rsid w:val="00337FE6"/>
    <w:rsid w:val="004723CB"/>
    <w:rsid w:val="00476933"/>
    <w:rsid w:val="00497B27"/>
    <w:rsid w:val="00506BFC"/>
    <w:rsid w:val="005825E4"/>
    <w:rsid w:val="00644649"/>
    <w:rsid w:val="00650431"/>
    <w:rsid w:val="006B7C68"/>
    <w:rsid w:val="0070037F"/>
    <w:rsid w:val="0070549F"/>
    <w:rsid w:val="00770369"/>
    <w:rsid w:val="007A4229"/>
    <w:rsid w:val="007B6EB0"/>
    <w:rsid w:val="00801918"/>
    <w:rsid w:val="0085414A"/>
    <w:rsid w:val="00891ACA"/>
    <w:rsid w:val="008954C2"/>
    <w:rsid w:val="008E5A84"/>
    <w:rsid w:val="008E7DB8"/>
    <w:rsid w:val="008F07A8"/>
    <w:rsid w:val="00900105"/>
    <w:rsid w:val="00962F2C"/>
    <w:rsid w:val="009657E2"/>
    <w:rsid w:val="00A02822"/>
    <w:rsid w:val="00A2224A"/>
    <w:rsid w:val="00A47766"/>
    <w:rsid w:val="00A77210"/>
    <w:rsid w:val="00A86EAD"/>
    <w:rsid w:val="00AF2251"/>
    <w:rsid w:val="00B6122E"/>
    <w:rsid w:val="00B64C16"/>
    <w:rsid w:val="00B705B0"/>
    <w:rsid w:val="00BA1BFF"/>
    <w:rsid w:val="00BA2F2B"/>
    <w:rsid w:val="00BC1412"/>
    <w:rsid w:val="00D061AE"/>
    <w:rsid w:val="00D25912"/>
    <w:rsid w:val="00D264D9"/>
    <w:rsid w:val="00D26E45"/>
    <w:rsid w:val="00D60C37"/>
    <w:rsid w:val="00D90F65"/>
    <w:rsid w:val="00DA74F9"/>
    <w:rsid w:val="00DB66E6"/>
    <w:rsid w:val="00DC08BC"/>
    <w:rsid w:val="00E1559F"/>
    <w:rsid w:val="00E22B38"/>
    <w:rsid w:val="00E919A1"/>
    <w:rsid w:val="00EA6385"/>
    <w:rsid w:val="00EE62F8"/>
    <w:rsid w:val="00F31101"/>
    <w:rsid w:val="00F50B09"/>
    <w:rsid w:val="00F612A1"/>
    <w:rsid w:val="00F6736A"/>
    <w:rsid w:val="00F73095"/>
    <w:rsid w:val="00F909F0"/>
    <w:rsid w:val="00F94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4918"/>
  <w15:docId w15:val="{B5A75A66-7BFE-4587-8CF5-FAC2040B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60C37"/>
    <w:rPr>
      <w:b/>
      <w:bCs/>
    </w:rPr>
  </w:style>
  <w:style w:type="character" w:styleId="Hyperlink">
    <w:name w:val="Hyperlink"/>
    <w:basedOn w:val="DefaultParagraphFont"/>
    <w:uiPriority w:val="99"/>
    <w:unhideWhenUsed/>
    <w:rsid w:val="0070037F"/>
    <w:rPr>
      <w:color w:val="0000FF" w:themeColor="hyperlink"/>
      <w:u w:val="single"/>
    </w:rPr>
  </w:style>
  <w:style w:type="paragraph" w:styleId="Header">
    <w:name w:val="header"/>
    <w:basedOn w:val="Normal"/>
    <w:link w:val="HeaderChar"/>
    <w:uiPriority w:val="99"/>
    <w:unhideWhenUsed/>
    <w:rsid w:val="008019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918"/>
  </w:style>
  <w:style w:type="paragraph" w:styleId="Footer">
    <w:name w:val="footer"/>
    <w:basedOn w:val="Normal"/>
    <w:link w:val="FooterChar"/>
    <w:uiPriority w:val="99"/>
    <w:unhideWhenUsed/>
    <w:rsid w:val="008019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terms/s/sarbanesoxleyact.asp" TargetMode="External"/><Relationship Id="rId3" Type="http://schemas.openxmlformats.org/officeDocument/2006/relationships/webSettings" Target="webSettings.xml"/><Relationship Id="rId7" Type="http://schemas.openxmlformats.org/officeDocument/2006/relationships/hyperlink" Target="https://www.mclane.com/thought-leadership/the-sarbanes-oxley-act-new-criminal-liability-for-destruction-of-corporate-documen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nfordco.com/blog/what-is-pcaob-auditing-standard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LATITUDE</dc:creator>
  <cp:lastModifiedBy>Kennedy Mwangi</cp:lastModifiedBy>
  <cp:revision>3</cp:revision>
  <dcterms:created xsi:type="dcterms:W3CDTF">2021-08-11T08:05:00Z</dcterms:created>
  <dcterms:modified xsi:type="dcterms:W3CDTF">2021-08-11T08:06:00Z</dcterms:modified>
</cp:coreProperties>
</file>