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5C814" w14:textId="77777777" w:rsidR="005F60D1" w:rsidRPr="005F60D1" w:rsidRDefault="005F60D1" w:rsidP="00DC5362">
      <w:pPr>
        <w:spacing w:line="480" w:lineRule="auto"/>
        <w:rPr>
          <w:b/>
          <w:bCs/>
          <w:color w:val="000000" w:themeColor="text1"/>
        </w:rPr>
      </w:pPr>
      <w:r w:rsidRPr="005F60D1">
        <w:rPr>
          <w:b/>
          <w:bCs/>
          <w:color w:val="000000" w:themeColor="text1"/>
          <w:shd w:val="clear" w:color="auto" w:fill="FFFFFF"/>
        </w:rPr>
        <w:t>Some microorganisms like </w:t>
      </w:r>
      <w:r w:rsidRPr="005F60D1">
        <w:rPr>
          <w:b/>
          <w:bCs/>
          <w:i/>
          <w:iCs/>
          <w:color w:val="000000" w:themeColor="text1"/>
          <w:shd w:val="clear" w:color="auto" w:fill="FFFFFF"/>
        </w:rPr>
        <w:t>Staphylococcus</w:t>
      </w:r>
      <w:r w:rsidRPr="005F60D1">
        <w:rPr>
          <w:b/>
          <w:bCs/>
          <w:color w:val="000000" w:themeColor="text1"/>
          <w:shd w:val="clear" w:color="auto" w:fill="FFFFFF"/>
        </w:rPr>
        <w:t>, </w:t>
      </w:r>
      <w:r w:rsidRPr="005F60D1">
        <w:rPr>
          <w:b/>
          <w:bCs/>
          <w:i/>
          <w:iCs/>
          <w:color w:val="000000" w:themeColor="text1"/>
          <w:shd w:val="clear" w:color="auto" w:fill="FFFFFF"/>
        </w:rPr>
        <w:t>Streptococcus, Yesinia pestis, E. coli</w:t>
      </w:r>
      <w:r w:rsidRPr="005F60D1">
        <w:rPr>
          <w:b/>
          <w:bCs/>
          <w:color w:val="000000" w:themeColor="text1"/>
          <w:shd w:val="clear" w:color="auto" w:fill="FFFFFF"/>
        </w:rPr>
        <w:t> can cause diseases of different body systems. Let's investigate how the same pathogen is responsible for different pathophysiological symptoms. First, choose a microorganism found in multiple systems. Then, describe your pathogen's role in disease for one body system: report the disease caused, the normal function of that system, pathophysiological symptoms, and the virulence factor(s) that contribute(s) to the diseased state.</w:t>
      </w:r>
    </w:p>
    <w:p w14:paraId="7F58F2C0" w14:textId="7879720A" w:rsidR="005F3BE9" w:rsidRDefault="005F3BE9"/>
    <w:p w14:paraId="1E5476D0" w14:textId="67D38AC6" w:rsidR="00DC5362" w:rsidRPr="00DC5362" w:rsidRDefault="005F60D1" w:rsidP="00DC5362">
      <w:pPr>
        <w:spacing w:line="480" w:lineRule="auto"/>
        <w:jc w:val="both"/>
        <w:rPr>
          <w:lang w:val="en-US"/>
        </w:rPr>
      </w:pPr>
      <w:r w:rsidRPr="00DC5362">
        <w:rPr>
          <w:b/>
          <w:bCs/>
        </w:rPr>
        <w:t>Answer</w:t>
      </w:r>
      <w:r w:rsidRPr="00DC5362">
        <w:t xml:space="preserve">: </w:t>
      </w:r>
      <w:r w:rsidR="00FC0D7E" w:rsidRPr="00DC5362">
        <w:t xml:space="preserve">The world is currently facing a pandemic caused by the SARS-CoV-2 virus – the causative agent of COVID-19. Although </w:t>
      </w:r>
      <w:r w:rsidR="00FC0D7E" w:rsidRPr="00DC5362">
        <w:t>SARS-CoV-2</w:t>
      </w:r>
      <w:r w:rsidR="00FC0D7E" w:rsidRPr="00DC5362">
        <w:t xml:space="preserve">’s main physiological symptoms evolve around an impaired respiratory system, it is known that this viral particle may also affect additional organ systems  due to the presence of the ACE2 receptor on cells located throughout the whole body. ACE2 is the main receptor used by </w:t>
      </w:r>
      <w:r w:rsidR="00FC0D7E" w:rsidRPr="00DC5362">
        <w:t>SARS-CoV-2</w:t>
      </w:r>
      <w:r w:rsidR="00FC0D7E" w:rsidRPr="00DC5362">
        <w:t xml:space="preserve"> to infect humans – and because of that, additional organ systems are also affected. According to Prasad &amp; Prasad (2020), SARS-CoV-2 can infect the digestive system – which is responsible to break down food into nutrients -, and cause: (</w:t>
      </w:r>
      <w:proofErr w:type="spellStart"/>
      <w:r w:rsidR="00FC0D7E" w:rsidRPr="00DC5362">
        <w:t>i</w:t>
      </w:r>
      <w:proofErr w:type="spellEnd"/>
      <w:r w:rsidR="00FC0D7E" w:rsidRPr="00DC5362">
        <w:t>) diarrhea; (ii) esophageal bleeding; (iii) colon damage (Prasad &amp; Prasad 2020). SARS-Cov-2 may also affect the nervous system – responsible to coordinate behavior</w:t>
      </w:r>
      <w:r w:rsidR="00DC5362" w:rsidRPr="00DC5362">
        <w:t xml:space="preserve">al, </w:t>
      </w:r>
      <w:r w:rsidR="00FC0D7E" w:rsidRPr="00DC5362">
        <w:t>sensory</w:t>
      </w:r>
      <w:r w:rsidR="00DC5362" w:rsidRPr="00DC5362">
        <w:t>,</w:t>
      </w:r>
      <w:r w:rsidR="00FC0D7E" w:rsidRPr="00DC5362">
        <w:t xml:space="preserve"> </w:t>
      </w:r>
      <w:r w:rsidR="00DC5362" w:rsidRPr="00DC5362">
        <w:t>and motor outputs – leading to: (</w:t>
      </w:r>
      <w:proofErr w:type="spellStart"/>
      <w:r w:rsidR="00DC5362" w:rsidRPr="00DC5362">
        <w:t>i</w:t>
      </w:r>
      <w:proofErr w:type="spellEnd"/>
      <w:r w:rsidR="00DC5362" w:rsidRPr="00DC5362">
        <w:t>) acute cerebrovascular disease; (ii) neuroinflammation; (iii) seizure; (iv) ataxia; (v) loss of smell; (v) loss of taste; (vi) and visual impairment</w:t>
      </w:r>
      <w:r w:rsidR="00DC5362">
        <w:rPr>
          <w:lang w:val="en-US"/>
        </w:rPr>
        <w:t xml:space="preserve"> </w:t>
      </w:r>
      <w:r w:rsidR="00DC5362" w:rsidRPr="00DC5362">
        <w:t>(Prasad &amp; Prasad 2020)</w:t>
      </w:r>
      <w:r w:rsidR="00DC5362" w:rsidRPr="00DC5362">
        <w:t xml:space="preserve">. Lastly, </w:t>
      </w:r>
      <w:r w:rsidR="00DC5362" w:rsidRPr="00DC5362">
        <w:t>SARS-CoV-2</w:t>
      </w:r>
      <w:r w:rsidR="00DC5362" w:rsidRPr="00DC5362">
        <w:t xml:space="preserve"> can also affect the cardiovascular system – responsible for blood flow, oxygen and nutrient transport to all organs in the body –, thus causing: (i) cardiac insufficiency; (ii) myocarditis; (iii) toxicity and arhythmia; (iv) PT and aPTT prolongation; (v) and thrombocytopenia</w:t>
      </w:r>
      <w:r w:rsidR="00DC5362">
        <w:rPr>
          <w:lang w:val="en-US"/>
        </w:rPr>
        <w:t xml:space="preserve"> </w:t>
      </w:r>
      <w:r w:rsidR="00DC5362" w:rsidRPr="00DC5362">
        <w:t>(Prasad &amp; Prasad 2020)</w:t>
      </w:r>
      <w:r w:rsidR="00DC5362" w:rsidRPr="00DC5362">
        <w:t xml:space="preserve">. </w:t>
      </w:r>
      <w:r w:rsidR="00DC5362" w:rsidRPr="00DC5362">
        <w:rPr>
          <w:lang w:val="en-US"/>
        </w:rPr>
        <w:t xml:space="preserve">The pathophysiology of SARS-CoV-2 is dependent on the amount of ACE2, as it is thought that lower levels of ACE2 are markers of worse prognosis </w:t>
      </w:r>
      <w:r w:rsidR="00DC5362" w:rsidRPr="00DC5362">
        <w:rPr>
          <w:lang w:val="en-US"/>
        </w:rPr>
        <w:lastRenderedPageBreak/>
        <w:t>and higher levels of ACE2 are markers of better prognosis, due to ACE2 anti-inflammatory properties (</w:t>
      </w:r>
      <w:proofErr w:type="spellStart"/>
      <w:r w:rsidR="00DC5362" w:rsidRPr="00DC5362">
        <w:rPr>
          <w:lang w:val="en-US"/>
        </w:rPr>
        <w:t>Bourgonje</w:t>
      </w:r>
      <w:proofErr w:type="spellEnd"/>
      <w:r w:rsidR="00DC5362" w:rsidRPr="00DC5362">
        <w:rPr>
          <w:lang w:val="en-US"/>
        </w:rPr>
        <w:t xml:space="preserve"> et al., 2020</w:t>
      </w:r>
      <w:r w:rsidR="00DC5362">
        <w:rPr>
          <w:lang w:val="en-US"/>
        </w:rPr>
        <w:t>)</w:t>
      </w:r>
    </w:p>
    <w:p w14:paraId="2775DFA2" w14:textId="188DEA1D" w:rsidR="00DC5362" w:rsidRPr="00DC5362" w:rsidRDefault="00DC5362" w:rsidP="00FC0D7E">
      <w:pPr>
        <w:spacing w:line="360" w:lineRule="auto"/>
        <w:jc w:val="both"/>
      </w:pPr>
      <w:r w:rsidRPr="00DC5362">
        <w:t>Reference</w:t>
      </w:r>
      <w:r>
        <w:rPr>
          <w:lang w:val="en-US"/>
        </w:rPr>
        <w:t>s</w:t>
      </w:r>
      <w:r w:rsidRPr="00DC5362">
        <w:t xml:space="preserve">: </w:t>
      </w:r>
    </w:p>
    <w:p w14:paraId="794AA3C2" w14:textId="3F795046" w:rsidR="00DC5362" w:rsidRPr="00DC5362" w:rsidRDefault="00DC5362" w:rsidP="00FC0D7E">
      <w:pPr>
        <w:spacing w:line="360" w:lineRule="auto"/>
        <w:jc w:val="both"/>
      </w:pPr>
    </w:p>
    <w:p w14:paraId="109A6D5C" w14:textId="5B9C5C4D" w:rsidR="00DC5362" w:rsidRPr="00DC5362" w:rsidRDefault="00DC5362" w:rsidP="00DC5362">
      <w:pPr>
        <w:spacing w:line="360" w:lineRule="auto"/>
        <w:ind w:left="720" w:hanging="720"/>
        <w:jc w:val="both"/>
        <w:rPr>
          <w:rFonts w:eastAsiaTheme="minorHAnsi"/>
        </w:rPr>
      </w:pPr>
      <w:r w:rsidRPr="00DC5362">
        <w:rPr>
          <w:rFonts w:eastAsiaTheme="minorHAnsi"/>
        </w:rPr>
        <w:t>Prasad, A., &amp; Prasad, M. (2020). Single Virus Targeting Multiple Organs: What We Know and Where We Are Heading?. </w:t>
      </w:r>
      <w:r>
        <w:rPr>
          <w:rFonts w:eastAsiaTheme="minorHAnsi"/>
          <w:lang w:val="en-US"/>
        </w:rPr>
        <w:t xml:space="preserve"> </w:t>
      </w:r>
      <w:r w:rsidRPr="00DC5362">
        <w:rPr>
          <w:rFonts w:eastAsiaTheme="minorHAnsi"/>
          <w:i/>
          <w:iCs/>
        </w:rPr>
        <w:t>Frontiers in medicine, 7, 370</w:t>
      </w:r>
      <w:r w:rsidRPr="00DC5362">
        <w:rPr>
          <w:rFonts w:eastAsiaTheme="minorHAnsi"/>
        </w:rPr>
        <w:t xml:space="preserve">. </w:t>
      </w:r>
      <w:hyperlink r:id="rId5" w:history="1">
        <w:r w:rsidRPr="00DC5362">
          <w:rPr>
            <w:rStyle w:val="Hyperlink"/>
            <w:rFonts w:eastAsiaTheme="minorHAnsi"/>
          </w:rPr>
          <w:t>https://doi.org/10.3389/fmed.2020.00370</w:t>
        </w:r>
      </w:hyperlink>
    </w:p>
    <w:p w14:paraId="5FA9680B" w14:textId="77777777" w:rsidR="00DC5362" w:rsidRPr="00DC5362" w:rsidRDefault="00DC5362" w:rsidP="00DC5362">
      <w:pPr>
        <w:spacing w:line="360" w:lineRule="auto"/>
        <w:ind w:left="720" w:hanging="720"/>
        <w:jc w:val="both"/>
        <w:rPr>
          <w:rFonts w:eastAsiaTheme="minorHAnsi"/>
        </w:rPr>
      </w:pPr>
      <w:r w:rsidRPr="00DC5362">
        <w:rPr>
          <w:rFonts w:eastAsiaTheme="minorHAnsi"/>
        </w:rPr>
        <w:t>Bourgonje, A. R., Abdulle, A. E., Timens, W., Hillebrands, J. L., Navis, G. J., Gordijn, S. J., Bolling, M. C., Dijkstra, G., Voors, A. A., Osterhaus, A. D., van der Voort, P. H., Mulder, D. J., &amp; van Goor, H. (2020). Angiotensin-converting enzyme 2 (ACE2), SARS-CoV-2 and the pathophysiology of coronavirus disease 2019 (COVID-19</w:t>
      </w:r>
      <w:r w:rsidRPr="00DC5362">
        <w:rPr>
          <w:rFonts w:eastAsiaTheme="minorHAnsi"/>
          <w:i/>
          <w:iCs/>
        </w:rPr>
        <w:t>). The Journal of pathology, 251</w:t>
      </w:r>
      <w:r w:rsidRPr="00DC5362">
        <w:rPr>
          <w:rFonts w:eastAsiaTheme="minorHAnsi"/>
        </w:rPr>
        <w:t>(3), 228–248. https://doi.org/10.1002/path.5471</w:t>
      </w:r>
    </w:p>
    <w:p w14:paraId="0742AC1B" w14:textId="77777777" w:rsidR="00DC5362" w:rsidRPr="00DC5362" w:rsidRDefault="00DC5362" w:rsidP="00DC5362">
      <w:pPr>
        <w:spacing w:line="360" w:lineRule="auto"/>
        <w:ind w:left="720" w:hanging="720"/>
        <w:jc w:val="both"/>
        <w:rPr>
          <w:rFonts w:eastAsiaTheme="minorHAnsi"/>
          <w:i/>
          <w:iCs/>
        </w:rPr>
      </w:pPr>
    </w:p>
    <w:p w14:paraId="2C095E94" w14:textId="77777777" w:rsidR="00DC5362" w:rsidRPr="00FC0D7E" w:rsidRDefault="00DC5362" w:rsidP="00DC5362">
      <w:pPr>
        <w:spacing w:line="360" w:lineRule="auto"/>
        <w:ind w:left="720" w:hanging="720"/>
        <w:jc w:val="both"/>
        <w:rPr>
          <w:i/>
          <w:iCs/>
        </w:rPr>
      </w:pPr>
    </w:p>
    <w:sectPr w:rsidR="00DC5362" w:rsidRPr="00FC0D7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D31436"/>
    <w:multiLevelType w:val="hybridMultilevel"/>
    <w:tmpl w:val="C5EA5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0D1"/>
    <w:rsid w:val="001465C0"/>
    <w:rsid w:val="00191FF7"/>
    <w:rsid w:val="00292B67"/>
    <w:rsid w:val="003D4CFB"/>
    <w:rsid w:val="004B534F"/>
    <w:rsid w:val="004F33C1"/>
    <w:rsid w:val="00500FDF"/>
    <w:rsid w:val="005608E2"/>
    <w:rsid w:val="005C0D5D"/>
    <w:rsid w:val="005F3BE9"/>
    <w:rsid w:val="005F60D1"/>
    <w:rsid w:val="00672A17"/>
    <w:rsid w:val="00731774"/>
    <w:rsid w:val="00775ADC"/>
    <w:rsid w:val="007A6CD4"/>
    <w:rsid w:val="008210D3"/>
    <w:rsid w:val="00834177"/>
    <w:rsid w:val="008666CD"/>
    <w:rsid w:val="008A4067"/>
    <w:rsid w:val="00922CBD"/>
    <w:rsid w:val="00940917"/>
    <w:rsid w:val="00950EA7"/>
    <w:rsid w:val="009B5C75"/>
    <w:rsid w:val="00A24C5F"/>
    <w:rsid w:val="00A402AD"/>
    <w:rsid w:val="00A530EB"/>
    <w:rsid w:val="00A6132A"/>
    <w:rsid w:val="00AE5B7B"/>
    <w:rsid w:val="00B45376"/>
    <w:rsid w:val="00B53A46"/>
    <w:rsid w:val="00B844F5"/>
    <w:rsid w:val="00B94585"/>
    <w:rsid w:val="00BB7FAC"/>
    <w:rsid w:val="00BD5D09"/>
    <w:rsid w:val="00BD6726"/>
    <w:rsid w:val="00D03A90"/>
    <w:rsid w:val="00D44AF3"/>
    <w:rsid w:val="00D46502"/>
    <w:rsid w:val="00DC5362"/>
    <w:rsid w:val="00E2193D"/>
    <w:rsid w:val="00E333F8"/>
    <w:rsid w:val="00F74FC0"/>
    <w:rsid w:val="00FC0D7E"/>
    <w:rsid w:val="00FC63D7"/>
  </w:rsids>
  <m:mathPr>
    <m:mathFont m:val="Cambria Math"/>
    <m:brkBin m:val="before"/>
    <m:brkBinSub m:val="--"/>
    <m:smallFrac m:val="0"/>
    <m:dispDef/>
    <m:lMargin m:val="0"/>
    <m:rMargin m:val="0"/>
    <m:defJc m:val="centerGroup"/>
    <m:wrapIndent m:val="1440"/>
    <m:intLim m:val="subSup"/>
    <m:naryLim m:val="undOvr"/>
  </m:mathPr>
  <w:themeFontLang w:val="en-BR"/>
  <w:clrSchemeMapping w:bg1="light1" w:t1="dark1" w:bg2="light2" w:t2="dark2" w:accent1="accent1" w:accent2="accent2" w:accent3="accent3" w:accent4="accent4" w:accent5="accent5" w:accent6="accent6" w:hyperlink="hyperlink" w:followedHyperlink="followedHyperlink"/>
  <w:decimalSymbol w:val=","/>
  <w:listSeparator w:val=","/>
  <w14:docId w14:val="643B3CDE"/>
  <w15:chartTrackingRefBased/>
  <w15:docId w15:val="{EE98DB9B-7B04-8A40-B0D0-741463C6E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362"/>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F60D1"/>
    <w:rPr>
      <w:i/>
      <w:iCs/>
    </w:rPr>
  </w:style>
  <w:style w:type="paragraph" w:styleId="ListParagraph">
    <w:name w:val="List Paragraph"/>
    <w:basedOn w:val="Normal"/>
    <w:uiPriority w:val="34"/>
    <w:qFormat/>
    <w:rsid w:val="00DC5362"/>
    <w:pPr>
      <w:ind w:left="720"/>
      <w:contextualSpacing/>
    </w:pPr>
  </w:style>
  <w:style w:type="character" w:styleId="Hyperlink">
    <w:name w:val="Hyperlink"/>
    <w:basedOn w:val="DefaultParagraphFont"/>
    <w:uiPriority w:val="99"/>
    <w:unhideWhenUsed/>
    <w:rsid w:val="00DC5362"/>
    <w:rPr>
      <w:color w:val="0563C1" w:themeColor="hyperlink"/>
      <w:u w:val="single"/>
    </w:rPr>
  </w:style>
  <w:style w:type="character" w:styleId="UnresolvedMention">
    <w:name w:val="Unresolved Mention"/>
    <w:basedOn w:val="DefaultParagraphFont"/>
    <w:uiPriority w:val="99"/>
    <w:semiHidden/>
    <w:unhideWhenUsed/>
    <w:rsid w:val="00DC53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895485">
      <w:bodyDiv w:val="1"/>
      <w:marLeft w:val="0"/>
      <w:marRight w:val="0"/>
      <w:marTop w:val="0"/>
      <w:marBottom w:val="0"/>
      <w:divBdr>
        <w:top w:val="none" w:sz="0" w:space="0" w:color="auto"/>
        <w:left w:val="none" w:sz="0" w:space="0" w:color="auto"/>
        <w:bottom w:val="none" w:sz="0" w:space="0" w:color="auto"/>
        <w:right w:val="none" w:sz="0" w:space="0" w:color="auto"/>
      </w:divBdr>
    </w:div>
    <w:div w:id="1281495567">
      <w:bodyDiv w:val="1"/>
      <w:marLeft w:val="0"/>
      <w:marRight w:val="0"/>
      <w:marTop w:val="0"/>
      <w:marBottom w:val="0"/>
      <w:divBdr>
        <w:top w:val="none" w:sz="0" w:space="0" w:color="auto"/>
        <w:left w:val="none" w:sz="0" w:space="0" w:color="auto"/>
        <w:bottom w:val="none" w:sz="0" w:space="0" w:color="auto"/>
        <w:right w:val="none" w:sz="0" w:space="0" w:color="auto"/>
      </w:divBdr>
    </w:div>
    <w:div w:id="1716805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3389/fmed.2020.0037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419</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 Barros</dc:creator>
  <cp:keywords/>
  <dc:description/>
  <cp:lastModifiedBy>JL Barros</cp:lastModifiedBy>
  <cp:revision>2</cp:revision>
  <dcterms:created xsi:type="dcterms:W3CDTF">2021-08-10T13:51:00Z</dcterms:created>
  <dcterms:modified xsi:type="dcterms:W3CDTF">2021-08-10T14:19:00Z</dcterms:modified>
</cp:coreProperties>
</file>