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FA283" w14:textId="60D3BCDE" w:rsidR="00B324FE" w:rsidRPr="00B324FE" w:rsidRDefault="00B324FE" w:rsidP="00B324F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Name</w:t>
      </w:r>
      <w:r w:rsidRPr="00B324FE">
        <w:rPr>
          <w:rFonts w:ascii="Times New Roman" w:hAnsi="Times New Roman" w:cs="Times New Roman"/>
          <w:sz w:val="24"/>
          <w:szCs w:val="24"/>
        </w:rPr>
        <w:t>:</w:t>
      </w:r>
    </w:p>
    <w:p w14:paraId="7C411CED" w14:textId="1FCB99B0" w:rsidR="00B324FE" w:rsidRPr="00B324FE" w:rsidRDefault="00B324FE" w:rsidP="00B324F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Institution</w:t>
      </w:r>
      <w:r w:rsidRPr="00B324FE">
        <w:rPr>
          <w:rFonts w:ascii="Times New Roman" w:hAnsi="Times New Roman" w:cs="Times New Roman"/>
          <w:sz w:val="24"/>
          <w:szCs w:val="24"/>
        </w:rPr>
        <w:t>:</w:t>
      </w:r>
    </w:p>
    <w:p w14:paraId="1655F503" w14:textId="22170D36" w:rsidR="00B324FE" w:rsidRPr="00B324FE" w:rsidRDefault="00B324FE" w:rsidP="00B324F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Outline on</w:t>
      </w:r>
      <w:r w:rsidR="00BC3128" w:rsidRPr="00B324FE">
        <w:rPr>
          <w:rFonts w:ascii="Times New Roman" w:hAnsi="Times New Roman" w:cs="Times New Roman"/>
          <w:sz w:val="24"/>
          <w:szCs w:val="24"/>
        </w:rPr>
        <w:t xml:space="preserve"> </w:t>
      </w:r>
      <w:r w:rsidRPr="00B324FE">
        <w:rPr>
          <w:rFonts w:ascii="Times New Roman" w:hAnsi="Times New Roman" w:cs="Times New Roman"/>
          <w:sz w:val="24"/>
          <w:szCs w:val="24"/>
        </w:rPr>
        <w:t xml:space="preserve">Trade Policies and Tariffs </w:t>
      </w:r>
    </w:p>
    <w:p w14:paraId="69629121" w14:textId="756113F5" w:rsidR="00B324FE" w:rsidRPr="00B324FE" w:rsidRDefault="00B324FE" w:rsidP="00B324F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1</w:t>
      </w:r>
      <w:r w:rsidRPr="00B324F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B324FE">
        <w:rPr>
          <w:rFonts w:ascii="Times New Roman" w:hAnsi="Times New Roman" w:cs="Times New Roman"/>
          <w:sz w:val="24"/>
          <w:szCs w:val="24"/>
        </w:rPr>
        <w:t xml:space="preserve"> Paragraph </w:t>
      </w:r>
    </w:p>
    <w:p w14:paraId="19A91F0D" w14:textId="5C2044EF" w:rsidR="00B324FE" w:rsidRPr="00B324FE" w:rsidRDefault="00B324FE" w:rsidP="00B324F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Non-monetary benefits of open trade</w:t>
      </w:r>
    </w:p>
    <w:p w14:paraId="5D016CF9" w14:textId="7EFD5B84" w:rsidR="00B324FE" w:rsidRPr="00B324FE" w:rsidRDefault="00B324FE" w:rsidP="00B324F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2</w:t>
      </w:r>
      <w:r w:rsidRPr="00B324FE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B324FE">
        <w:rPr>
          <w:rFonts w:ascii="Times New Roman" w:hAnsi="Times New Roman" w:cs="Times New Roman"/>
          <w:sz w:val="24"/>
          <w:szCs w:val="24"/>
        </w:rPr>
        <w:t xml:space="preserve"> </w:t>
      </w:r>
      <w:r w:rsidRPr="00B324FE">
        <w:rPr>
          <w:rFonts w:ascii="Times New Roman" w:hAnsi="Times New Roman" w:cs="Times New Roman"/>
          <w:sz w:val="24"/>
          <w:szCs w:val="24"/>
        </w:rPr>
        <w:t>Paragraph</w:t>
      </w:r>
    </w:p>
    <w:p w14:paraId="3FCDEEA8" w14:textId="58ACC459" w:rsidR="00B324FE" w:rsidRPr="00B324FE" w:rsidRDefault="00B324FE" w:rsidP="00B324F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Benefits examples</w:t>
      </w:r>
    </w:p>
    <w:p w14:paraId="76F56BA9" w14:textId="448CC4CA" w:rsidR="00B324FE" w:rsidRPr="00B324FE" w:rsidRDefault="00B324FE" w:rsidP="00B324F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3</w:t>
      </w:r>
      <w:r w:rsidRPr="00B324FE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B324FE">
        <w:rPr>
          <w:rFonts w:ascii="Times New Roman" w:hAnsi="Times New Roman" w:cs="Times New Roman"/>
          <w:sz w:val="24"/>
          <w:szCs w:val="24"/>
        </w:rPr>
        <w:t xml:space="preserve"> </w:t>
      </w:r>
      <w:r w:rsidRPr="00B324FE">
        <w:rPr>
          <w:rFonts w:ascii="Times New Roman" w:hAnsi="Times New Roman" w:cs="Times New Roman"/>
          <w:sz w:val="24"/>
          <w:szCs w:val="24"/>
        </w:rPr>
        <w:t>Paragraph</w:t>
      </w:r>
    </w:p>
    <w:p w14:paraId="4DCD0544" w14:textId="67664EB9" w:rsidR="00B324FE" w:rsidRPr="00B324FE" w:rsidRDefault="00B324FE" w:rsidP="00B324F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Changes in U.S. Tariff policies</w:t>
      </w:r>
    </w:p>
    <w:p w14:paraId="5AE70B23" w14:textId="382F6F8C" w:rsidR="00B324FE" w:rsidRPr="00B324FE" w:rsidRDefault="00B324FE" w:rsidP="00B324F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4</w:t>
      </w:r>
      <w:r w:rsidRPr="00B324F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324FE">
        <w:rPr>
          <w:rFonts w:ascii="Times New Roman" w:hAnsi="Times New Roman" w:cs="Times New Roman"/>
          <w:sz w:val="24"/>
          <w:szCs w:val="24"/>
        </w:rPr>
        <w:t xml:space="preserve"> </w:t>
      </w:r>
      <w:r w:rsidRPr="00B324FE">
        <w:rPr>
          <w:rFonts w:ascii="Times New Roman" w:hAnsi="Times New Roman" w:cs="Times New Roman"/>
          <w:sz w:val="24"/>
          <w:szCs w:val="24"/>
        </w:rPr>
        <w:t>Paragraph</w:t>
      </w:r>
    </w:p>
    <w:p w14:paraId="0A16A726" w14:textId="77777777" w:rsidR="00B324FE" w:rsidRPr="00B324FE" w:rsidRDefault="00B324FE" w:rsidP="00B324FE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324FE">
        <w:rPr>
          <w:rFonts w:ascii="Times New Roman" w:hAnsi="Times New Roman" w:cs="Times New Roman"/>
          <w:sz w:val="24"/>
          <w:szCs w:val="24"/>
        </w:rPr>
        <w:t>Economist Opinion</w:t>
      </w:r>
    </w:p>
    <w:p w14:paraId="60A6439E" w14:textId="1B2587D1" w:rsidR="00BC3128" w:rsidRPr="00B324FE" w:rsidRDefault="00BC3128" w:rsidP="00B324F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C3128" w:rsidRPr="00B32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66BA7"/>
    <w:multiLevelType w:val="hybridMultilevel"/>
    <w:tmpl w:val="9F365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51A2F"/>
    <w:multiLevelType w:val="hybridMultilevel"/>
    <w:tmpl w:val="6F6E5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28"/>
    <w:rsid w:val="00952B1E"/>
    <w:rsid w:val="00A57040"/>
    <w:rsid w:val="00B324FE"/>
    <w:rsid w:val="00BC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1A543"/>
  <w15:chartTrackingRefBased/>
  <w15:docId w15:val="{2A1ABD6D-DFB3-46CD-A16F-DB1B6FD8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31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312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32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2021-08-10T23:50:00Z</dcterms:created>
  <dcterms:modified xsi:type="dcterms:W3CDTF">2021-08-11T00:15:00Z</dcterms:modified>
</cp:coreProperties>
</file>