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5A2" w:rsidRDefault="001875A2" w:rsidP="001875A2">
      <w:r>
        <w:t>Name:</w:t>
      </w:r>
    </w:p>
    <w:p w:rsidR="001875A2" w:rsidRDefault="001875A2" w:rsidP="001875A2">
      <w:r>
        <w:t>Instructor:</w:t>
      </w:r>
    </w:p>
    <w:p w:rsidR="001875A2" w:rsidRDefault="001875A2" w:rsidP="001875A2">
      <w:r>
        <w:t>Course:</w:t>
      </w:r>
    </w:p>
    <w:p w:rsidR="001875A2" w:rsidRPr="001875A2" w:rsidRDefault="001875A2" w:rsidP="001875A2">
      <w:r>
        <w:t>Date:</w:t>
      </w:r>
      <w:bookmarkStart w:id="0" w:name="_GoBack"/>
      <w:bookmarkEnd w:id="0"/>
    </w:p>
    <w:p w:rsidR="002F7CEE" w:rsidRDefault="00EF7A7A" w:rsidP="00EF7A7A">
      <w:pPr>
        <w:jc w:val="center"/>
        <w:rPr>
          <w:b/>
        </w:rPr>
      </w:pPr>
      <w:r w:rsidRPr="00EF7A7A">
        <w:rPr>
          <w:b/>
        </w:rPr>
        <w:t>Impact of COVID-19 on the Oil and Gas Industry</w:t>
      </w:r>
    </w:p>
    <w:p w:rsidR="00B64050" w:rsidRDefault="00B64050" w:rsidP="00B64050">
      <w:pPr>
        <w:ind w:firstLine="720"/>
      </w:pPr>
      <w:r>
        <w:t>What’s next for the oil industry as global demand declines by 30 percent and prices fall between 50 85 percent? (</w:t>
      </w:r>
      <w:proofErr w:type="spellStart"/>
      <w:r>
        <w:t>Engebretsen</w:t>
      </w:r>
      <w:proofErr w:type="spellEnd"/>
      <w:r>
        <w:t xml:space="preserve"> and Anderson). The COVID-19 impact on the global oil industry is massive, and the great reduction of the oil demand and prices in the oil market is undeniable. The impact on the global economy remains a concern as large oil trading companies such as Brent crude experienced a significant loss of $11.44 - $33.83 per barrel in the electronic trading market in London (Associated press). The continuous lockdowns and restricted movements in 2021 made things worse as oil demand and prices continued to fall. Major oil-producing nations such as Saudi Arabia, United Arabs Emirates, and Russia incurred significant losses as major oil-dependent nations like China, Korea, and Japan benefitted from the event (Associated press). Developing nations that primarily depended on oil and gas suffered as OPEC reduced production to minimize losses. Nations searched for solutions to address the issue as the impact on the global economy worsened. Restrained oil production by oil-producing nations is an excellent solution to reduced oil prices caused by COVID-19.</w:t>
      </w:r>
    </w:p>
    <w:p w:rsidR="00B64050" w:rsidRDefault="00B64050" w:rsidP="00B64050">
      <w:pPr>
        <w:ind w:firstLine="720"/>
      </w:pPr>
      <w:r>
        <w:t>Restrained oil production lowers the overhead costs for the Organization of the Petroleum Exporting Countries and its partners (OPEC+) countries, thereby leveraging the revenue and profit margins. Lowering oil production capacity will enable OPEC+ nations to reduce overhead expenses for every barrel of crude oil produced (</w:t>
      </w:r>
      <w:proofErr w:type="spellStart"/>
      <w:r>
        <w:t>Engebretsen</w:t>
      </w:r>
      <w:proofErr w:type="spellEnd"/>
      <w:r>
        <w:t xml:space="preserve"> and Anderson). Even if the unit </w:t>
      </w:r>
      <w:r>
        <w:lastRenderedPageBreak/>
        <w:t>cost of an oil barrel remains the same and the production cost is lowered, the organization will still accrue profits as intended. The reduced production will lower the expenses incurred in production, thereby eliminating the need to set prices higher to acquire profits (</w:t>
      </w:r>
      <w:proofErr w:type="spellStart"/>
      <w:r>
        <w:t>Engebretsen</w:t>
      </w:r>
      <w:proofErr w:type="spellEnd"/>
      <w:r>
        <w:t xml:space="preserve"> and Anderson). In fact, the reduced overhead costs may result in slightly reduced oil prices. If this occurs, the sales increase as more </w:t>
      </w:r>
      <w:proofErr w:type="gramStart"/>
      <w:r>
        <w:t>customers</w:t>
      </w:r>
      <w:proofErr w:type="gramEnd"/>
      <w:r>
        <w:t xml:space="preserve"> rushes to make the purchase while the prices are still low. Countries such as the United States and China are likely to take advantage of the situation and make huge purchases to store some in the form of oil reserves for future use if a global economic crisis is experienced in the future. As countries make huge purchases, the sales increase, thus increasing the overall revenue and profit margins (Gil-Alana and </w:t>
      </w:r>
      <w:proofErr w:type="spellStart"/>
      <w:r>
        <w:t>Monge</w:t>
      </w:r>
      <w:proofErr w:type="spellEnd"/>
      <w:r>
        <w:t>). The huge purchases also increase the demand as production remains low, enabling the OPEC+ countries to have control over the oil prices.</w:t>
      </w:r>
    </w:p>
    <w:p w:rsidR="00B64050" w:rsidRDefault="00B64050" w:rsidP="00B64050">
      <w:pPr>
        <w:ind w:firstLine="720"/>
      </w:pPr>
      <w:r>
        <w:t xml:space="preserve">Restraining oil production increases the oil prices, prompting nations to make deals with OPEC+ to set fixed oil prices for present and future times, giving the oil-producing nations a better opportunity to set a higher price. The COVID-19 has significantly affected the global economy and oil prices in particular, and the future remains uncertain because similar events may be experienced. If the OPEC+ decides to restrain the oil and natural gas production, the demand may go down, and prices are likely to increase even higher in the future (Gil-Alana and </w:t>
      </w:r>
      <w:proofErr w:type="spellStart"/>
      <w:r>
        <w:t>Monge</w:t>
      </w:r>
      <w:proofErr w:type="spellEnd"/>
      <w:r>
        <w:t xml:space="preserve">). Nations like China and Japan that hugely depend on oil and natural gas are likely to make an agreement with OPEC+ to set fixed oil prices for a longer period of time to help them stabilize the cost of acquiring oil and natural gas presently and in the future (Fu and Shen). This move gives the oil-producing nations a better opportunity to set good oil prices and maintain the price even if the global oil prices plunge in the future. In such an instance, the oil prices increase </w:t>
      </w:r>
      <w:r>
        <w:lastRenderedPageBreak/>
        <w:t>and help address issues involving reduced oil prices like the current one. Interestingly, the prices remain high even if the future prices decline again, thereby addressing potential future risks.</w:t>
      </w:r>
    </w:p>
    <w:p w:rsidR="00B64050" w:rsidRDefault="00B64050" w:rsidP="00B64050">
      <w:pPr>
        <w:ind w:firstLine="720"/>
      </w:pPr>
      <w:r>
        <w:t xml:space="preserve">Restrained oil production reduces the quantity of the market supply, thereby increasing the demand and increasing the market prices. As the supply reduces, the competition for the available stock rises, increasing market demand (Nagle and </w:t>
      </w:r>
      <w:proofErr w:type="spellStart"/>
      <w:r>
        <w:t>Temaj</w:t>
      </w:r>
      <w:proofErr w:type="spellEnd"/>
      <w:r>
        <w:t xml:space="preserve">). The increased market demand offers OPEC+ a greater opportunity to increase the oil prices. Organizations such as Brent crude incurred mega losses because of maintaining the production rate, yet the demand had declined. There is a need to lower the production capacity below the market demand, which will significantly increase the price. More nations will be in great need of acquiring oil and gas to meet their economic needs, creating stiff competition to acquire the product. Major oil and oil products dependents such as China, Japan, Korea, and developing nations will double their demands to meet present and future needs, offering a better opportunity to increase the oil prices (Nagle and </w:t>
      </w:r>
      <w:proofErr w:type="spellStart"/>
      <w:r>
        <w:t>Temaj</w:t>
      </w:r>
      <w:proofErr w:type="spellEnd"/>
      <w:r>
        <w:t>). In the long run, the oil prices will increase, thereby addressing the issue of reduced prices of oil and natural gas due to the COVID-19 impact.</w:t>
      </w:r>
    </w:p>
    <w:p w:rsidR="00105060" w:rsidRDefault="00B64050" w:rsidP="00B64050">
      <w:pPr>
        <w:ind w:firstLine="720"/>
      </w:pPr>
      <w:r>
        <w:t xml:space="preserve">In conclusion, restrained oil production by oil-producing countries serves as a perfect solution to the reduced oil and natural gas prices caused by COVID-19. Restraining the production reduces the overhead costs for OPEC+ nations, enabling them to maintain or increase revenue and profit margins. The reduced operation expenses balance the cost and benefit, thus helping to solve the issue of reduced oil prices caused by COVID-19. Restraining the production quantity increases the prices, causing nations to shift to oil price-fixing strategy. The strategic price-fixing move gives OPEC+ a better opportunity to increase the oil prices and maintain the high prices even if the global economy experiences a similar pandemic in the future. More importantly, restraining the production lowers the market supply, increasing market demand. The </w:t>
      </w:r>
      <w:r>
        <w:lastRenderedPageBreak/>
        <w:t>increased demand enables OPEC+ to increase the oil and natural gas prices, thus increasing the revenue and profit margin.</w:t>
      </w:r>
    </w:p>
    <w:p w:rsidR="00105060" w:rsidRDefault="00105060">
      <w:r>
        <w:br w:type="page"/>
      </w:r>
    </w:p>
    <w:p w:rsidR="00105060" w:rsidRDefault="00105060" w:rsidP="00105060">
      <w:pPr>
        <w:ind w:left="720" w:hanging="720"/>
        <w:jc w:val="center"/>
        <w:rPr>
          <w:b/>
        </w:rPr>
      </w:pPr>
      <w:r w:rsidRPr="00105060">
        <w:rPr>
          <w:b/>
        </w:rPr>
        <w:lastRenderedPageBreak/>
        <w:t>Works Cited</w:t>
      </w:r>
    </w:p>
    <w:p w:rsidR="00CD22D4" w:rsidRDefault="00CD22D4" w:rsidP="00E671BF">
      <w:pPr>
        <w:ind w:left="720" w:hanging="720"/>
        <w:rPr>
          <w:bCs/>
        </w:rPr>
      </w:pPr>
      <w:r>
        <w:t>Associated press. “</w:t>
      </w:r>
      <w:r w:rsidRPr="00E671BF">
        <w:rPr>
          <w:bCs/>
        </w:rPr>
        <w:t>Oil plunges 25% as another virus-fueled trading week begins</w:t>
      </w:r>
      <w:r>
        <w:rPr>
          <w:bCs/>
        </w:rPr>
        <w:t xml:space="preserve">.” </w:t>
      </w:r>
      <w:r>
        <w:rPr>
          <w:bCs/>
          <w:i/>
        </w:rPr>
        <w:t>Pbs.org.</w:t>
      </w:r>
      <w:r>
        <w:rPr>
          <w:bCs/>
        </w:rPr>
        <w:t xml:space="preserve"> (2020). </w:t>
      </w:r>
      <w:hyperlink r:id="rId6" w:history="1">
        <w:r w:rsidRPr="00896344">
          <w:rPr>
            <w:rStyle w:val="Hyperlink"/>
            <w:bCs/>
            <w:u w:val="none"/>
          </w:rPr>
          <w:t>https://www.pbs.org/newshour/economy/oil-plunges-20-as-another-virus-fueled-trading-week-begins</w:t>
        </w:r>
      </w:hyperlink>
      <w:r>
        <w:rPr>
          <w:bCs/>
        </w:rPr>
        <w:t xml:space="preserve"> </w:t>
      </w:r>
    </w:p>
    <w:p w:rsidR="00CD22D4" w:rsidRDefault="00CD22D4" w:rsidP="00E671BF">
      <w:pPr>
        <w:ind w:left="720" w:hanging="720"/>
        <w:rPr>
          <w:bCs/>
        </w:rPr>
      </w:pPr>
      <w:proofErr w:type="spellStart"/>
      <w:r w:rsidRPr="002E7907">
        <w:rPr>
          <w:bCs/>
        </w:rPr>
        <w:t>Engebretsen</w:t>
      </w:r>
      <w:proofErr w:type="spellEnd"/>
      <w:r w:rsidRPr="002E7907">
        <w:rPr>
          <w:bCs/>
        </w:rPr>
        <w:t>, R., and C. Anderson. "The Impact of Coronavirus (COVID-19) and the Global Oil Price Shock on the Fiscal Position of oil-Exporting Developing Countries." </w:t>
      </w:r>
      <w:r w:rsidRPr="002E7907">
        <w:rPr>
          <w:bCs/>
          <w:i/>
          <w:iCs/>
        </w:rPr>
        <w:t>OECD</w:t>
      </w:r>
      <w:r w:rsidRPr="002E7907">
        <w:rPr>
          <w:bCs/>
        </w:rPr>
        <w:t> (2020): 1-18.</w:t>
      </w:r>
      <w:r>
        <w:rPr>
          <w:bCs/>
        </w:rPr>
        <w:t xml:space="preserve"> </w:t>
      </w:r>
    </w:p>
    <w:p w:rsidR="00CD22D4" w:rsidRPr="00370409" w:rsidRDefault="00CD22D4" w:rsidP="0017088E">
      <w:pPr>
        <w:ind w:left="720" w:right="75" w:hanging="720"/>
        <w:rPr>
          <w:rFonts w:eastAsia="Times New Roman"/>
          <w:lang w:val="en-ZW" w:eastAsia="en-ZW"/>
        </w:rPr>
      </w:pPr>
      <w:r w:rsidRPr="0017088E">
        <w:t xml:space="preserve">Fu, </w:t>
      </w:r>
      <w:proofErr w:type="spellStart"/>
      <w:r w:rsidRPr="0017088E">
        <w:t>Mengyao</w:t>
      </w:r>
      <w:proofErr w:type="spellEnd"/>
      <w:r w:rsidRPr="0017088E">
        <w:t xml:space="preserve">, and </w:t>
      </w:r>
      <w:proofErr w:type="spellStart"/>
      <w:r w:rsidRPr="0017088E">
        <w:t>Huayu</w:t>
      </w:r>
      <w:proofErr w:type="spellEnd"/>
      <w:r w:rsidRPr="0017088E">
        <w:t xml:space="preserve"> Shen. "COVID-19 and corporate performance in the energy industry." </w:t>
      </w:r>
      <w:r w:rsidRPr="0017088E">
        <w:rPr>
          <w:i/>
          <w:iCs/>
        </w:rPr>
        <w:t>Energy Research Letters</w:t>
      </w:r>
      <w:r w:rsidRPr="0017088E">
        <w:t> 1.1 (2020): 12967.</w:t>
      </w:r>
      <w:r>
        <w:t xml:space="preserve"> </w:t>
      </w:r>
    </w:p>
    <w:p w:rsidR="00CD22D4" w:rsidRDefault="00CD22D4" w:rsidP="00E671BF">
      <w:pPr>
        <w:ind w:left="720" w:hanging="720"/>
        <w:rPr>
          <w:bCs/>
        </w:rPr>
      </w:pPr>
      <w:r w:rsidRPr="006D2E00">
        <w:rPr>
          <w:bCs/>
        </w:rPr>
        <w:t xml:space="preserve">Gil-Alana, Luis A., and Manuel </w:t>
      </w:r>
      <w:proofErr w:type="spellStart"/>
      <w:r w:rsidRPr="006D2E00">
        <w:rPr>
          <w:bCs/>
        </w:rPr>
        <w:t>Monge</w:t>
      </w:r>
      <w:proofErr w:type="spellEnd"/>
      <w:r w:rsidRPr="006D2E00">
        <w:rPr>
          <w:bCs/>
        </w:rPr>
        <w:t>. "Crude oil prices and COVID-19: Persistence of the shock." </w:t>
      </w:r>
      <w:r w:rsidRPr="006D2E00">
        <w:rPr>
          <w:bCs/>
          <w:i/>
          <w:iCs/>
        </w:rPr>
        <w:t>Energy Research Letters</w:t>
      </w:r>
      <w:r w:rsidRPr="006D2E00">
        <w:rPr>
          <w:bCs/>
        </w:rPr>
        <w:t> 1.1 (2020): 13200.</w:t>
      </w:r>
      <w:r>
        <w:rPr>
          <w:bCs/>
        </w:rPr>
        <w:t xml:space="preserve"> </w:t>
      </w:r>
      <w:hyperlink r:id="rId7" w:history="1">
        <w:r w:rsidRPr="004C6F0F">
          <w:rPr>
            <w:rStyle w:val="Hyperlink"/>
            <w:bCs/>
            <w:u w:val="none"/>
          </w:rPr>
          <w:t>https://pdfs.semanticscholar.org/2b25/7347acc1b20654810298b2fbb3504eb66e6b.pdf</w:t>
        </w:r>
      </w:hyperlink>
      <w:r>
        <w:rPr>
          <w:bCs/>
        </w:rPr>
        <w:t xml:space="preserve"> </w:t>
      </w:r>
    </w:p>
    <w:p w:rsidR="00CD22D4" w:rsidRDefault="00CD22D4" w:rsidP="006A2ECE">
      <w:pPr>
        <w:ind w:left="720" w:hanging="720"/>
        <w:rPr>
          <w:bCs/>
        </w:rPr>
      </w:pPr>
      <w:r>
        <w:rPr>
          <w:bCs/>
        </w:rPr>
        <w:t xml:space="preserve">Nagle, Peter and </w:t>
      </w:r>
      <w:proofErr w:type="spellStart"/>
      <w:r>
        <w:rPr>
          <w:bCs/>
        </w:rPr>
        <w:t>Kaltrina</w:t>
      </w:r>
      <w:proofErr w:type="spellEnd"/>
      <w:r>
        <w:rPr>
          <w:bCs/>
        </w:rPr>
        <w:t xml:space="preserve"> </w:t>
      </w:r>
      <w:proofErr w:type="spellStart"/>
      <w:r>
        <w:rPr>
          <w:bCs/>
        </w:rPr>
        <w:t>Temaj</w:t>
      </w:r>
      <w:proofErr w:type="spellEnd"/>
      <w:r>
        <w:rPr>
          <w:bCs/>
        </w:rPr>
        <w:t>. “</w:t>
      </w:r>
      <w:r w:rsidRPr="006A2ECE">
        <w:rPr>
          <w:bCs/>
        </w:rPr>
        <w:t>Oil market developments—rising prices amid broader surge in energy prices</w:t>
      </w:r>
      <w:r>
        <w:rPr>
          <w:bCs/>
        </w:rPr>
        <w:t>.”</w:t>
      </w:r>
      <w:r>
        <w:rPr>
          <w:bCs/>
          <w:i/>
        </w:rPr>
        <w:t xml:space="preserve"> World Bank blogs.</w:t>
      </w:r>
      <w:r>
        <w:rPr>
          <w:bCs/>
        </w:rPr>
        <w:t xml:space="preserve"> (2021). </w:t>
      </w:r>
      <w:hyperlink r:id="rId8" w:history="1">
        <w:r w:rsidRPr="00020451">
          <w:rPr>
            <w:rStyle w:val="Hyperlink"/>
            <w:bCs/>
            <w:u w:val="none"/>
          </w:rPr>
          <w:t>https://blogs.worldbank.org/opendata/oil-market-developments-rising-prices-amid-broader-surge-energy-prices</w:t>
        </w:r>
      </w:hyperlink>
      <w:r w:rsidRPr="00020451">
        <w:rPr>
          <w:bCs/>
        </w:rPr>
        <w:t xml:space="preserve"> </w:t>
      </w:r>
    </w:p>
    <w:sectPr w:rsidR="00CD22D4">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78BC" w:rsidRDefault="007078BC" w:rsidP="006F1E25">
      <w:pPr>
        <w:spacing w:after="0" w:line="240" w:lineRule="auto"/>
      </w:pPr>
      <w:r>
        <w:separator/>
      </w:r>
    </w:p>
  </w:endnote>
  <w:endnote w:type="continuationSeparator" w:id="0">
    <w:p w:rsidR="007078BC" w:rsidRDefault="007078BC" w:rsidP="006F1E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78BC" w:rsidRDefault="007078BC" w:rsidP="006F1E25">
      <w:pPr>
        <w:spacing w:after="0" w:line="240" w:lineRule="auto"/>
      </w:pPr>
      <w:r>
        <w:separator/>
      </w:r>
    </w:p>
  </w:footnote>
  <w:footnote w:type="continuationSeparator" w:id="0">
    <w:p w:rsidR="007078BC" w:rsidRDefault="007078BC" w:rsidP="006F1E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1600906"/>
      <w:docPartObj>
        <w:docPartGallery w:val="Page Numbers (Top of Page)"/>
        <w:docPartUnique/>
      </w:docPartObj>
    </w:sdtPr>
    <w:sdtEndPr>
      <w:rPr>
        <w:noProof/>
      </w:rPr>
    </w:sdtEndPr>
    <w:sdtContent>
      <w:p w:rsidR="006F1E25" w:rsidRDefault="006F1E25">
        <w:pPr>
          <w:pStyle w:val="Header"/>
          <w:jc w:val="right"/>
        </w:pPr>
        <w:r>
          <w:t xml:space="preserve">Last name </w:t>
        </w:r>
        <w:r>
          <w:fldChar w:fldCharType="begin"/>
        </w:r>
        <w:r>
          <w:instrText xml:space="preserve"> PAGE   \* MERGEFORMAT </w:instrText>
        </w:r>
        <w:r>
          <w:fldChar w:fldCharType="separate"/>
        </w:r>
        <w:r>
          <w:rPr>
            <w:noProof/>
          </w:rPr>
          <w:t>5</w:t>
        </w:r>
        <w:r>
          <w:rPr>
            <w:noProof/>
          </w:rPr>
          <w:fldChar w:fldCharType="end"/>
        </w:r>
      </w:p>
    </w:sdtContent>
  </w:sdt>
  <w:p w:rsidR="006F1E25" w:rsidRDefault="006F1E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71B"/>
    <w:rsid w:val="0001288F"/>
    <w:rsid w:val="00014312"/>
    <w:rsid w:val="00020451"/>
    <w:rsid w:val="000302A8"/>
    <w:rsid w:val="00050C02"/>
    <w:rsid w:val="000C2298"/>
    <w:rsid w:val="000C6575"/>
    <w:rsid w:val="000E708C"/>
    <w:rsid w:val="00105060"/>
    <w:rsid w:val="0017088E"/>
    <w:rsid w:val="00186689"/>
    <w:rsid w:val="001875A2"/>
    <w:rsid w:val="0020761E"/>
    <w:rsid w:val="002559A2"/>
    <w:rsid w:val="00271398"/>
    <w:rsid w:val="002872B1"/>
    <w:rsid w:val="002E7907"/>
    <w:rsid w:val="002F400F"/>
    <w:rsid w:val="002F7CEE"/>
    <w:rsid w:val="0032323C"/>
    <w:rsid w:val="00327D6C"/>
    <w:rsid w:val="003614E3"/>
    <w:rsid w:val="00370409"/>
    <w:rsid w:val="00380DB1"/>
    <w:rsid w:val="00382991"/>
    <w:rsid w:val="00392092"/>
    <w:rsid w:val="003A7FF1"/>
    <w:rsid w:val="003D75DF"/>
    <w:rsid w:val="003F4D52"/>
    <w:rsid w:val="00467AF7"/>
    <w:rsid w:val="00467CE3"/>
    <w:rsid w:val="00482859"/>
    <w:rsid w:val="004857FF"/>
    <w:rsid w:val="004A5AAE"/>
    <w:rsid w:val="004B671C"/>
    <w:rsid w:val="004C6F0F"/>
    <w:rsid w:val="004F2420"/>
    <w:rsid w:val="004F461F"/>
    <w:rsid w:val="005179D0"/>
    <w:rsid w:val="00526FDC"/>
    <w:rsid w:val="005407E3"/>
    <w:rsid w:val="00542BE9"/>
    <w:rsid w:val="00555316"/>
    <w:rsid w:val="00563AAA"/>
    <w:rsid w:val="005805B0"/>
    <w:rsid w:val="00591F9D"/>
    <w:rsid w:val="00592D5B"/>
    <w:rsid w:val="005A6969"/>
    <w:rsid w:val="005B1557"/>
    <w:rsid w:val="005C5A1A"/>
    <w:rsid w:val="005F179A"/>
    <w:rsid w:val="0063457F"/>
    <w:rsid w:val="00642300"/>
    <w:rsid w:val="006546C2"/>
    <w:rsid w:val="006730D9"/>
    <w:rsid w:val="00673EB8"/>
    <w:rsid w:val="0069371B"/>
    <w:rsid w:val="006971FD"/>
    <w:rsid w:val="006A2ECE"/>
    <w:rsid w:val="006D2598"/>
    <w:rsid w:val="006D2E00"/>
    <w:rsid w:val="006F1E25"/>
    <w:rsid w:val="006F4090"/>
    <w:rsid w:val="007078BC"/>
    <w:rsid w:val="0071435F"/>
    <w:rsid w:val="00720235"/>
    <w:rsid w:val="00732287"/>
    <w:rsid w:val="0076751B"/>
    <w:rsid w:val="00770027"/>
    <w:rsid w:val="00782FC5"/>
    <w:rsid w:val="00783FE7"/>
    <w:rsid w:val="00784364"/>
    <w:rsid w:val="007E5C20"/>
    <w:rsid w:val="00884D19"/>
    <w:rsid w:val="00896344"/>
    <w:rsid w:val="008A0296"/>
    <w:rsid w:val="008A1CD0"/>
    <w:rsid w:val="008A2719"/>
    <w:rsid w:val="008C15BF"/>
    <w:rsid w:val="0095537D"/>
    <w:rsid w:val="00961657"/>
    <w:rsid w:val="009752AD"/>
    <w:rsid w:val="009958A4"/>
    <w:rsid w:val="009A67AB"/>
    <w:rsid w:val="009C5628"/>
    <w:rsid w:val="00A11162"/>
    <w:rsid w:val="00A15A3C"/>
    <w:rsid w:val="00A31D78"/>
    <w:rsid w:val="00AD0816"/>
    <w:rsid w:val="00AD1521"/>
    <w:rsid w:val="00AE72E9"/>
    <w:rsid w:val="00AF3484"/>
    <w:rsid w:val="00AF5A81"/>
    <w:rsid w:val="00AF6E89"/>
    <w:rsid w:val="00B14A0F"/>
    <w:rsid w:val="00B35C32"/>
    <w:rsid w:val="00B64050"/>
    <w:rsid w:val="00B66808"/>
    <w:rsid w:val="00BF16F9"/>
    <w:rsid w:val="00C14C04"/>
    <w:rsid w:val="00C23D9D"/>
    <w:rsid w:val="00C23F76"/>
    <w:rsid w:val="00C3276A"/>
    <w:rsid w:val="00C52C60"/>
    <w:rsid w:val="00CA0791"/>
    <w:rsid w:val="00CA7257"/>
    <w:rsid w:val="00CB6D02"/>
    <w:rsid w:val="00CD22D4"/>
    <w:rsid w:val="00D00AD9"/>
    <w:rsid w:val="00D022C8"/>
    <w:rsid w:val="00D23E9D"/>
    <w:rsid w:val="00D676F5"/>
    <w:rsid w:val="00D716A8"/>
    <w:rsid w:val="00D71F5E"/>
    <w:rsid w:val="00DA46BE"/>
    <w:rsid w:val="00DB7A2D"/>
    <w:rsid w:val="00DE0061"/>
    <w:rsid w:val="00E022E8"/>
    <w:rsid w:val="00E1355D"/>
    <w:rsid w:val="00E271E2"/>
    <w:rsid w:val="00E52B65"/>
    <w:rsid w:val="00E671BF"/>
    <w:rsid w:val="00E679A9"/>
    <w:rsid w:val="00E76F12"/>
    <w:rsid w:val="00E93EF3"/>
    <w:rsid w:val="00EC3C2A"/>
    <w:rsid w:val="00EF7A7A"/>
    <w:rsid w:val="00F14931"/>
    <w:rsid w:val="00F164F7"/>
    <w:rsid w:val="00F472E9"/>
    <w:rsid w:val="00F51FE4"/>
    <w:rsid w:val="00FA4829"/>
    <w:rsid w:val="00FD0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D9F06C-4389-4580-B105-909A0C7CF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671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71B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4A5AAE"/>
    <w:rPr>
      <w:color w:val="0563C1" w:themeColor="hyperlink"/>
      <w:u w:val="single"/>
    </w:rPr>
  </w:style>
  <w:style w:type="paragraph" w:styleId="Header">
    <w:name w:val="header"/>
    <w:basedOn w:val="Normal"/>
    <w:link w:val="HeaderChar"/>
    <w:uiPriority w:val="99"/>
    <w:unhideWhenUsed/>
    <w:rsid w:val="006F1E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1E25"/>
  </w:style>
  <w:style w:type="paragraph" w:styleId="Footer">
    <w:name w:val="footer"/>
    <w:basedOn w:val="Normal"/>
    <w:link w:val="FooterChar"/>
    <w:uiPriority w:val="99"/>
    <w:unhideWhenUsed/>
    <w:rsid w:val="006F1E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1E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130437">
      <w:bodyDiv w:val="1"/>
      <w:marLeft w:val="0"/>
      <w:marRight w:val="0"/>
      <w:marTop w:val="0"/>
      <w:marBottom w:val="0"/>
      <w:divBdr>
        <w:top w:val="none" w:sz="0" w:space="0" w:color="auto"/>
        <w:left w:val="none" w:sz="0" w:space="0" w:color="auto"/>
        <w:bottom w:val="none" w:sz="0" w:space="0" w:color="auto"/>
        <w:right w:val="none" w:sz="0" w:space="0" w:color="auto"/>
      </w:divBdr>
    </w:div>
    <w:div w:id="746420852">
      <w:bodyDiv w:val="1"/>
      <w:marLeft w:val="0"/>
      <w:marRight w:val="0"/>
      <w:marTop w:val="0"/>
      <w:marBottom w:val="0"/>
      <w:divBdr>
        <w:top w:val="none" w:sz="0" w:space="0" w:color="auto"/>
        <w:left w:val="none" w:sz="0" w:space="0" w:color="auto"/>
        <w:bottom w:val="none" w:sz="0" w:space="0" w:color="auto"/>
        <w:right w:val="none" w:sz="0" w:space="0" w:color="auto"/>
      </w:divBdr>
    </w:div>
    <w:div w:id="1516075187">
      <w:bodyDiv w:val="1"/>
      <w:marLeft w:val="0"/>
      <w:marRight w:val="0"/>
      <w:marTop w:val="0"/>
      <w:marBottom w:val="0"/>
      <w:divBdr>
        <w:top w:val="none" w:sz="0" w:space="0" w:color="auto"/>
        <w:left w:val="none" w:sz="0" w:space="0" w:color="auto"/>
        <w:bottom w:val="none" w:sz="0" w:space="0" w:color="auto"/>
        <w:right w:val="none" w:sz="0" w:space="0" w:color="auto"/>
      </w:divBdr>
    </w:div>
    <w:div w:id="1810174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s.worldbank.org/opendata/oil-market-developments-rising-prices-amid-broader-surge-energy-prices" TargetMode="External"/><Relationship Id="rId3" Type="http://schemas.openxmlformats.org/officeDocument/2006/relationships/webSettings" Target="webSettings.xml"/><Relationship Id="rId7" Type="http://schemas.openxmlformats.org/officeDocument/2006/relationships/hyperlink" Target="https://pdfs.semanticscholar.org/2b25/7347acc1b20654810298b2fbb3504eb66e6b.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bs.org/newshour/economy/oil-plunges-20-as-another-virus-fueled-trading-week-begin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5</Pages>
  <Words>1081</Words>
  <Characters>6166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145</cp:revision>
  <dcterms:created xsi:type="dcterms:W3CDTF">2021-12-07T04:42:00Z</dcterms:created>
  <dcterms:modified xsi:type="dcterms:W3CDTF">2021-12-07T09:08:00Z</dcterms:modified>
</cp:coreProperties>
</file>