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838F9E" w14:textId="77777777" w:rsidR="009D577C" w:rsidRDefault="009D577C" w:rsidP="00951D7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D2976F0" w14:textId="77777777" w:rsidR="009D577C" w:rsidRDefault="009D577C" w:rsidP="00951D7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C4CD86" w14:textId="77777777" w:rsidR="009D577C" w:rsidRDefault="009D577C" w:rsidP="00951D7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0D5CBB" w14:textId="77777777" w:rsidR="009D577C" w:rsidRDefault="009D577C" w:rsidP="00951D7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AB3D9D" w14:textId="77777777" w:rsidR="009D577C" w:rsidRDefault="009D577C" w:rsidP="00951D7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4758C96" w14:textId="6AE9F946" w:rsidR="00951D72" w:rsidRDefault="00951D72" w:rsidP="00951D7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Bond Index and Bond Portfolio</w:t>
      </w:r>
    </w:p>
    <w:p w14:paraId="4C755B8A" w14:textId="4D459E04" w:rsidR="00951D72" w:rsidRDefault="00951D72" w:rsidP="00951D7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CBD3FA" w14:textId="491EB3FB" w:rsidR="00951D72" w:rsidRPr="00951D72" w:rsidRDefault="00951D72" w:rsidP="00951D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1D72">
        <w:rPr>
          <w:rFonts w:ascii="Times New Roman" w:hAnsi="Times New Roman" w:cs="Times New Roman"/>
          <w:sz w:val="24"/>
          <w:szCs w:val="24"/>
        </w:rPr>
        <w:t>Student Name</w:t>
      </w:r>
    </w:p>
    <w:p w14:paraId="39EB6FF0" w14:textId="337CA31B" w:rsidR="00951D72" w:rsidRPr="00951D72" w:rsidRDefault="009D577C" w:rsidP="00951D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University </w:t>
      </w:r>
    </w:p>
    <w:p w14:paraId="73DFEAE3" w14:textId="7C4843C2" w:rsidR="00951D72" w:rsidRPr="00951D72" w:rsidRDefault="00951D72" w:rsidP="00951D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1D72">
        <w:rPr>
          <w:rFonts w:ascii="Times New Roman" w:hAnsi="Times New Roman" w:cs="Times New Roman"/>
          <w:sz w:val="24"/>
          <w:szCs w:val="24"/>
        </w:rPr>
        <w:t>Professor</w:t>
      </w:r>
    </w:p>
    <w:p w14:paraId="7B5C58F7" w14:textId="17E02BBD" w:rsidR="00951D72" w:rsidRPr="00951D72" w:rsidRDefault="00951D72" w:rsidP="00951D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51D72">
        <w:rPr>
          <w:rFonts w:ascii="Times New Roman" w:hAnsi="Times New Roman" w:cs="Times New Roman"/>
          <w:sz w:val="24"/>
          <w:szCs w:val="24"/>
        </w:rPr>
        <w:t>Course</w:t>
      </w:r>
    </w:p>
    <w:p w14:paraId="0DFA9E19" w14:textId="71372095" w:rsidR="00951D72" w:rsidRDefault="00951D72" w:rsidP="00951D7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1D72">
        <w:rPr>
          <w:rFonts w:ascii="Times New Roman" w:hAnsi="Times New Roman" w:cs="Times New Roman"/>
          <w:sz w:val="24"/>
          <w:szCs w:val="24"/>
        </w:rPr>
        <w:t>Date</w:t>
      </w:r>
    </w:p>
    <w:p w14:paraId="637D5157" w14:textId="0271FB19" w:rsidR="00951D72" w:rsidRDefault="00951D72" w:rsidP="00951D7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ECD3B8A" w14:textId="77777777" w:rsidR="00951D72" w:rsidRDefault="00951D72" w:rsidP="00951D7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Bond Index and Bond Portfolio</w:t>
      </w:r>
    </w:p>
    <w:p w14:paraId="00BD27FD" w14:textId="179C9562" w:rsidR="00503127" w:rsidRPr="005C468A" w:rsidRDefault="00503127" w:rsidP="009D6E7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C468A">
        <w:rPr>
          <w:rFonts w:ascii="Times New Roman" w:hAnsi="Times New Roman" w:cs="Times New Roman"/>
          <w:b/>
          <w:bCs/>
          <w:sz w:val="24"/>
          <w:szCs w:val="24"/>
        </w:rPr>
        <w:t>Investment objectives for Fixed-income Portfolio</w:t>
      </w:r>
    </w:p>
    <w:p w14:paraId="4773BF47" w14:textId="4F8A0FD6" w:rsidR="00503127" w:rsidRPr="005C468A" w:rsidRDefault="00657272" w:rsidP="009D577C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C468A">
        <w:rPr>
          <w:rFonts w:ascii="Times New Roman" w:hAnsi="Times New Roman" w:cs="Times New Roman"/>
          <w:sz w:val="24"/>
          <w:szCs w:val="24"/>
        </w:rPr>
        <w:t xml:space="preserve">The three main investment objectives for a fixed income portfolio are Income, safety and growth.  Investor put their money in treasury bonds to secure their funds since the risk involved in investing in </w:t>
      </w:r>
      <w:r w:rsidR="00503127" w:rsidRPr="005C468A">
        <w:rPr>
          <w:rFonts w:ascii="Times New Roman" w:hAnsi="Times New Roman" w:cs="Times New Roman"/>
          <w:sz w:val="24"/>
          <w:szCs w:val="24"/>
        </w:rPr>
        <w:t>these types</w:t>
      </w:r>
      <w:r w:rsidRPr="005C468A">
        <w:rPr>
          <w:rFonts w:ascii="Times New Roman" w:hAnsi="Times New Roman" w:cs="Times New Roman"/>
          <w:sz w:val="24"/>
          <w:szCs w:val="24"/>
        </w:rPr>
        <w:t xml:space="preserve"> </w:t>
      </w:r>
      <w:r w:rsidR="00503127" w:rsidRPr="005C468A">
        <w:rPr>
          <w:rFonts w:ascii="Times New Roman" w:hAnsi="Times New Roman" w:cs="Times New Roman"/>
          <w:sz w:val="24"/>
          <w:szCs w:val="24"/>
        </w:rPr>
        <w:t>of investment is low and the safety of their funds is guaranteed</w:t>
      </w:r>
      <w:r w:rsidR="005C468A">
        <w:rPr>
          <w:rFonts w:ascii="Times New Roman" w:hAnsi="Times New Roman" w:cs="Times New Roman"/>
          <w:sz w:val="24"/>
          <w:szCs w:val="24"/>
        </w:rPr>
        <w:t xml:space="preserve"> (Campbell, 2020).</w:t>
      </w:r>
      <w:r w:rsidR="009D6E72" w:rsidRPr="005C468A">
        <w:rPr>
          <w:rFonts w:ascii="Times New Roman" w:hAnsi="Times New Roman" w:cs="Times New Roman"/>
          <w:sz w:val="24"/>
          <w:szCs w:val="24"/>
        </w:rPr>
        <w:t xml:space="preserve"> </w:t>
      </w:r>
      <w:r w:rsidR="00503127" w:rsidRPr="005C468A">
        <w:rPr>
          <w:rFonts w:ascii="Times New Roman" w:hAnsi="Times New Roman" w:cs="Times New Roman"/>
          <w:sz w:val="24"/>
          <w:szCs w:val="24"/>
        </w:rPr>
        <w:t>Another investment objective is income where investors seek for steady income supplement. Investors whose objectives are an income supplement are willing to accept a higher risk relative to those whose investment objective is safety. The other investment objective is capital growth.</w:t>
      </w:r>
    </w:p>
    <w:p w14:paraId="7EDA501D" w14:textId="57C0FC10" w:rsidR="00503127" w:rsidRPr="005C468A" w:rsidRDefault="00503127" w:rsidP="009D6E7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C468A">
        <w:rPr>
          <w:rFonts w:ascii="Times New Roman" w:hAnsi="Times New Roman" w:cs="Times New Roman"/>
          <w:sz w:val="24"/>
          <w:szCs w:val="24"/>
        </w:rPr>
        <w:t xml:space="preserve"> </w:t>
      </w:r>
      <w:r w:rsidRPr="005C468A">
        <w:rPr>
          <w:rFonts w:ascii="Times New Roman" w:hAnsi="Times New Roman" w:cs="Times New Roman"/>
          <w:b/>
          <w:bCs/>
          <w:sz w:val="24"/>
          <w:szCs w:val="24"/>
        </w:rPr>
        <w:t>Characteristics of the bond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33"/>
        <w:gridCol w:w="1231"/>
        <w:gridCol w:w="1127"/>
        <w:gridCol w:w="1604"/>
        <w:gridCol w:w="1004"/>
        <w:gridCol w:w="1096"/>
        <w:gridCol w:w="1481"/>
      </w:tblGrid>
      <w:tr w:rsidR="00711EEB" w:rsidRPr="005C468A" w14:paraId="1B90FD4D" w14:textId="77777777" w:rsidTr="001F7F1B">
        <w:trPr>
          <w:trHeight w:val="600"/>
        </w:trPr>
        <w:tc>
          <w:tcPr>
            <w:tcW w:w="2580" w:type="dxa"/>
            <w:noWrap/>
            <w:hideMark/>
          </w:tcPr>
          <w:p w14:paraId="7FB8EACF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Bond</w:t>
            </w:r>
          </w:p>
        </w:tc>
        <w:tc>
          <w:tcPr>
            <w:tcW w:w="1360" w:type="dxa"/>
            <w:noWrap/>
            <w:hideMark/>
          </w:tcPr>
          <w:p w14:paraId="74151483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Bond value</w:t>
            </w:r>
          </w:p>
        </w:tc>
        <w:tc>
          <w:tcPr>
            <w:tcW w:w="1400" w:type="dxa"/>
            <w:noWrap/>
            <w:hideMark/>
          </w:tcPr>
          <w:p w14:paraId="67C0D59B" w14:textId="649153DB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 xml:space="preserve"> Convertible or non-convertible</w:t>
            </w:r>
          </w:p>
        </w:tc>
        <w:tc>
          <w:tcPr>
            <w:tcW w:w="2020" w:type="dxa"/>
            <w:hideMark/>
          </w:tcPr>
          <w:p w14:paraId="6BCF8A6D" w14:textId="093A1BAE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Coupon</w:t>
            </w:r>
          </w:p>
        </w:tc>
        <w:tc>
          <w:tcPr>
            <w:tcW w:w="1240" w:type="dxa"/>
            <w:hideMark/>
          </w:tcPr>
          <w:p w14:paraId="13FE5FC0" w14:textId="3A45BC63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We</w:t>
            </w:r>
            <w:r w:rsidR="00711EEB" w:rsidRPr="005C468A">
              <w:rPr>
                <w:rFonts w:ascii="Times New Roman" w:hAnsi="Times New Roman" w:cs="Times New Roman"/>
                <w:sz w:val="24"/>
                <w:szCs w:val="24"/>
              </w:rPr>
              <w:t>ight</w:t>
            </w:r>
          </w:p>
        </w:tc>
        <w:tc>
          <w:tcPr>
            <w:tcW w:w="1360" w:type="dxa"/>
            <w:hideMark/>
          </w:tcPr>
          <w:p w14:paraId="20AC0ECF" w14:textId="39B61F44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Maturity</w:t>
            </w:r>
          </w:p>
        </w:tc>
        <w:tc>
          <w:tcPr>
            <w:tcW w:w="1860" w:type="dxa"/>
            <w:hideMark/>
          </w:tcPr>
          <w:p w14:paraId="03C0EEAC" w14:textId="3FBDFBB6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 xml:space="preserve">Credit rating </w:t>
            </w:r>
          </w:p>
        </w:tc>
      </w:tr>
      <w:tr w:rsidR="00711EEB" w:rsidRPr="005C468A" w14:paraId="4308B4E3" w14:textId="77777777" w:rsidTr="00711EEB">
        <w:trPr>
          <w:trHeight w:val="300"/>
        </w:trPr>
        <w:tc>
          <w:tcPr>
            <w:tcW w:w="2580" w:type="dxa"/>
            <w:noWrap/>
            <w:hideMark/>
          </w:tcPr>
          <w:p w14:paraId="24522B05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Caesar Entmt Corp</w:t>
            </w:r>
          </w:p>
        </w:tc>
        <w:tc>
          <w:tcPr>
            <w:tcW w:w="1360" w:type="dxa"/>
            <w:noWrap/>
            <w:hideMark/>
          </w:tcPr>
          <w:p w14:paraId="7F49338F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875000000</w:t>
            </w:r>
          </w:p>
        </w:tc>
        <w:tc>
          <w:tcPr>
            <w:tcW w:w="1400" w:type="dxa"/>
            <w:noWrap/>
            <w:hideMark/>
          </w:tcPr>
          <w:p w14:paraId="364BDF80" w14:textId="1813A2F9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convertible</w:t>
            </w:r>
          </w:p>
        </w:tc>
        <w:tc>
          <w:tcPr>
            <w:tcW w:w="2020" w:type="dxa"/>
            <w:noWrap/>
            <w:hideMark/>
          </w:tcPr>
          <w:p w14:paraId="17C9F05E" w14:textId="013CFB1C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3.25%</w:t>
            </w:r>
          </w:p>
        </w:tc>
        <w:tc>
          <w:tcPr>
            <w:tcW w:w="1240" w:type="dxa"/>
            <w:noWrap/>
            <w:hideMark/>
          </w:tcPr>
          <w:p w14:paraId="391708D6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  <w:tc>
          <w:tcPr>
            <w:tcW w:w="1360" w:type="dxa"/>
            <w:noWrap/>
          </w:tcPr>
          <w:p w14:paraId="43BAC68B" w14:textId="7F72F656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noWrap/>
            <w:hideMark/>
          </w:tcPr>
          <w:p w14:paraId="6F5FA34D" w14:textId="5142FA6D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1EEB" w:rsidRPr="005C468A" w14:paraId="44BBAFE1" w14:textId="77777777" w:rsidTr="00711EEB">
        <w:trPr>
          <w:trHeight w:val="300"/>
        </w:trPr>
        <w:tc>
          <w:tcPr>
            <w:tcW w:w="2580" w:type="dxa"/>
            <w:noWrap/>
            <w:hideMark/>
          </w:tcPr>
          <w:p w14:paraId="4010424E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T-Mobile USA Inc</w:t>
            </w:r>
          </w:p>
        </w:tc>
        <w:tc>
          <w:tcPr>
            <w:tcW w:w="1360" w:type="dxa"/>
            <w:noWrap/>
            <w:hideMark/>
          </w:tcPr>
          <w:p w14:paraId="4ACC7C02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1500000000</w:t>
            </w:r>
          </w:p>
        </w:tc>
        <w:tc>
          <w:tcPr>
            <w:tcW w:w="1400" w:type="dxa"/>
            <w:noWrap/>
            <w:hideMark/>
          </w:tcPr>
          <w:p w14:paraId="21BE321E" w14:textId="20A5CA67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Non</w:t>
            </w:r>
          </w:p>
        </w:tc>
        <w:tc>
          <w:tcPr>
            <w:tcW w:w="2020" w:type="dxa"/>
            <w:noWrap/>
            <w:hideMark/>
          </w:tcPr>
          <w:p w14:paraId="18957720" w14:textId="6553C085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11EEB" w:rsidRPr="005C468A">
              <w:rPr>
                <w:rFonts w:ascii="Times New Roman" w:hAnsi="Times New Roman" w:cs="Times New Roman"/>
                <w:sz w:val="24"/>
                <w:szCs w:val="24"/>
              </w:rPr>
              <w:t>.5%</w:t>
            </w:r>
          </w:p>
        </w:tc>
        <w:tc>
          <w:tcPr>
            <w:tcW w:w="1240" w:type="dxa"/>
            <w:noWrap/>
            <w:hideMark/>
          </w:tcPr>
          <w:p w14:paraId="3907D261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0.803</w:t>
            </w:r>
          </w:p>
        </w:tc>
        <w:tc>
          <w:tcPr>
            <w:tcW w:w="1360" w:type="dxa"/>
            <w:noWrap/>
          </w:tcPr>
          <w:p w14:paraId="539F8E22" w14:textId="3430CE7A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01/15/26</w:t>
            </w:r>
          </w:p>
          <w:p w14:paraId="7C1E9F36" w14:textId="3AE739C2" w:rsidR="00711EEB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noWrap/>
            <w:hideMark/>
          </w:tcPr>
          <w:p w14:paraId="3DCEE1DD" w14:textId="7473B2AB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711EEB" w:rsidRPr="005C468A" w14:paraId="06AAF1FB" w14:textId="77777777" w:rsidTr="00711EEB">
        <w:trPr>
          <w:trHeight w:val="300"/>
        </w:trPr>
        <w:tc>
          <w:tcPr>
            <w:tcW w:w="2580" w:type="dxa"/>
            <w:noWrap/>
            <w:hideMark/>
          </w:tcPr>
          <w:p w14:paraId="6F572759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Kraft Heinz Food</w:t>
            </w:r>
          </w:p>
        </w:tc>
        <w:tc>
          <w:tcPr>
            <w:tcW w:w="1360" w:type="dxa"/>
            <w:noWrap/>
            <w:hideMark/>
          </w:tcPr>
          <w:p w14:paraId="7D8D6EA6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400000000</w:t>
            </w:r>
          </w:p>
        </w:tc>
        <w:tc>
          <w:tcPr>
            <w:tcW w:w="1400" w:type="dxa"/>
            <w:noWrap/>
            <w:hideMark/>
          </w:tcPr>
          <w:p w14:paraId="35DAD71B" w14:textId="5A3E95AB" w:rsidR="00503127" w:rsidRPr="005C468A" w:rsidRDefault="00D625F1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Non</w:t>
            </w:r>
          </w:p>
        </w:tc>
        <w:tc>
          <w:tcPr>
            <w:tcW w:w="2020" w:type="dxa"/>
            <w:noWrap/>
            <w:hideMark/>
          </w:tcPr>
          <w:p w14:paraId="277B09F1" w14:textId="612A698D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240" w:type="dxa"/>
            <w:noWrap/>
            <w:hideMark/>
          </w:tcPr>
          <w:p w14:paraId="363921F1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0.160</w:t>
            </w:r>
          </w:p>
        </w:tc>
        <w:tc>
          <w:tcPr>
            <w:tcW w:w="1360" w:type="dxa"/>
            <w:noWrap/>
          </w:tcPr>
          <w:p w14:paraId="48D7E7A7" w14:textId="54068236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06/01/26</w:t>
            </w:r>
          </w:p>
        </w:tc>
        <w:tc>
          <w:tcPr>
            <w:tcW w:w="1860" w:type="dxa"/>
            <w:noWrap/>
            <w:hideMark/>
          </w:tcPr>
          <w:p w14:paraId="1DDEC7FD" w14:textId="332682E7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BB+</w:t>
            </w:r>
          </w:p>
        </w:tc>
      </w:tr>
      <w:tr w:rsidR="00711EEB" w:rsidRPr="005C468A" w14:paraId="497858CF" w14:textId="77777777" w:rsidTr="00711EEB">
        <w:trPr>
          <w:trHeight w:val="300"/>
        </w:trPr>
        <w:tc>
          <w:tcPr>
            <w:tcW w:w="2580" w:type="dxa"/>
            <w:noWrap/>
            <w:hideMark/>
          </w:tcPr>
          <w:p w14:paraId="6711DF15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Carnival Corp</w:t>
            </w:r>
          </w:p>
        </w:tc>
        <w:tc>
          <w:tcPr>
            <w:tcW w:w="1360" w:type="dxa"/>
            <w:noWrap/>
            <w:hideMark/>
          </w:tcPr>
          <w:p w14:paraId="33A80B9C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4000000000</w:t>
            </w:r>
          </w:p>
        </w:tc>
        <w:tc>
          <w:tcPr>
            <w:tcW w:w="1400" w:type="dxa"/>
            <w:noWrap/>
            <w:hideMark/>
          </w:tcPr>
          <w:p w14:paraId="50D2377D" w14:textId="0A12CBBE" w:rsidR="00503127" w:rsidRPr="005C468A" w:rsidRDefault="00D625F1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Non</w:t>
            </w:r>
          </w:p>
        </w:tc>
        <w:tc>
          <w:tcPr>
            <w:tcW w:w="2020" w:type="dxa"/>
            <w:noWrap/>
            <w:hideMark/>
          </w:tcPr>
          <w:p w14:paraId="2BA78BC1" w14:textId="191D2CD2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7.2%</w:t>
            </w:r>
          </w:p>
        </w:tc>
        <w:tc>
          <w:tcPr>
            <w:tcW w:w="1240" w:type="dxa"/>
            <w:noWrap/>
            <w:hideMark/>
          </w:tcPr>
          <w:p w14:paraId="55A940AE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0.555</w:t>
            </w:r>
          </w:p>
        </w:tc>
        <w:tc>
          <w:tcPr>
            <w:tcW w:w="1360" w:type="dxa"/>
            <w:noWrap/>
          </w:tcPr>
          <w:p w14:paraId="59233DAF" w14:textId="2197FB79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10/01/23</w:t>
            </w:r>
          </w:p>
        </w:tc>
        <w:tc>
          <w:tcPr>
            <w:tcW w:w="1860" w:type="dxa"/>
            <w:noWrap/>
            <w:hideMark/>
          </w:tcPr>
          <w:p w14:paraId="380240AF" w14:textId="5795C3BA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B-</w:t>
            </w:r>
          </w:p>
        </w:tc>
      </w:tr>
      <w:tr w:rsidR="00711EEB" w:rsidRPr="005C468A" w14:paraId="4AA605A0" w14:textId="77777777" w:rsidTr="00711EEB">
        <w:trPr>
          <w:trHeight w:val="300"/>
        </w:trPr>
        <w:tc>
          <w:tcPr>
            <w:tcW w:w="2580" w:type="dxa"/>
            <w:noWrap/>
            <w:hideMark/>
          </w:tcPr>
          <w:p w14:paraId="28F3D1DF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Chobani LLC</w:t>
            </w:r>
          </w:p>
        </w:tc>
        <w:tc>
          <w:tcPr>
            <w:tcW w:w="1360" w:type="dxa"/>
            <w:noWrap/>
            <w:hideMark/>
          </w:tcPr>
          <w:p w14:paraId="2CC7153B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425000000</w:t>
            </w:r>
          </w:p>
        </w:tc>
        <w:tc>
          <w:tcPr>
            <w:tcW w:w="1400" w:type="dxa"/>
            <w:noWrap/>
            <w:hideMark/>
          </w:tcPr>
          <w:p w14:paraId="6C863B44" w14:textId="4EC4E184" w:rsidR="00503127" w:rsidRPr="005C468A" w:rsidRDefault="00D625F1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Non</w:t>
            </w:r>
          </w:p>
        </w:tc>
        <w:tc>
          <w:tcPr>
            <w:tcW w:w="2020" w:type="dxa"/>
            <w:noWrap/>
            <w:hideMark/>
          </w:tcPr>
          <w:p w14:paraId="749CA0CD" w14:textId="0EFCBAC2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7.50%</w:t>
            </w:r>
          </w:p>
        </w:tc>
        <w:tc>
          <w:tcPr>
            <w:tcW w:w="1240" w:type="dxa"/>
            <w:noWrap/>
            <w:hideMark/>
          </w:tcPr>
          <w:p w14:paraId="37D1D77A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</w:p>
        </w:tc>
        <w:tc>
          <w:tcPr>
            <w:tcW w:w="1360" w:type="dxa"/>
            <w:noWrap/>
          </w:tcPr>
          <w:p w14:paraId="084438AB" w14:textId="72960699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04/15/25</w:t>
            </w:r>
          </w:p>
        </w:tc>
        <w:tc>
          <w:tcPr>
            <w:tcW w:w="1860" w:type="dxa"/>
            <w:noWrap/>
            <w:hideMark/>
          </w:tcPr>
          <w:p w14:paraId="3C3EA754" w14:textId="2D2ED5A4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CCC</w:t>
            </w:r>
          </w:p>
        </w:tc>
      </w:tr>
      <w:tr w:rsidR="00711EEB" w:rsidRPr="005C468A" w14:paraId="75FD6F48" w14:textId="77777777" w:rsidTr="00711EEB">
        <w:trPr>
          <w:trHeight w:val="300"/>
        </w:trPr>
        <w:tc>
          <w:tcPr>
            <w:tcW w:w="2580" w:type="dxa"/>
            <w:noWrap/>
            <w:hideMark/>
          </w:tcPr>
          <w:p w14:paraId="5E32A93C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CVS Health Corp</w:t>
            </w:r>
          </w:p>
        </w:tc>
        <w:tc>
          <w:tcPr>
            <w:tcW w:w="1360" w:type="dxa"/>
            <w:noWrap/>
            <w:hideMark/>
          </w:tcPr>
          <w:p w14:paraId="58934208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750000000</w:t>
            </w:r>
          </w:p>
        </w:tc>
        <w:tc>
          <w:tcPr>
            <w:tcW w:w="1400" w:type="dxa"/>
            <w:noWrap/>
            <w:hideMark/>
          </w:tcPr>
          <w:p w14:paraId="24590194" w14:textId="4A878C69" w:rsidR="00503127" w:rsidRPr="005C468A" w:rsidRDefault="00D625F1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Non</w:t>
            </w:r>
          </w:p>
        </w:tc>
        <w:tc>
          <w:tcPr>
            <w:tcW w:w="2020" w:type="dxa"/>
            <w:noWrap/>
            <w:hideMark/>
          </w:tcPr>
          <w:p w14:paraId="059E47FC" w14:textId="2AAF638E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6.125%</w:t>
            </w:r>
          </w:p>
        </w:tc>
        <w:tc>
          <w:tcPr>
            <w:tcW w:w="1240" w:type="dxa"/>
            <w:noWrap/>
            <w:hideMark/>
          </w:tcPr>
          <w:p w14:paraId="243C5163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1.095</w:t>
            </w:r>
          </w:p>
        </w:tc>
        <w:tc>
          <w:tcPr>
            <w:tcW w:w="1360" w:type="dxa"/>
            <w:noWrap/>
          </w:tcPr>
          <w:p w14:paraId="390AF757" w14:textId="41378147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09/15/39</w:t>
            </w:r>
          </w:p>
        </w:tc>
        <w:tc>
          <w:tcPr>
            <w:tcW w:w="1860" w:type="dxa"/>
            <w:noWrap/>
            <w:hideMark/>
          </w:tcPr>
          <w:p w14:paraId="74BF9D2B" w14:textId="0A8A3C45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BBB</w:t>
            </w:r>
          </w:p>
        </w:tc>
      </w:tr>
      <w:tr w:rsidR="00711EEB" w:rsidRPr="005C468A" w14:paraId="3D410F1E" w14:textId="77777777" w:rsidTr="00711EEB">
        <w:trPr>
          <w:trHeight w:val="300"/>
        </w:trPr>
        <w:tc>
          <w:tcPr>
            <w:tcW w:w="2580" w:type="dxa"/>
            <w:noWrap/>
            <w:hideMark/>
          </w:tcPr>
          <w:p w14:paraId="16A31651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Nissan Motors</w:t>
            </w:r>
          </w:p>
        </w:tc>
        <w:tc>
          <w:tcPr>
            <w:tcW w:w="1360" w:type="dxa"/>
            <w:noWrap/>
            <w:hideMark/>
          </w:tcPr>
          <w:p w14:paraId="099BF054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2500000000</w:t>
            </w:r>
          </w:p>
        </w:tc>
        <w:tc>
          <w:tcPr>
            <w:tcW w:w="1400" w:type="dxa"/>
            <w:noWrap/>
            <w:hideMark/>
          </w:tcPr>
          <w:p w14:paraId="3E5F8442" w14:textId="7FE084EB" w:rsidR="00503127" w:rsidRPr="005C468A" w:rsidRDefault="00D625F1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Non</w:t>
            </w:r>
          </w:p>
        </w:tc>
        <w:tc>
          <w:tcPr>
            <w:tcW w:w="2020" w:type="dxa"/>
            <w:noWrap/>
            <w:hideMark/>
          </w:tcPr>
          <w:p w14:paraId="7161A53A" w14:textId="781C67AB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3.043%</w:t>
            </w:r>
          </w:p>
        </w:tc>
        <w:tc>
          <w:tcPr>
            <w:tcW w:w="1240" w:type="dxa"/>
            <w:noWrap/>
            <w:hideMark/>
          </w:tcPr>
          <w:p w14:paraId="4A0C8653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1.668</w:t>
            </w:r>
          </w:p>
        </w:tc>
        <w:tc>
          <w:tcPr>
            <w:tcW w:w="1360" w:type="dxa"/>
            <w:noWrap/>
          </w:tcPr>
          <w:p w14:paraId="5D89F97D" w14:textId="14844733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09/15/39</w:t>
            </w:r>
          </w:p>
        </w:tc>
        <w:tc>
          <w:tcPr>
            <w:tcW w:w="1860" w:type="dxa"/>
            <w:noWrap/>
            <w:hideMark/>
          </w:tcPr>
          <w:p w14:paraId="11351A5D" w14:textId="2C0C5324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BBB</w:t>
            </w:r>
          </w:p>
        </w:tc>
      </w:tr>
      <w:tr w:rsidR="00711EEB" w:rsidRPr="005C468A" w14:paraId="14BF6058" w14:textId="77777777" w:rsidTr="001F7F1B">
        <w:trPr>
          <w:trHeight w:val="300"/>
        </w:trPr>
        <w:tc>
          <w:tcPr>
            <w:tcW w:w="2580" w:type="dxa"/>
            <w:noWrap/>
            <w:hideMark/>
          </w:tcPr>
          <w:p w14:paraId="03EDC79F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Sherwin Williams</w:t>
            </w:r>
          </w:p>
        </w:tc>
        <w:tc>
          <w:tcPr>
            <w:tcW w:w="1360" w:type="dxa"/>
            <w:noWrap/>
            <w:hideMark/>
          </w:tcPr>
          <w:p w14:paraId="540FCA72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1000000000</w:t>
            </w:r>
          </w:p>
        </w:tc>
        <w:tc>
          <w:tcPr>
            <w:tcW w:w="1400" w:type="dxa"/>
            <w:noWrap/>
            <w:hideMark/>
          </w:tcPr>
          <w:p w14:paraId="7CD64D47" w14:textId="3E3480F6" w:rsidR="00503127" w:rsidRPr="005C468A" w:rsidRDefault="00D625F1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Non</w:t>
            </w:r>
          </w:p>
        </w:tc>
        <w:tc>
          <w:tcPr>
            <w:tcW w:w="2020" w:type="dxa"/>
            <w:noWrap/>
            <w:hideMark/>
          </w:tcPr>
          <w:p w14:paraId="445FA324" w14:textId="4BEBFAD0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11EEB" w:rsidRPr="005C468A">
              <w:rPr>
                <w:rFonts w:ascii="Times New Roman" w:hAnsi="Times New Roman" w:cs="Times New Roman"/>
                <w:sz w:val="24"/>
                <w:szCs w:val="24"/>
              </w:rPr>
              <w:t>.50%</w:t>
            </w:r>
          </w:p>
        </w:tc>
        <w:tc>
          <w:tcPr>
            <w:tcW w:w="1240" w:type="dxa"/>
            <w:noWrap/>
            <w:hideMark/>
          </w:tcPr>
          <w:p w14:paraId="240269C8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0.447</w:t>
            </w:r>
          </w:p>
        </w:tc>
        <w:tc>
          <w:tcPr>
            <w:tcW w:w="1360" w:type="dxa"/>
            <w:noWrap/>
            <w:hideMark/>
          </w:tcPr>
          <w:p w14:paraId="0BA0DEFF" w14:textId="3D8ACD8C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10/15/27</w:t>
            </w:r>
          </w:p>
        </w:tc>
        <w:tc>
          <w:tcPr>
            <w:tcW w:w="1860" w:type="dxa"/>
            <w:noWrap/>
            <w:hideMark/>
          </w:tcPr>
          <w:p w14:paraId="35979F19" w14:textId="703D6C5C" w:rsidR="00503127" w:rsidRPr="005C468A" w:rsidRDefault="00711EE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BBB</w:t>
            </w:r>
          </w:p>
        </w:tc>
      </w:tr>
      <w:tr w:rsidR="00711EEB" w:rsidRPr="005C468A" w14:paraId="0AEBD82C" w14:textId="77777777" w:rsidTr="00D625F1">
        <w:trPr>
          <w:trHeight w:val="300"/>
        </w:trPr>
        <w:tc>
          <w:tcPr>
            <w:tcW w:w="2580" w:type="dxa"/>
            <w:noWrap/>
            <w:hideMark/>
          </w:tcPr>
          <w:p w14:paraId="0CDFD6C8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023F5CB9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11450000000</w:t>
            </w:r>
          </w:p>
        </w:tc>
        <w:tc>
          <w:tcPr>
            <w:tcW w:w="1400" w:type="dxa"/>
            <w:noWrap/>
            <w:hideMark/>
          </w:tcPr>
          <w:p w14:paraId="53D4E32C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20" w:type="dxa"/>
            <w:noWrap/>
            <w:hideMark/>
          </w:tcPr>
          <w:p w14:paraId="291BF125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noWrap/>
          </w:tcPr>
          <w:p w14:paraId="2FFEE0F9" w14:textId="7609C94E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noWrap/>
          </w:tcPr>
          <w:p w14:paraId="600983B3" w14:textId="77777777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60" w:type="dxa"/>
            <w:noWrap/>
          </w:tcPr>
          <w:p w14:paraId="680E62A9" w14:textId="7F44309C" w:rsidR="00503127" w:rsidRPr="005C468A" w:rsidRDefault="00503127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3A22A11" w14:textId="77777777" w:rsidR="00503127" w:rsidRPr="005C468A" w:rsidRDefault="00503127" w:rsidP="009D6E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F28DC1" w14:textId="4190625A" w:rsidR="00503127" w:rsidRPr="005C468A" w:rsidRDefault="00A154CE" w:rsidP="009D6E7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C468A">
        <w:rPr>
          <w:rFonts w:ascii="Times New Roman" w:hAnsi="Times New Roman" w:cs="Times New Roman"/>
          <w:b/>
          <w:bCs/>
          <w:sz w:val="24"/>
          <w:szCs w:val="24"/>
        </w:rPr>
        <w:t>Arbitrage free valuation of two bonds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9"/>
        <w:gridCol w:w="1578"/>
        <w:gridCol w:w="1201"/>
        <w:gridCol w:w="1296"/>
        <w:gridCol w:w="2264"/>
        <w:gridCol w:w="918"/>
        <w:gridCol w:w="1296"/>
      </w:tblGrid>
      <w:tr w:rsidR="004E2AE4" w:rsidRPr="005C468A" w14:paraId="18884118" w14:textId="77777777" w:rsidTr="009D6E72">
        <w:trPr>
          <w:trHeight w:val="300"/>
        </w:trPr>
        <w:tc>
          <w:tcPr>
            <w:tcW w:w="919" w:type="dxa"/>
            <w:noWrap/>
            <w:hideMark/>
          </w:tcPr>
          <w:p w14:paraId="2C8675A8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hideMark/>
          </w:tcPr>
          <w:p w14:paraId="3D5C7A62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Chobani LLC</w:t>
            </w:r>
          </w:p>
        </w:tc>
        <w:tc>
          <w:tcPr>
            <w:tcW w:w="1201" w:type="dxa"/>
            <w:noWrap/>
            <w:hideMark/>
          </w:tcPr>
          <w:p w14:paraId="1FCFDEF7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Weight</w:t>
            </w:r>
          </w:p>
        </w:tc>
        <w:tc>
          <w:tcPr>
            <w:tcW w:w="1235" w:type="dxa"/>
            <w:noWrap/>
            <w:hideMark/>
          </w:tcPr>
          <w:p w14:paraId="04A969A6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Cashflow</w:t>
            </w:r>
          </w:p>
        </w:tc>
        <w:tc>
          <w:tcPr>
            <w:tcW w:w="2264" w:type="dxa"/>
            <w:noWrap/>
            <w:hideMark/>
          </w:tcPr>
          <w:p w14:paraId="7246B674" w14:textId="76A953A1" w:rsidR="004E2AE4" w:rsidRPr="005C468A" w:rsidRDefault="000A095D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Kraft Heinz </w:t>
            </w:r>
            <w:r w:rsidR="009D6E72"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Foods Co.</w:t>
            </w:r>
          </w:p>
        </w:tc>
        <w:tc>
          <w:tcPr>
            <w:tcW w:w="918" w:type="dxa"/>
            <w:noWrap/>
            <w:hideMark/>
          </w:tcPr>
          <w:p w14:paraId="1DD28657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5" w:type="dxa"/>
            <w:noWrap/>
            <w:hideMark/>
          </w:tcPr>
          <w:p w14:paraId="3078775F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Cash Flows</w:t>
            </w:r>
          </w:p>
        </w:tc>
      </w:tr>
      <w:tr w:rsidR="004E2AE4" w:rsidRPr="005C468A" w14:paraId="67F513F8" w14:textId="77777777" w:rsidTr="009D6E72">
        <w:trPr>
          <w:trHeight w:val="300"/>
        </w:trPr>
        <w:tc>
          <w:tcPr>
            <w:tcW w:w="919" w:type="dxa"/>
            <w:noWrap/>
            <w:hideMark/>
          </w:tcPr>
          <w:p w14:paraId="3E35F76E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8" w:type="dxa"/>
            <w:noWrap/>
            <w:hideMark/>
          </w:tcPr>
          <w:p w14:paraId="37621C44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10093750</w:t>
            </w:r>
          </w:p>
        </w:tc>
        <w:tc>
          <w:tcPr>
            <w:tcW w:w="1201" w:type="dxa"/>
            <w:noWrap/>
            <w:hideMark/>
          </w:tcPr>
          <w:p w14:paraId="49E3265B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35" w:type="dxa"/>
            <w:noWrap/>
            <w:hideMark/>
          </w:tcPr>
          <w:p w14:paraId="2A43601B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5046875</w:t>
            </w:r>
          </w:p>
        </w:tc>
        <w:tc>
          <w:tcPr>
            <w:tcW w:w="2264" w:type="dxa"/>
            <w:noWrap/>
            <w:hideMark/>
          </w:tcPr>
          <w:p w14:paraId="75CAA6A0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21875000</w:t>
            </w:r>
          </w:p>
        </w:tc>
        <w:tc>
          <w:tcPr>
            <w:tcW w:w="918" w:type="dxa"/>
            <w:noWrap/>
            <w:hideMark/>
          </w:tcPr>
          <w:p w14:paraId="7A673884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35" w:type="dxa"/>
            <w:noWrap/>
            <w:hideMark/>
          </w:tcPr>
          <w:p w14:paraId="64F00B79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10937500</w:t>
            </w:r>
          </w:p>
        </w:tc>
      </w:tr>
      <w:tr w:rsidR="004E2AE4" w:rsidRPr="005C468A" w14:paraId="61923ACA" w14:textId="77777777" w:rsidTr="009D6E72">
        <w:trPr>
          <w:trHeight w:val="300"/>
        </w:trPr>
        <w:tc>
          <w:tcPr>
            <w:tcW w:w="919" w:type="dxa"/>
            <w:noWrap/>
            <w:hideMark/>
          </w:tcPr>
          <w:p w14:paraId="400C0A54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8" w:type="dxa"/>
            <w:noWrap/>
            <w:hideMark/>
          </w:tcPr>
          <w:p w14:paraId="28F50E4F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10093750</w:t>
            </w:r>
          </w:p>
        </w:tc>
        <w:tc>
          <w:tcPr>
            <w:tcW w:w="1201" w:type="dxa"/>
            <w:noWrap/>
            <w:hideMark/>
          </w:tcPr>
          <w:p w14:paraId="5C32C5B6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35" w:type="dxa"/>
            <w:noWrap/>
            <w:hideMark/>
          </w:tcPr>
          <w:p w14:paraId="22D7CF3B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5046875</w:t>
            </w:r>
          </w:p>
        </w:tc>
        <w:tc>
          <w:tcPr>
            <w:tcW w:w="2264" w:type="dxa"/>
            <w:noWrap/>
            <w:hideMark/>
          </w:tcPr>
          <w:p w14:paraId="4C35C46D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21875000</w:t>
            </w:r>
          </w:p>
        </w:tc>
        <w:tc>
          <w:tcPr>
            <w:tcW w:w="918" w:type="dxa"/>
            <w:noWrap/>
            <w:hideMark/>
          </w:tcPr>
          <w:p w14:paraId="45BD7A11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35" w:type="dxa"/>
            <w:noWrap/>
            <w:hideMark/>
          </w:tcPr>
          <w:p w14:paraId="1100AA4E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10937500</w:t>
            </w:r>
          </w:p>
        </w:tc>
      </w:tr>
      <w:tr w:rsidR="004E2AE4" w:rsidRPr="005C468A" w14:paraId="075A1DE0" w14:textId="77777777" w:rsidTr="009D6E72">
        <w:trPr>
          <w:trHeight w:val="300"/>
        </w:trPr>
        <w:tc>
          <w:tcPr>
            <w:tcW w:w="919" w:type="dxa"/>
            <w:noWrap/>
            <w:hideMark/>
          </w:tcPr>
          <w:p w14:paraId="41E64A06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8" w:type="dxa"/>
            <w:noWrap/>
            <w:hideMark/>
          </w:tcPr>
          <w:p w14:paraId="3AB29E93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10093750</w:t>
            </w:r>
          </w:p>
        </w:tc>
        <w:tc>
          <w:tcPr>
            <w:tcW w:w="1201" w:type="dxa"/>
            <w:noWrap/>
            <w:hideMark/>
          </w:tcPr>
          <w:p w14:paraId="717A316F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35" w:type="dxa"/>
            <w:noWrap/>
            <w:hideMark/>
          </w:tcPr>
          <w:p w14:paraId="77C76CD3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5046875</w:t>
            </w:r>
          </w:p>
        </w:tc>
        <w:tc>
          <w:tcPr>
            <w:tcW w:w="2264" w:type="dxa"/>
            <w:noWrap/>
            <w:hideMark/>
          </w:tcPr>
          <w:p w14:paraId="38A6E472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21875000</w:t>
            </w:r>
          </w:p>
        </w:tc>
        <w:tc>
          <w:tcPr>
            <w:tcW w:w="918" w:type="dxa"/>
            <w:noWrap/>
            <w:hideMark/>
          </w:tcPr>
          <w:p w14:paraId="7596C4C0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35" w:type="dxa"/>
            <w:noWrap/>
            <w:hideMark/>
          </w:tcPr>
          <w:p w14:paraId="3406E3B3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10937500</w:t>
            </w:r>
          </w:p>
        </w:tc>
      </w:tr>
      <w:tr w:rsidR="004E2AE4" w:rsidRPr="005C468A" w14:paraId="5927B316" w14:textId="77777777" w:rsidTr="009D6E72">
        <w:trPr>
          <w:trHeight w:val="300"/>
        </w:trPr>
        <w:tc>
          <w:tcPr>
            <w:tcW w:w="919" w:type="dxa"/>
            <w:noWrap/>
            <w:hideMark/>
          </w:tcPr>
          <w:p w14:paraId="2738D7AB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8" w:type="dxa"/>
            <w:noWrap/>
            <w:hideMark/>
          </w:tcPr>
          <w:p w14:paraId="4AB684ED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10093750</w:t>
            </w:r>
          </w:p>
        </w:tc>
        <w:tc>
          <w:tcPr>
            <w:tcW w:w="1201" w:type="dxa"/>
            <w:noWrap/>
            <w:hideMark/>
          </w:tcPr>
          <w:p w14:paraId="57164EB7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35" w:type="dxa"/>
            <w:noWrap/>
            <w:hideMark/>
          </w:tcPr>
          <w:p w14:paraId="0DD69B6C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5046875</w:t>
            </w:r>
          </w:p>
        </w:tc>
        <w:tc>
          <w:tcPr>
            <w:tcW w:w="2264" w:type="dxa"/>
            <w:noWrap/>
            <w:hideMark/>
          </w:tcPr>
          <w:p w14:paraId="7D154902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21875000</w:t>
            </w:r>
          </w:p>
        </w:tc>
        <w:tc>
          <w:tcPr>
            <w:tcW w:w="918" w:type="dxa"/>
            <w:noWrap/>
            <w:hideMark/>
          </w:tcPr>
          <w:p w14:paraId="349EDC92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35" w:type="dxa"/>
            <w:noWrap/>
            <w:hideMark/>
          </w:tcPr>
          <w:p w14:paraId="4D8096D8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10937500</w:t>
            </w:r>
          </w:p>
        </w:tc>
      </w:tr>
      <w:tr w:rsidR="004E2AE4" w:rsidRPr="005C468A" w14:paraId="5CB37ACD" w14:textId="77777777" w:rsidTr="009D6E72">
        <w:trPr>
          <w:trHeight w:val="300"/>
        </w:trPr>
        <w:tc>
          <w:tcPr>
            <w:tcW w:w="919" w:type="dxa"/>
            <w:noWrap/>
            <w:hideMark/>
          </w:tcPr>
          <w:p w14:paraId="630E2BEE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78" w:type="dxa"/>
            <w:noWrap/>
            <w:hideMark/>
          </w:tcPr>
          <w:p w14:paraId="31B83A9B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10093750</w:t>
            </w:r>
          </w:p>
        </w:tc>
        <w:tc>
          <w:tcPr>
            <w:tcW w:w="1201" w:type="dxa"/>
            <w:noWrap/>
            <w:hideMark/>
          </w:tcPr>
          <w:p w14:paraId="03AD0A6E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35" w:type="dxa"/>
            <w:noWrap/>
            <w:hideMark/>
          </w:tcPr>
          <w:p w14:paraId="2075C154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5046875</w:t>
            </w:r>
          </w:p>
        </w:tc>
        <w:tc>
          <w:tcPr>
            <w:tcW w:w="2264" w:type="dxa"/>
            <w:noWrap/>
            <w:hideMark/>
          </w:tcPr>
          <w:p w14:paraId="6086832A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21875000</w:t>
            </w:r>
          </w:p>
        </w:tc>
        <w:tc>
          <w:tcPr>
            <w:tcW w:w="918" w:type="dxa"/>
            <w:noWrap/>
            <w:hideMark/>
          </w:tcPr>
          <w:p w14:paraId="2362BF52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35" w:type="dxa"/>
            <w:noWrap/>
            <w:hideMark/>
          </w:tcPr>
          <w:p w14:paraId="1E527732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10937500</w:t>
            </w:r>
          </w:p>
        </w:tc>
      </w:tr>
      <w:tr w:rsidR="004E2AE4" w:rsidRPr="005C468A" w14:paraId="538B4592" w14:textId="77777777" w:rsidTr="009D6E72">
        <w:trPr>
          <w:trHeight w:val="300"/>
        </w:trPr>
        <w:tc>
          <w:tcPr>
            <w:tcW w:w="919" w:type="dxa"/>
            <w:noWrap/>
            <w:hideMark/>
          </w:tcPr>
          <w:p w14:paraId="6C7AE8CE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78" w:type="dxa"/>
            <w:noWrap/>
            <w:hideMark/>
          </w:tcPr>
          <w:p w14:paraId="42421AFA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10093750</w:t>
            </w:r>
          </w:p>
        </w:tc>
        <w:tc>
          <w:tcPr>
            <w:tcW w:w="1201" w:type="dxa"/>
            <w:noWrap/>
            <w:hideMark/>
          </w:tcPr>
          <w:p w14:paraId="7D11B146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35" w:type="dxa"/>
            <w:noWrap/>
            <w:hideMark/>
          </w:tcPr>
          <w:p w14:paraId="2ACABD12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5046875</w:t>
            </w:r>
          </w:p>
        </w:tc>
        <w:tc>
          <w:tcPr>
            <w:tcW w:w="2264" w:type="dxa"/>
            <w:noWrap/>
            <w:hideMark/>
          </w:tcPr>
          <w:p w14:paraId="3EC43215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896875000</w:t>
            </w:r>
          </w:p>
        </w:tc>
        <w:tc>
          <w:tcPr>
            <w:tcW w:w="918" w:type="dxa"/>
            <w:noWrap/>
            <w:hideMark/>
          </w:tcPr>
          <w:p w14:paraId="07C2219B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35" w:type="dxa"/>
            <w:noWrap/>
            <w:hideMark/>
          </w:tcPr>
          <w:p w14:paraId="3D8FDFD8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448437500</w:t>
            </w:r>
          </w:p>
        </w:tc>
      </w:tr>
      <w:tr w:rsidR="004E2AE4" w:rsidRPr="005C468A" w14:paraId="2BD3B369" w14:textId="77777777" w:rsidTr="009D6E72">
        <w:trPr>
          <w:trHeight w:val="300"/>
        </w:trPr>
        <w:tc>
          <w:tcPr>
            <w:tcW w:w="919" w:type="dxa"/>
            <w:noWrap/>
            <w:hideMark/>
          </w:tcPr>
          <w:p w14:paraId="20F8E5A8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78" w:type="dxa"/>
            <w:noWrap/>
            <w:hideMark/>
          </w:tcPr>
          <w:p w14:paraId="078F1BED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10093750</w:t>
            </w:r>
          </w:p>
        </w:tc>
        <w:tc>
          <w:tcPr>
            <w:tcW w:w="1201" w:type="dxa"/>
            <w:noWrap/>
            <w:hideMark/>
          </w:tcPr>
          <w:p w14:paraId="182F07ED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  <w:noWrap/>
            <w:hideMark/>
          </w:tcPr>
          <w:p w14:paraId="5F4FC4BF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10093750</w:t>
            </w:r>
          </w:p>
        </w:tc>
        <w:tc>
          <w:tcPr>
            <w:tcW w:w="2264" w:type="dxa"/>
            <w:noWrap/>
            <w:hideMark/>
          </w:tcPr>
          <w:p w14:paraId="123BAF54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noWrap/>
            <w:hideMark/>
          </w:tcPr>
          <w:p w14:paraId="16C1D820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noWrap/>
            <w:hideMark/>
          </w:tcPr>
          <w:p w14:paraId="258CF65A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E2AE4" w:rsidRPr="005C468A" w14:paraId="231FCCCD" w14:textId="77777777" w:rsidTr="009D6E72">
        <w:trPr>
          <w:trHeight w:val="300"/>
        </w:trPr>
        <w:tc>
          <w:tcPr>
            <w:tcW w:w="919" w:type="dxa"/>
            <w:noWrap/>
            <w:hideMark/>
          </w:tcPr>
          <w:p w14:paraId="73969F61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78" w:type="dxa"/>
            <w:noWrap/>
            <w:hideMark/>
          </w:tcPr>
          <w:p w14:paraId="746D3D14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435093750</w:t>
            </w:r>
          </w:p>
        </w:tc>
        <w:tc>
          <w:tcPr>
            <w:tcW w:w="1201" w:type="dxa"/>
            <w:noWrap/>
            <w:hideMark/>
          </w:tcPr>
          <w:p w14:paraId="1DCD1763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  <w:noWrap/>
            <w:hideMark/>
          </w:tcPr>
          <w:p w14:paraId="6006F2D3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435093750</w:t>
            </w:r>
          </w:p>
        </w:tc>
        <w:tc>
          <w:tcPr>
            <w:tcW w:w="2264" w:type="dxa"/>
            <w:noWrap/>
            <w:hideMark/>
          </w:tcPr>
          <w:p w14:paraId="059E7BE5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noWrap/>
            <w:hideMark/>
          </w:tcPr>
          <w:p w14:paraId="2C03C19B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noWrap/>
            <w:hideMark/>
          </w:tcPr>
          <w:p w14:paraId="272720BD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E2AE4" w:rsidRPr="005C468A" w14:paraId="5A48C09D" w14:textId="77777777" w:rsidTr="009D6E72">
        <w:trPr>
          <w:trHeight w:val="300"/>
        </w:trPr>
        <w:tc>
          <w:tcPr>
            <w:tcW w:w="919" w:type="dxa"/>
            <w:noWrap/>
            <w:hideMark/>
          </w:tcPr>
          <w:p w14:paraId="16009BA8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hideMark/>
          </w:tcPr>
          <w:p w14:paraId="306044F0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noWrap/>
            <w:hideMark/>
          </w:tcPr>
          <w:p w14:paraId="78417AE8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noWrap/>
            <w:hideMark/>
          </w:tcPr>
          <w:p w14:paraId="031520AE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475468750</w:t>
            </w:r>
          </w:p>
        </w:tc>
        <w:tc>
          <w:tcPr>
            <w:tcW w:w="2264" w:type="dxa"/>
            <w:noWrap/>
            <w:hideMark/>
          </w:tcPr>
          <w:p w14:paraId="5C935334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noWrap/>
            <w:hideMark/>
          </w:tcPr>
          <w:p w14:paraId="1AEBE13D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noWrap/>
            <w:hideMark/>
          </w:tcPr>
          <w:p w14:paraId="662CA87D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503125000</w:t>
            </w:r>
          </w:p>
        </w:tc>
      </w:tr>
      <w:tr w:rsidR="004E2AE4" w:rsidRPr="005C468A" w14:paraId="50EB5A40" w14:textId="77777777" w:rsidTr="009D6E72">
        <w:trPr>
          <w:trHeight w:val="300"/>
        </w:trPr>
        <w:tc>
          <w:tcPr>
            <w:tcW w:w="919" w:type="dxa"/>
            <w:noWrap/>
            <w:hideMark/>
          </w:tcPr>
          <w:p w14:paraId="341234E2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hideMark/>
          </w:tcPr>
          <w:p w14:paraId="39838084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noWrap/>
            <w:hideMark/>
          </w:tcPr>
          <w:p w14:paraId="04E62D8F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noWrap/>
            <w:hideMark/>
          </w:tcPr>
          <w:p w14:paraId="0D6E861E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noWrap/>
            <w:hideMark/>
          </w:tcPr>
          <w:p w14:paraId="641BE518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noWrap/>
            <w:hideMark/>
          </w:tcPr>
          <w:p w14:paraId="1D30AC67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noWrap/>
            <w:hideMark/>
          </w:tcPr>
          <w:p w14:paraId="6F52A75C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AE4" w:rsidRPr="005C468A" w14:paraId="444656F3" w14:textId="77777777" w:rsidTr="009D6E72">
        <w:trPr>
          <w:trHeight w:val="900"/>
        </w:trPr>
        <w:tc>
          <w:tcPr>
            <w:tcW w:w="919" w:type="dxa"/>
            <w:noWrap/>
            <w:hideMark/>
          </w:tcPr>
          <w:p w14:paraId="6FF21D64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hideMark/>
          </w:tcPr>
          <w:p w14:paraId="365E84DB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noWrap/>
            <w:hideMark/>
          </w:tcPr>
          <w:p w14:paraId="631BA564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hideMark/>
          </w:tcPr>
          <w:p w14:paraId="36A4D362" w14:textId="7265E365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Total Yield   of the portfolio</w:t>
            </w:r>
          </w:p>
        </w:tc>
        <w:tc>
          <w:tcPr>
            <w:tcW w:w="2264" w:type="dxa"/>
            <w:noWrap/>
            <w:hideMark/>
          </w:tcPr>
          <w:p w14:paraId="6C4E1936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978,593,750 </w:t>
            </w:r>
          </w:p>
        </w:tc>
        <w:tc>
          <w:tcPr>
            <w:tcW w:w="918" w:type="dxa"/>
            <w:noWrap/>
            <w:hideMark/>
          </w:tcPr>
          <w:p w14:paraId="0B2A18D1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noWrap/>
            <w:hideMark/>
          </w:tcPr>
          <w:p w14:paraId="6906C87D" w14:textId="77777777" w:rsidR="004E2AE4" w:rsidRPr="005C468A" w:rsidRDefault="004E2AE4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E42E1D" w14:textId="77777777" w:rsidR="004E2AE4" w:rsidRPr="005C468A" w:rsidRDefault="004E2AE4" w:rsidP="009D6E7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DB8E80" w14:textId="7E8E5416" w:rsidR="004E2AE4" w:rsidRPr="009D577C" w:rsidRDefault="009D6E72" w:rsidP="009D577C">
      <w:pPr>
        <w:pStyle w:val="Header"/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C468A">
        <w:rPr>
          <w:rFonts w:ascii="Times New Roman" w:hAnsi="Times New Roman" w:cs="Times New Roman"/>
          <w:sz w:val="24"/>
          <w:szCs w:val="24"/>
        </w:rPr>
        <w:tab/>
        <w:t xml:space="preserve">From the analysis of the spot and forward rates and the cash flow </w:t>
      </w:r>
      <w:bookmarkStart w:id="0" w:name="_GoBack"/>
      <w:r w:rsidRPr="005C468A">
        <w:rPr>
          <w:rFonts w:ascii="Times New Roman" w:hAnsi="Times New Roman" w:cs="Times New Roman"/>
          <w:sz w:val="24"/>
          <w:szCs w:val="24"/>
        </w:rPr>
        <w:t>analysis of the two bonds</w:t>
      </w:r>
      <w:bookmarkEnd w:id="0"/>
      <w:r w:rsidRPr="005C468A">
        <w:rPr>
          <w:rFonts w:ascii="Times New Roman" w:hAnsi="Times New Roman" w:cs="Times New Roman"/>
          <w:sz w:val="24"/>
          <w:szCs w:val="24"/>
        </w:rPr>
        <w:t xml:space="preserve"> selected there is a marginal arbitrage free profit that would be obtained for selecting the two bonds</w:t>
      </w:r>
    </w:p>
    <w:p w14:paraId="5405E317" w14:textId="70DD6E40" w:rsidR="00A154CE" w:rsidRPr="005C468A" w:rsidRDefault="00A154CE" w:rsidP="009D6E7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C468A">
        <w:rPr>
          <w:rFonts w:ascii="Times New Roman" w:hAnsi="Times New Roman" w:cs="Times New Roman"/>
          <w:b/>
          <w:bCs/>
          <w:sz w:val="24"/>
          <w:szCs w:val="24"/>
        </w:rPr>
        <w:t>Duration of the portfolio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33"/>
        <w:gridCol w:w="1231"/>
        <w:gridCol w:w="1127"/>
        <w:gridCol w:w="1604"/>
        <w:gridCol w:w="1004"/>
        <w:gridCol w:w="1096"/>
        <w:gridCol w:w="1481"/>
      </w:tblGrid>
      <w:tr w:rsidR="00A154CE" w:rsidRPr="005C468A" w14:paraId="62D1472E" w14:textId="77777777" w:rsidTr="001F7F1B">
        <w:trPr>
          <w:trHeight w:val="600"/>
        </w:trPr>
        <w:tc>
          <w:tcPr>
            <w:tcW w:w="2580" w:type="dxa"/>
            <w:noWrap/>
            <w:hideMark/>
          </w:tcPr>
          <w:p w14:paraId="695889B6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Bond</w:t>
            </w:r>
          </w:p>
        </w:tc>
        <w:tc>
          <w:tcPr>
            <w:tcW w:w="1360" w:type="dxa"/>
            <w:noWrap/>
            <w:hideMark/>
          </w:tcPr>
          <w:p w14:paraId="04A7E842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Bond value</w:t>
            </w:r>
          </w:p>
        </w:tc>
        <w:tc>
          <w:tcPr>
            <w:tcW w:w="1400" w:type="dxa"/>
            <w:noWrap/>
            <w:hideMark/>
          </w:tcPr>
          <w:p w14:paraId="3885D6FC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Weight</w:t>
            </w:r>
          </w:p>
        </w:tc>
        <w:tc>
          <w:tcPr>
            <w:tcW w:w="2020" w:type="dxa"/>
            <w:hideMark/>
          </w:tcPr>
          <w:p w14:paraId="0195656E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Macaulay Duration</w:t>
            </w:r>
          </w:p>
        </w:tc>
        <w:tc>
          <w:tcPr>
            <w:tcW w:w="1240" w:type="dxa"/>
            <w:hideMark/>
          </w:tcPr>
          <w:p w14:paraId="5B60E54E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Weighted Macaulay</w:t>
            </w:r>
          </w:p>
        </w:tc>
        <w:tc>
          <w:tcPr>
            <w:tcW w:w="1360" w:type="dxa"/>
            <w:hideMark/>
          </w:tcPr>
          <w:p w14:paraId="2F49D1F5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Modified Duration</w:t>
            </w:r>
          </w:p>
        </w:tc>
        <w:tc>
          <w:tcPr>
            <w:tcW w:w="1860" w:type="dxa"/>
            <w:hideMark/>
          </w:tcPr>
          <w:p w14:paraId="3E08632B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Weighted Modified Duration</w:t>
            </w:r>
          </w:p>
        </w:tc>
      </w:tr>
      <w:tr w:rsidR="00A154CE" w:rsidRPr="005C468A" w14:paraId="0E3F6524" w14:textId="77777777" w:rsidTr="001F7F1B">
        <w:trPr>
          <w:trHeight w:val="300"/>
        </w:trPr>
        <w:tc>
          <w:tcPr>
            <w:tcW w:w="2580" w:type="dxa"/>
            <w:noWrap/>
            <w:hideMark/>
          </w:tcPr>
          <w:p w14:paraId="11A49265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Caesar Entmt Corp</w:t>
            </w:r>
          </w:p>
        </w:tc>
        <w:tc>
          <w:tcPr>
            <w:tcW w:w="1360" w:type="dxa"/>
            <w:noWrap/>
            <w:hideMark/>
          </w:tcPr>
          <w:p w14:paraId="7190E8A2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875000000</w:t>
            </w:r>
          </w:p>
        </w:tc>
        <w:tc>
          <w:tcPr>
            <w:tcW w:w="1400" w:type="dxa"/>
            <w:noWrap/>
            <w:hideMark/>
          </w:tcPr>
          <w:p w14:paraId="5F3974AD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0.076</w:t>
            </w:r>
          </w:p>
        </w:tc>
        <w:tc>
          <w:tcPr>
            <w:tcW w:w="2020" w:type="dxa"/>
            <w:noWrap/>
            <w:hideMark/>
          </w:tcPr>
          <w:p w14:paraId="3A3E0B5B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2.820</w:t>
            </w:r>
          </w:p>
        </w:tc>
        <w:tc>
          <w:tcPr>
            <w:tcW w:w="1240" w:type="dxa"/>
            <w:noWrap/>
            <w:hideMark/>
          </w:tcPr>
          <w:p w14:paraId="79467B38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  <w:tc>
          <w:tcPr>
            <w:tcW w:w="1360" w:type="dxa"/>
            <w:noWrap/>
            <w:hideMark/>
          </w:tcPr>
          <w:p w14:paraId="1FF21965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2.370</w:t>
            </w:r>
          </w:p>
        </w:tc>
        <w:tc>
          <w:tcPr>
            <w:tcW w:w="1860" w:type="dxa"/>
            <w:noWrap/>
            <w:hideMark/>
          </w:tcPr>
          <w:p w14:paraId="25C4E985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0.181</w:t>
            </w:r>
          </w:p>
        </w:tc>
      </w:tr>
      <w:tr w:rsidR="00A154CE" w:rsidRPr="005C468A" w14:paraId="0ABCF596" w14:textId="77777777" w:rsidTr="001F7F1B">
        <w:trPr>
          <w:trHeight w:val="300"/>
        </w:trPr>
        <w:tc>
          <w:tcPr>
            <w:tcW w:w="2580" w:type="dxa"/>
            <w:noWrap/>
            <w:hideMark/>
          </w:tcPr>
          <w:p w14:paraId="3117D70B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T-Mobile USA Inc</w:t>
            </w:r>
          </w:p>
        </w:tc>
        <w:tc>
          <w:tcPr>
            <w:tcW w:w="1360" w:type="dxa"/>
            <w:noWrap/>
            <w:hideMark/>
          </w:tcPr>
          <w:p w14:paraId="7AA186FA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1500000000</w:t>
            </w:r>
          </w:p>
        </w:tc>
        <w:tc>
          <w:tcPr>
            <w:tcW w:w="1400" w:type="dxa"/>
            <w:noWrap/>
            <w:hideMark/>
          </w:tcPr>
          <w:p w14:paraId="21C417B0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</w:p>
        </w:tc>
        <w:tc>
          <w:tcPr>
            <w:tcW w:w="2020" w:type="dxa"/>
            <w:noWrap/>
            <w:hideMark/>
          </w:tcPr>
          <w:p w14:paraId="7ACD7FF1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6.127</w:t>
            </w:r>
          </w:p>
        </w:tc>
        <w:tc>
          <w:tcPr>
            <w:tcW w:w="1240" w:type="dxa"/>
            <w:noWrap/>
            <w:hideMark/>
          </w:tcPr>
          <w:p w14:paraId="38B24BEB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0.803</w:t>
            </w:r>
          </w:p>
        </w:tc>
        <w:tc>
          <w:tcPr>
            <w:tcW w:w="1360" w:type="dxa"/>
            <w:noWrap/>
            <w:hideMark/>
          </w:tcPr>
          <w:p w14:paraId="2B174A84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5.987</w:t>
            </w:r>
          </w:p>
        </w:tc>
        <w:tc>
          <w:tcPr>
            <w:tcW w:w="1860" w:type="dxa"/>
            <w:noWrap/>
            <w:hideMark/>
          </w:tcPr>
          <w:p w14:paraId="3792831E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0.784</w:t>
            </w:r>
          </w:p>
        </w:tc>
      </w:tr>
      <w:tr w:rsidR="00A154CE" w:rsidRPr="005C468A" w14:paraId="41280685" w14:textId="77777777" w:rsidTr="001F7F1B">
        <w:trPr>
          <w:trHeight w:val="300"/>
        </w:trPr>
        <w:tc>
          <w:tcPr>
            <w:tcW w:w="2580" w:type="dxa"/>
            <w:noWrap/>
            <w:hideMark/>
          </w:tcPr>
          <w:p w14:paraId="0E262D3F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Kraft Heinz Food</w:t>
            </w:r>
          </w:p>
        </w:tc>
        <w:tc>
          <w:tcPr>
            <w:tcW w:w="1360" w:type="dxa"/>
            <w:noWrap/>
            <w:hideMark/>
          </w:tcPr>
          <w:p w14:paraId="69A294BD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400000000</w:t>
            </w:r>
          </w:p>
        </w:tc>
        <w:tc>
          <w:tcPr>
            <w:tcW w:w="1400" w:type="dxa"/>
            <w:noWrap/>
            <w:hideMark/>
          </w:tcPr>
          <w:p w14:paraId="1D31021C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  <w:tc>
          <w:tcPr>
            <w:tcW w:w="2020" w:type="dxa"/>
            <w:noWrap/>
            <w:hideMark/>
          </w:tcPr>
          <w:p w14:paraId="7C2AB1C7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4.571</w:t>
            </w:r>
          </w:p>
        </w:tc>
        <w:tc>
          <w:tcPr>
            <w:tcW w:w="1240" w:type="dxa"/>
            <w:noWrap/>
            <w:hideMark/>
          </w:tcPr>
          <w:p w14:paraId="0CF315AF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0.160</w:t>
            </w:r>
          </w:p>
        </w:tc>
        <w:tc>
          <w:tcPr>
            <w:tcW w:w="1360" w:type="dxa"/>
            <w:noWrap/>
            <w:hideMark/>
          </w:tcPr>
          <w:p w14:paraId="64938DC0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4.460</w:t>
            </w:r>
          </w:p>
        </w:tc>
        <w:tc>
          <w:tcPr>
            <w:tcW w:w="1860" w:type="dxa"/>
            <w:noWrap/>
            <w:hideMark/>
          </w:tcPr>
          <w:p w14:paraId="0BB1DAEA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0.156</w:t>
            </w:r>
          </w:p>
        </w:tc>
      </w:tr>
      <w:tr w:rsidR="00A154CE" w:rsidRPr="005C468A" w14:paraId="6D2B983B" w14:textId="77777777" w:rsidTr="001F7F1B">
        <w:trPr>
          <w:trHeight w:val="300"/>
        </w:trPr>
        <w:tc>
          <w:tcPr>
            <w:tcW w:w="2580" w:type="dxa"/>
            <w:noWrap/>
            <w:hideMark/>
          </w:tcPr>
          <w:p w14:paraId="378EE90B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Carnival Corp</w:t>
            </w:r>
          </w:p>
        </w:tc>
        <w:tc>
          <w:tcPr>
            <w:tcW w:w="1360" w:type="dxa"/>
            <w:noWrap/>
            <w:hideMark/>
          </w:tcPr>
          <w:p w14:paraId="008F24D7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4000000000</w:t>
            </w:r>
          </w:p>
        </w:tc>
        <w:tc>
          <w:tcPr>
            <w:tcW w:w="1400" w:type="dxa"/>
            <w:noWrap/>
            <w:hideMark/>
          </w:tcPr>
          <w:p w14:paraId="0E84F76B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0.349</w:t>
            </w:r>
          </w:p>
        </w:tc>
        <w:tc>
          <w:tcPr>
            <w:tcW w:w="2020" w:type="dxa"/>
            <w:noWrap/>
            <w:hideMark/>
          </w:tcPr>
          <w:p w14:paraId="1E1476E7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1.590</w:t>
            </w:r>
          </w:p>
        </w:tc>
        <w:tc>
          <w:tcPr>
            <w:tcW w:w="1240" w:type="dxa"/>
            <w:noWrap/>
            <w:hideMark/>
          </w:tcPr>
          <w:p w14:paraId="12222F49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0.555</w:t>
            </w:r>
          </w:p>
        </w:tc>
        <w:tc>
          <w:tcPr>
            <w:tcW w:w="1360" w:type="dxa"/>
            <w:noWrap/>
            <w:hideMark/>
          </w:tcPr>
          <w:p w14:paraId="447CB78F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1.553</w:t>
            </w:r>
          </w:p>
        </w:tc>
        <w:tc>
          <w:tcPr>
            <w:tcW w:w="1860" w:type="dxa"/>
            <w:noWrap/>
            <w:hideMark/>
          </w:tcPr>
          <w:p w14:paraId="7F9AB556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0.543</w:t>
            </w:r>
          </w:p>
        </w:tc>
      </w:tr>
      <w:tr w:rsidR="00A154CE" w:rsidRPr="005C468A" w14:paraId="449C51BF" w14:textId="77777777" w:rsidTr="001F7F1B">
        <w:trPr>
          <w:trHeight w:val="300"/>
        </w:trPr>
        <w:tc>
          <w:tcPr>
            <w:tcW w:w="2580" w:type="dxa"/>
            <w:noWrap/>
            <w:hideMark/>
          </w:tcPr>
          <w:p w14:paraId="3C7BF02B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Chobani LLC</w:t>
            </w:r>
          </w:p>
        </w:tc>
        <w:tc>
          <w:tcPr>
            <w:tcW w:w="1360" w:type="dxa"/>
            <w:noWrap/>
            <w:hideMark/>
          </w:tcPr>
          <w:p w14:paraId="79B96846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425000000</w:t>
            </w:r>
          </w:p>
        </w:tc>
        <w:tc>
          <w:tcPr>
            <w:tcW w:w="1400" w:type="dxa"/>
            <w:noWrap/>
            <w:hideMark/>
          </w:tcPr>
          <w:p w14:paraId="58E250A5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2020" w:type="dxa"/>
            <w:noWrap/>
            <w:hideMark/>
          </w:tcPr>
          <w:p w14:paraId="7D3CB6A9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3.646</w:t>
            </w:r>
          </w:p>
        </w:tc>
        <w:tc>
          <w:tcPr>
            <w:tcW w:w="1240" w:type="dxa"/>
            <w:noWrap/>
            <w:hideMark/>
          </w:tcPr>
          <w:p w14:paraId="1D3860BE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</w:p>
        </w:tc>
        <w:tc>
          <w:tcPr>
            <w:tcW w:w="1360" w:type="dxa"/>
            <w:noWrap/>
            <w:hideMark/>
          </w:tcPr>
          <w:p w14:paraId="16E40981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3.456</w:t>
            </w:r>
          </w:p>
        </w:tc>
        <w:tc>
          <w:tcPr>
            <w:tcW w:w="1860" w:type="dxa"/>
            <w:noWrap/>
            <w:hideMark/>
          </w:tcPr>
          <w:p w14:paraId="454D6158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0.128</w:t>
            </w:r>
          </w:p>
        </w:tc>
      </w:tr>
      <w:tr w:rsidR="00A154CE" w:rsidRPr="005C468A" w14:paraId="04040318" w14:textId="77777777" w:rsidTr="001F7F1B">
        <w:trPr>
          <w:trHeight w:val="300"/>
        </w:trPr>
        <w:tc>
          <w:tcPr>
            <w:tcW w:w="2580" w:type="dxa"/>
            <w:noWrap/>
            <w:hideMark/>
          </w:tcPr>
          <w:p w14:paraId="3BF8F1FD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CVS Health Corp</w:t>
            </w:r>
          </w:p>
        </w:tc>
        <w:tc>
          <w:tcPr>
            <w:tcW w:w="1360" w:type="dxa"/>
            <w:noWrap/>
            <w:hideMark/>
          </w:tcPr>
          <w:p w14:paraId="58685C70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750000000</w:t>
            </w:r>
          </w:p>
        </w:tc>
        <w:tc>
          <w:tcPr>
            <w:tcW w:w="1400" w:type="dxa"/>
            <w:noWrap/>
            <w:hideMark/>
          </w:tcPr>
          <w:p w14:paraId="36AF133F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  <w:tc>
          <w:tcPr>
            <w:tcW w:w="2020" w:type="dxa"/>
            <w:noWrap/>
            <w:hideMark/>
          </w:tcPr>
          <w:p w14:paraId="75823A90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16.710</w:t>
            </w:r>
          </w:p>
        </w:tc>
        <w:tc>
          <w:tcPr>
            <w:tcW w:w="1240" w:type="dxa"/>
            <w:noWrap/>
            <w:hideMark/>
          </w:tcPr>
          <w:p w14:paraId="200DAEFC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1.095</w:t>
            </w:r>
          </w:p>
        </w:tc>
        <w:tc>
          <w:tcPr>
            <w:tcW w:w="1360" w:type="dxa"/>
            <w:noWrap/>
            <w:hideMark/>
          </w:tcPr>
          <w:p w14:paraId="47FEB903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10.501</w:t>
            </w:r>
          </w:p>
        </w:tc>
        <w:tc>
          <w:tcPr>
            <w:tcW w:w="1860" w:type="dxa"/>
            <w:noWrap/>
            <w:hideMark/>
          </w:tcPr>
          <w:p w14:paraId="120C7C2A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0.688</w:t>
            </w:r>
          </w:p>
        </w:tc>
      </w:tr>
      <w:tr w:rsidR="00A154CE" w:rsidRPr="005C468A" w14:paraId="2B48E57C" w14:textId="77777777" w:rsidTr="001F7F1B">
        <w:trPr>
          <w:trHeight w:val="300"/>
        </w:trPr>
        <w:tc>
          <w:tcPr>
            <w:tcW w:w="2580" w:type="dxa"/>
            <w:noWrap/>
            <w:hideMark/>
          </w:tcPr>
          <w:p w14:paraId="28F76D29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Nissan Motors</w:t>
            </w:r>
          </w:p>
        </w:tc>
        <w:tc>
          <w:tcPr>
            <w:tcW w:w="1360" w:type="dxa"/>
            <w:noWrap/>
            <w:hideMark/>
          </w:tcPr>
          <w:p w14:paraId="372395A3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2500000000</w:t>
            </w:r>
          </w:p>
        </w:tc>
        <w:tc>
          <w:tcPr>
            <w:tcW w:w="1400" w:type="dxa"/>
            <w:noWrap/>
            <w:hideMark/>
          </w:tcPr>
          <w:p w14:paraId="6B305C96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0.218</w:t>
            </w:r>
          </w:p>
        </w:tc>
        <w:tc>
          <w:tcPr>
            <w:tcW w:w="2020" w:type="dxa"/>
            <w:noWrap/>
            <w:hideMark/>
          </w:tcPr>
          <w:p w14:paraId="395CE68C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7.639</w:t>
            </w:r>
          </w:p>
        </w:tc>
        <w:tc>
          <w:tcPr>
            <w:tcW w:w="1240" w:type="dxa"/>
            <w:noWrap/>
            <w:hideMark/>
          </w:tcPr>
          <w:p w14:paraId="3C054CAC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1.668</w:t>
            </w:r>
          </w:p>
        </w:tc>
        <w:tc>
          <w:tcPr>
            <w:tcW w:w="1360" w:type="dxa"/>
            <w:noWrap/>
            <w:hideMark/>
          </w:tcPr>
          <w:p w14:paraId="325B24B9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6.553</w:t>
            </w:r>
          </w:p>
        </w:tc>
        <w:tc>
          <w:tcPr>
            <w:tcW w:w="1860" w:type="dxa"/>
            <w:noWrap/>
            <w:hideMark/>
          </w:tcPr>
          <w:p w14:paraId="6D9C968F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1.431</w:t>
            </w:r>
          </w:p>
        </w:tc>
      </w:tr>
      <w:tr w:rsidR="00A154CE" w:rsidRPr="005C468A" w14:paraId="1E8AA6CB" w14:textId="77777777" w:rsidTr="001F7F1B">
        <w:trPr>
          <w:trHeight w:val="300"/>
        </w:trPr>
        <w:tc>
          <w:tcPr>
            <w:tcW w:w="2580" w:type="dxa"/>
            <w:noWrap/>
            <w:hideMark/>
          </w:tcPr>
          <w:p w14:paraId="26989180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Sherwin Williams</w:t>
            </w:r>
          </w:p>
        </w:tc>
        <w:tc>
          <w:tcPr>
            <w:tcW w:w="1360" w:type="dxa"/>
            <w:noWrap/>
            <w:hideMark/>
          </w:tcPr>
          <w:p w14:paraId="4612B1F8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1000000000</w:t>
            </w:r>
          </w:p>
        </w:tc>
        <w:tc>
          <w:tcPr>
            <w:tcW w:w="1400" w:type="dxa"/>
            <w:noWrap/>
            <w:hideMark/>
          </w:tcPr>
          <w:p w14:paraId="56424219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0.087</w:t>
            </w:r>
          </w:p>
        </w:tc>
        <w:tc>
          <w:tcPr>
            <w:tcW w:w="2020" w:type="dxa"/>
            <w:noWrap/>
            <w:hideMark/>
          </w:tcPr>
          <w:p w14:paraId="46EE8C1A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5.123</w:t>
            </w:r>
          </w:p>
        </w:tc>
        <w:tc>
          <w:tcPr>
            <w:tcW w:w="1240" w:type="dxa"/>
            <w:noWrap/>
            <w:hideMark/>
          </w:tcPr>
          <w:p w14:paraId="4881A52D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0.447</w:t>
            </w:r>
          </w:p>
        </w:tc>
        <w:tc>
          <w:tcPr>
            <w:tcW w:w="1360" w:type="dxa"/>
            <w:noWrap/>
            <w:hideMark/>
          </w:tcPr>
          <w:p w14:paraId="30AA801F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4.890</w:t>
            </w:r>
          </w:p>
        </w:tc>
        <w:tc>
          <w:tcPr>
            <w:tcW w:w="1860" w:type="dxa"/>
            <w:noWrap/>
            <w:hideMark/>
          </w:tcPr>
          <w:p w14:paraId="1801F7C3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0.427</w:t>
            </w:r>
          </w:p>
        </w:tc>
      </w:tr>
      <w:tr w:rsidR="00A154CE" w:rsidRPr="005C468A" w14:paraId="70090DDA" w14:textId="77777777" w:rsidTr="001F7F1B">
        <w:trPr>
          <w:trHeight w:val="300"/>
        </w:trPr>
        <w:tc>
          <w:tcPr>
            <w:tcW w:w="2580" w:type="dxa"/>
            <w:noWrap/>
            <w:hideMark/>
          </w:tcPr>
          <w:p w14:paraId="482D8101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0" w:type="dxa"/>
            <w:noWrap/>
            <w:hideMark/>
          </w:tcPr>
          <w:p w14:paraId="14BAD33D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11450000000</w:t>
            </w:r>
          </w:p>
        </w:tc>
        <w:tc>
          <w:tcPr>
            <w:tcW w:w="1400" w:type="dxa"/>
            <w:noWrap/>
            <w:hideMark/>
          </w:tcPr>
          <w:p w14:paraId="5E4696C3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20" w:type="dxa"/>
            <w:noWrap/>
            <w:hideMark/>
          </w:tcPr>
          <w:p w14:paraId="55129B3E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40" w:type="dxa"/>
            <w:noWrap/>
            <w:hideMark/>
          </w:tcPr>
          <w:p w14:paraId="45DA82A6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5.079</w:t>
            </w:r>
          </w:p>
        </w:tc>
        <w:tc>
          <w:tcPr>
            <w:tcW w:w="1360" w:type="dxa"/>
            <w:noWrap/>
            <w:hideMark/>
          </w:tcPr>
          <w:p w14:paraId="6AD2EE12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60" w:type="dxa"/>
            <w:noWrap/>
            <w:hideMark/>
          </w:tcPr>
          <w:p w14:paraId="39042B97" w14:textId="77777777" w:rsidR="00A154CE" w:rsidRPr="005C468A" w:rsidRDefault="00A154CE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4.338</w:t>
            </w:r>
          </w:p>
        </w:tc>
      </w:tr>
    </w:tbl>
    <w:p w14:paraId="2952D23F" w14:textId="3E862B94" w:rsidR="00A154CE" w:rsidRPr="005C468A" w:rsidRDefault="00A154CE" w:rsidP="009D6E7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42923A" w14:textId="0C0AD660" w:rsidR="000A6913" w:rsidRPr="005C468A" w:rsidRDefault="000A6913" w:rsidP="009D6E7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C468A">
        <w:rPr>
          <w:rFonts w:ascii="Times New Roman" w:hAnsi="Times New Roman" w:cs="Times New Roman"/>
          <w:b/>
          <w:bCs/>
          <w:sz w:val="24"/>
          <w:szCs w:val="24"/>
        </w:rPr>
        <w:t>Changes In the bond portfolio</w:t>
      </w:r>
    </w:p>
    <w:p w14:paraId="16CEDB8C" w14:textId="73F6DD31" w:rsidR="000A6913" w:rsidRPr="005C468A" w:rsidRDefault="000A6913" w:rsidP="009D6E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68A">
        <w:rPr>
          <w:rFonts w:ascii="Times New Roman" w:hAnsi="Times New Roman" w:cs="Times New Roman"/>
          <w:sz w:val="24"/>
          <w:szCs w:val="24"/>
        </w:rPr>
        <w:t xml:space="preserve"> </w:t>
      </w:r>
      <w:r w:rsidR="00D3670B" w:rsidRPr="005C468A">
        <w:rPr>
          <w:rFonts w:ascii="Times New Roman" w:hAnsi="Times New Roman" w:cs="Times New Roman"/>
          <w:sz w:val="24"/>
          <w:szCs w:val="24"/>
        </w:rPr>
        <w:t>T</w:t>
      </w:r>
      <w:r w:rsidRPr="005C468A">
        <w:rPr>
          <w:rFonts w:ascii="Times New Roman" w:hAnsi="Times New Roman" w:cs="Times New Roman"/>
          <w:sz w:val="24"/>
          <w:szCs w:val="24"/>
        </w:rPr>
        <w:t xml:space="preserve">he modified duration of the bond gives an indication of the changes in </w:t>
      </w:r>
      <w:r w:rsidR="00D3670B" w:rsidRPr="005C468A">
        <w:rPr>
          <w:rFonts w:ascii="Times New Roman" w:hAnsi="Times New Roman" w:cs="Times New Roman"/>
          <w:sz w:val="24"/>
          <w:szCs w:val="24"/>
        </w:rPr>
        <w:t>the bond values for the period</w:t>
      </w:r>
      <w:r w:rsidR="00F233DA" w:rsidRPr="005C468A">
        <w:rPr>
          <w:rFonts w:ascii="Times New Roman" w:hAnsi="Times New Roman" w:cs="Times New Roman"/>
          <w:sz w:val="24"/>
          <w:szCs w:val="24"/>
        </w:rPr>
        <w:t xml:space="preserve"> </w:t>
      </w:r>
      <w:r w:rsidR="00D3670B" w:rsidRPr="005C468A">
        <w:rPr>
          <w:rFonts w:ascii="Times New Roman" w:hAnsi="Times New Roman" w:cs="Times New Roman"/>
          <w:sz w:val="24"/>
          <w:szCs w:val="24"/>
        </w:rPr>
        <w:t xml:space="preserve">between week 4 and week 6.   Assuming  </w:t>
      </w:r>
      <w:r w:rsidR="00F233DA" w:rsidRPr="005C468A">
        <w:rPr>
          <w:rFonts w:ascii="Times New Roman" w:hAnsi="Times New Roman" w:cs="Times New Roman"/>
          <w:sz w:val="24"/>
          <w:szCs w:val="24"/>
        </w:rPr>
        <w:t xml:space="preserve"> that the interest rates change with 25 basis points or 50 basis p</w:t>
      </w:r>
      <w:r w:rsidR="0064347E">
        <w:rPr>
          <w:rFonts w:ascii="Times New Roman" w:hAnsi="Times New Roman" w:cs="Times New Roman"/>
          <w:sz w:val="24"/>
          <w:szCs w:val="24"/>
        </w:rPr>
        <w:t>oints or 100 basis points, then: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1943"/>
        <w:gridCol w:w="1791"/>
        <w:gridCol w:w="1841"/>
        <w:gridCol w:w="2051"/>
        <w:gridCol w:w="1999"/>
      </w:tblGrid>
      <w:tr w:rsidR="00D3670B" w:rsidRPr="005C468A" w14:paraId="2ED67C1C" w14:textId="77777777" w:rsidTr="001F7F1B">
        <w:trPr>
          <w:trHeight w:val="600"/>
        </w:trPr>
        <w:tc>
          <w:tcPr>
            <w:tcW w:w="1943" w:type="dxa"/>
            <w:noWrap/>
            <w:hideMark/>
          </w:tcPr>
          <w:p w14:paraId="5C898A1B" w14:textId="77777777" w:rsidR="00D3670B" w:rsidRPr="005C468A" w:rsidRDefault="00D3670B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Bond</w:t>
            </w:r>
          </w:p>
        </w:tc>
        <w:tc>
          <w:tcPr>
            <w:tcW w:w="1791" w:type="dxa"/>
            <w:hideMark/>
          </w:tcPr>
          <w:p w14:paraId="23840DB8" w14:textId="77777777" w:rsidR="00D3670B" w:rsidRPr="005C468A" w:rsidRDefault="00D3670B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Modified Duration</w:t>
            </w:r>
          </w:p>
        </w:tc>
        <w:tc>
          <w:tcPr>
            <w:tcW w:w="1841" w:type="dxa"/>
            <w:hideMark/>
          </w:tcPr>
          <w:p w14:paraId="1C0F1281" w14:textId="77777777" w:rsidR="00D3670B" w:rsidRPr="005C468A" w:rsidRDefault="00D3670B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 basis points</w:t>
            </w:r>
          </w:p>
        </w:tc>
        <w:tc>
          <w:tcPr>
            <w:tcW w:w="2051" w:type="dxa"/>
            <w:hideMark/>
          </w:tcPr>
          <w:p w14:paraId="09459D5B" w14:textId="77777777" w:rsidR="00D3670B" w:rsidRPr="005C468A" w:rsidRDefault="00D3670B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 basis Points</w:t>
            </w:r>
          </w:p>
        </w:tc>
        <w:tc>
          <w:tcPr>
            <w:tcW w:w="1999" w:type="dxa"/>
            <w:hideMark/>
          </w:tcPr>
          <w:p w14:paraId="4EB27244" w14:textId="77777777" w:rsidR="00D3670B" w:rsidRPr="005C468A" w:rsidRDefault="00D3670B" w:rsidP="009D6E7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 basis points</w:t>
            </w:r>
          </w:p>
        </w:tc>
      </w:tr>
      <w:tr w:rsidR="00D3670B" w:rsidRPr="005C468A" w14:paraId="6374C9D3" w14:textId="77777777" w:rsidTr="001F7F1B">
        <w:trPr>
          <w:trHeight w:val="300"/>
        </w:trPr>
        <w:tc>
          <w:tcPr>
            <w:tcW w:w="1943" w:type="dxa"/>
            <w:noWrap/>
            <w:hideMark/>
          </w:tcPr>
          <w:p w14:paraId="75641D1A" w14:textId="77777777" w:rsidR="00D3670B" w:rsidRPr="005C468A" w:rsidRDefault="00D3670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Caesar Entmt Corp</w:t>
            </w:r>
          </w:p>
        </w:tc>
        <w:tc>
          <w:tcPr>
            <w:tcW w:w="1791" w:type="dxa"/>
            <w:noWrap/>
            <w:hideMark/>
          </w:tcPr>
          <w:p w14:paraId="1CBD73F8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2.370</w:t>
            </w:r>
          </w:p>
        </w:tc>
        <w:tc>
          <w:tcPr>
            <w:tcW w:w="1841" w:type="dxa"/>
            <w:noWrap/>
            <w:hideMark/>
          </w:tcPr>
          <w:p w14:paraId="2B16BEF2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5.93%</w:t>
            </w:r>
          </w:p>
        </w:tc>
        <w:tc>
          <w:tcPr>
            <w:tcW w:w="2051" w:type="dxa"/>
            <w:noWrap/>
            <w:hideMark/>
          </w:tcPr>
          <w:p w14:paraId="22A81931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11.85%</w:t>
            </w:r>
          </w:p>
        </w:tc>
        <w:tc>
          <w:tcPr>
            <w:tcW w:w="1999" w:type="dxa"/>
            <w:noWrap/>
            <w:hideMark/>
          </w:tcPr>
          <w:p w14:paraId="25DB2706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23.70%</w:t>
            </w:r>
          </w:p>
        </w:tc>
      </w:tr>
      <w:tr w:rsidR="00D3670B" w:rsidRPr="005C468A" w14:paraId="79E2874E" w14:textId="77777777" w:rsidTr="001F7F1B">
        <w:trPr>
          <w:trHeight w:val="300"/>
        </w:trPr>
        <w:tc>
          <w:tcPr>
            <w:tcW w:w="1943" w:type="dxa"/>
            <w:noWrap/>
            <w:hideMark/>
          </w:tcPr>
          <w:p w14:paraId="126F89C8" w14:textId="77777777" w:rsidR="00D3670B" w:rsidRPr="005C468A" w:rsidRDefault="00D3670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 xml:space="preserve">T-Mobile USA </w:t>
            </w:r>
            <w:r w:rsidRPr="005C46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Inc</w:t>
            </w:r>
          </w:p>
        </w:tc>
        <w:tc>
          <w:tcPr>
            <w:tcW w:w="1791" w:type="dxa"/>
            <w:noWrap/>
            <w:hideMark/>
          </w:tcPr>
          <w:p w14:paraId="5C05873C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5.987</w:t>
            </w:r>
          </w:p>
        </w:tc>
        <w:tc>
          <w:tcPr>
            <w:tcW w:w="1841" w:type="dxa"/>
            <w:noWrap/>
            <w:hideMark/>
          </w:tcPr>
          <w:p w14:paraId="5B21F0DF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14.97%</w:t>
            </w:r>
          </w:p>
        </w:tc>
        <w:tc>
          <w:tcPr>
            <w:tcW w:w="2051" w:type="dxa"/>
            <w:noWrap/>
            <w:hideMark/>
          </w:tcPr>
          <w:p w14:paraId="40228051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29.94%</w:t>
            </w:r>
          </w:p>
        </w:tc>
        <w:tc>
          <w:tcPr>
            <w:tcW w:w="1999" w:type="dxa"/>
            <w:noWrap/>
            <w:hideMark/>
          </w:tcPr>
          <w:p w14:paraId="06A16D16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59.87%</w:t>
            </w:r>
          </w:p>
        </w:tc>
      </w:tr>
      <w:tr w:rsidR="00D3670B" w:rsidRPr="005C468A" w14:paraId="30AF5C66" w14:textId="77777777" w:rsidTr="001F7F1B">
        <w:trPr>
          <w:trHeight w:val="300"/>
        </w:trPr>
        <w:tc>
          <w:tcPr>
            <w:tcW w:w="1943" w:type="dxa"/>
            <w:noWrap/>
            <w:hideMark/>
          </w:tcPr>
          <w:p w14:paraId="026DC2E3" w14:textId="77777777" w:rsidR="00D3670B" w:rsidRPr="005C468A" w:rsidRDefault="00D3670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Kraft Heinz Food</w:t>
            </w:r>
          </w:p>
        </w:tc>
        <w:tc>
          <w:tcPr>
            <w:tcW w:w="1791" w:type="dxa"/>
            <w:noWrap/>
            <w:hideMark/>
          </w:tcPr>
          <w:p w14:paraId="47DA2235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4.460</w:t>
            </w:r>
          </w:p>
        </w:tc>
        <w:tc>
          <w:tcPr>
            <w:tcW w:w="1841" w:type="dxa"/>
            <w:noWrap/>
            <w:hideMark/>
          </w:tcPr>
          <w:p w14:paraId="165F1763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11.15%</w:t>
            </w:r>
          </w:p>
        </w:tc>
        <w:tc>
          <w:tcPr>
            <w:tcW w:w="2051" w:type="dxa"/>
            <w:noWrap/>
            <w:hideMark/>
          </w:tcPr>
          <w:p w14:paraId="5910EA0F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22.30%</w:t>
            </w:r>
          </w:p>
        </w:tc>
        <w:tc>
          <w:tcPr>
            <w:tcW w:w="1999" w:type="dxa"/>
            <w:noWrap/>
            <w:hideMark/>
          </w:tcPr>
          <w:p w14:paraId="78F02B05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44.60%</w:t>
            </w:r>
          </w:p>
        </w:tc>
      </w:tr>
      <w:tr w:rsidR="00D3670B" w:rsidRPr="005C468A" w14:paraId="5E308438" w14:textId="77777777" w:rsidTr="001F7F1B">
        <w:trPr>
          <w:trHeight w:val="300"/>
        </w:trPr>
        <w:tc>
          <w:tcPr>
            <w:tcW w:w="1943" w:type="dxa"/>
            <w:noWrap/>
            <w:hideMark/>
          </w:tcPr>
          <w:p w14:paraId="52787904" w14:textId="77777777" w:rsidR="00D3670B" w:rsidRPr="005C468A" w:rsidRDefault="00D3670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Carnival Corp</w:t>
            </w:r>
          </w:p>
        </w:tc>
        <w:tc>
          <w:tcPr>
            <w:tcW w:w="1791" w:type="dxa"/>
            <w:noWrap/>
            <w:hideMark/>
          </w:tcPr>
          <w:p w14:paraId="72C75EA0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1.553</w:t>
            </w:r>
          </w:p>
        </w:tc>
        <w:tc>
          <w:tcPr>
            <w:tcW w:w="1841" w:type="dxa"/>
            <w:noWrap/>
            <w:hideMark/>
          </w:tcPr>
          <w:p w14:paraId="65860799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3.88%</w:t>
            </w:r>
          </w:p>
        </w:tc>
        <w:tc>
          <w:tcPr>
            <w:tcW w:w="2051" w:type="dxa"/>
            <w:noWrap/>
            <w:hideMark/>
          </w:tcPr>
          <w:p w14:paraId="61DE72F0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7.77%</w:t>
            </w:r>
          </w:p>
        </w:tc>
        <w:tc>
          <w:tcPr>
            <w:tcW w:w="1999" w:type="dxa"/>
            <w:noWrap/>
            <w:hideMark/>
          </w:tcPr>
          <w:p w14:paraId="2DEC52C8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15.53%</w:t>
            </w:r>
          </w:p>
        </w:tc>
      </w:tr>
      <w:tr w:rsidR="00D3670B" w:rsidRPr="005C468A" w14:paraId="19742E7A" w14:textId="77777777" w:rsidTr="001F7F1B">
        <w:trPr>
          <w:trHeight w:val="300"/>
        </w:trPr>
        <w:tc>
          <w:tcPr>
            <w:tcW w:w="1943" w:type="dxa"/>
            <w:noWrap/>
            <w:hideMark/>
          </w:tcPr>
          <w:p w14:paraId="064D2FB7" w14:textId="77777777" w:rsidR="00D3670B" w:rsidRPr="005C468A" w:rsidRDefault="00D3670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Chobani LLC</w:t>
            </w:r>
          </w:p>
        </w:tc>
        <w:tc>
          <w:tcPr>
            <w:tcW w:w="1791" w:type="dxa"/>
            <w:noWrap/>
            <w:hideMark/>
          </w:tcPr>
          <w:p w14:paraId="5A2C2B03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3.456</w:t>
            </w:r>
          </w:p>
        </w:tc>
        <w:tc>
          <w:tcPr>
            <w:tcW w:w="1841" w:type="dxa"/>
            <w:noWrap/>
            <w:hideMark/>
          </w:tcPr>
          <w:p w14:paraId="6B7B0062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8.64%</w:t>
            </w:r>
          </w:p>
        </w:tc>
        <w:tc>
          <w:tcPr>
            <w:tcW w:w="2051" w:type="dxa"/>
            <w:noWrap/>
            <w:hideMark/>
          </w:tcPr>
          <w:p w14:paraId="68CA97D3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17.28%</w:t>
            </w:r>
          </w:p>
        </w:tc>
        <w:tc>
          <w:tcPr>
            <w:tcW w:w="1999" w:type="dxa"/>
            <w:noWrap/>
            <w:hideMark/>
          </w:tcPr>
          <w:p w14:paraId="3F2F6CF8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34.56%</w:t>
            </w:r>
          </w:p>
        </w:tc>
      </w:tr>
      <w:tr w:rsidR="00D3670B" w:rsidRPr="005C468A" w14:paraId="41679299" w14:textId="77777777" w:rsidTr="001F7F1B">
        <w:trPr>
          <w:trHeight w:val="300"/>
        </w:trPr>
        <w:tc>
          <w:tcPr>
            <w:tcW w:w="1943" w:type="dxa"/>
            <w:noWrap/>
            <w:hideMark/>
          </w:tcPr>
          <w:p w14:paraId="1927C3A2" w14:textId="77777777" w:rsidR="00D3670B" w:rsidRPr="005C468A" w:rsidRDefault="00D3670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CVS Health Corp</w:t>
            </w:r>
          </w:p>
        </w:tc>
        <w:tc>
          <w:tcPr>
            <w:tcW w:w="1791" w:type="dxa"/>
            <w:noWrap/>
            <w:hideMark/>
          </w:tcPr>
          <w:p w14:paraId="2588D201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10.501</w:t>
            </w:r>
          </w:p>
        </w:tc>
        <w:tc>
          <w:tcPr>
            <w:tcW w:w="1841" w:type="dxa"/>
            <w:noWrap/>
            <w:hideMark/>
          </w:tcPr>
          <w:p w14:paraId="0CED3407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26.25%</w:t>
            </w:r>
          </w:p>
        </w:tc>
        <w:tc>
          <w:tcPr>
            <w:tcW w:w="2051" w:type="dxa"/>
            <w:noWrap/>
            <w:hideMark/>
          </w:tcPr>
          <w:p w14:paraId="02F1A4D9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52.51%</w:t>
            </w:r>
          </w:p>
        </w:tc>
        <w:tc>
          <w:tcPr>
            <w:tcW w:w="1999" w:type="dxa"/>
            <w:noWrap/>
            <w:hideMark/>
          </w:tcPr>
          <w:p w14:paraId="0B4DC412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105.01%</w:t>
            </w:r>
          </w:p>
        </w:tc>
      </w:tr>
      <w:tr w:rsidR="00D3670B" w:rsidRPr="005C468A" w14:paraId="5E3B267E" w14:textId="77777777" w:rsidTr="001F7F1B">
        <w:trPr>
          <w:trHeight w:val="300"/>
        </w:trPr>
        <w:tc>
          <w:tcPr>
            <w:tcW w:w="1943" w:type="dxa"/>
            <w:noWrap/>
            <w:hideMark/>
          </w:tcPr>
          <w:p w14:paraId="3D6FE0EC" w14:textId="77777777" w:rsidR="00D3670B" w:rsidRPr="005C468A" w:rsidRDefault="00D3670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Nissan Motors</w:t>
            </w:r>
          </w:p>
        </w:tc>
        <w:tc>
          <w:tcPr>
            <w:tcW w:w="1791" w:type="dxa"/>
            <w:noWrap/>
            <w:hideMark/>
          </w:tcPr>
          <w:p w14:paraId="08149721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6.553</w:t>
            </w:r>
          </w:p>
        </w:tc>
        <w:tc>
          <w:tcPr>
            <w:tcW w:w="1841" w:type="dxa"/>
            <w:noWrap/>
            <w:hideMark/>
          </w:tcPr>
          <w:p w14:paraId="18F674DA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16.38%</w:t>
            </w:r>
          </w:p>
        </w:tc>
        <w:tc>
          <w:tcPr>
            <w:tcW w:w="2051" w:type="dxa"/>
            <w:noWrap/>
            <w:hideMark/>
          </w:tcPr>
          <w:p w14:paraId="41ED9AF3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32.77%</w:t>
            </w:r>
          </w:p>
        </w:tc>
        <w:tc>
          <w:tcPr>
            <w:tcW w:w="1999" w:type="dxa"/>
            <w:noWrap/>
            <w:hideMark/>
          </w:tcPr>
          <w:p w14:paraId="535E2841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65.53%</w:t>
            </w:r>
          </w:p>
        </w:tc>
      </w:tr>
      <w:tr w:rsidR="00D3670B" w:rsidRPr="005C468A" w14:paraId="620CC8F6" w14:textId="77777777" w:rsidTr="001F7F1B">
        <w:trPr>
          <w:trHeight w:val="300"/>
        </w:trPr>
        <w:tc>
          <w:tcPr>
            <w:tcW w:w="1943" w:type="dxa"/>
            <w:noWrap/>
            <w:hideMark/>
          </w:tcPr>
          <w:p w14:paraId="1E40AAA9" w14:textId="77777777" w:rsidR="00D3670B" w:rsidRPr="005C468A" w:rsidRDefault="00D3670B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Sherwin Williams</w:t>
            </w:r>
          </w:p>
        </w:tc>
        <w:tc>
          <w:tcPr>
            <w:tcW w:w="1791" w:type="dxa"/>
            <w:noWrap/>
            <w:hideMark/>
          </w:tcPr>
          <w:p w14:paraId="31DFC4AD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4.890</w:t>
            </w:r>
          </w:p>
        </w:tc>
        <w:tc>
          <w:tcPr>
            <w:tcW w:w="1841" w:type="dxa"/>
            <w:noWrap/>
            <w:hideMark/>
          </w:tcPr>
          <w:p w14:paraId="7088EBEC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12.23%</w:t>
            </w:r>
          </w:p>
        </w:tc>
        <w:tc>
          <w:tcPr>
            <w:tcW w:w="2051" w:type="dxa"/>
            <w:noWrap/>
            <w:hideMark/>
          </w:tcPr>
          <w:p w14:paraId="4FCFBD16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24.45%</w:t>
            </w:r>
          </w:p>
        </w:tc>
        <w:tc>
          <w:tcPr>
            <w:tcW w:w="1999" w:type="dxa"/>
            <w:noWrap/>
            <w:hideMark/>
          </w:tcPr>
          <w:p w14:paraId="6F95D4AC" w14:textId="77777777" w:rsidR="00D3670B" w:rsidRPr="005C468A" w:rsidRDefault="00D3670B" w:rsidP="009D6E72">
            <w:pPr>
              <w:spacing w:line="480" w:lineRule="auto"/>
              <w:ind w:firstLine="810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48.90%</w:t>
            </w:r>
          </w:p>
        </w:tc>
      </w:tr>
    </w:tbl>
    <w:p w14:paraId="61643671" w14:textId="77777777" w:rsidR="00D3670B" w:rsidRPr="005C468A" w:rsidRDefault="00D3670B" w:rsidP="009D6E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EFB5FB" w14:textId="62CD5FAD" w:rsidR="000A6913" w:rsidRPr="005C468A" w:rsidRDefault="00F233DA" w:rsidP="009D6E7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C468A">
        <w:rPr>
          <w:rFonts w:ascii="Times New Roman" w:hAnsi="Times New Roman" w:cs="Times New Roman"/>
          <w:b/>
          <w:bCs/>
          <w:sz w:val="24"/>
          <w:szCs w:val="24"/>
        </w:rPr>
        <w:t>Bond index</w:t>
      </w:r>
    </w:p>
    <w:p w14:paraId="7BDC688E" w14:textId="53C3CF26" w:rsidR="0040723A" w:rsidRPr="005C468A" w:rsidRDefault="0040723A" w:rsidP="009D6E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68A">
        <w:rPr>
          <w:rFonts w:ascii="Times New Roman" w:hAnsi="Times New Roman" w:cs="Times New Roman"/>
          <w:sz w:val="24"/>
          <w:szCs w:val="24"/>
        </w:rPr>
        <w:t>A bond index is composed of particular bonds that measure the value of the part   of the bond market</w:t>
      </w:r>
      <w:r w:rsidR="005C468A">
        <w:rPr>
          <w:rFonts w:ascii="Times New Roman" w:hAnsi="Times New Roman" w:cs="Times New Roman"/>
          <w:sz w:val="24"/>
          <w:szCs w:val="24"/>
        </w:rPr>
        <w:t xml:space="preserve"> (Financial </w:t>
      </w:r>
      <w:proofErr w:type="gramStart"/>
      <w:r w:rsidR="005C468A">
        <w:rPr>
          <w:rFonts w:ascii="Times New Roman" w:hAnsi="Times New Roman" w:cs="Times New Roman"/>
          <w:sz w:val="24"/>
          <w:szCs w:val="24"/>
        </w:rPr>
        <w:t>Pipeline ,</w:t>
      </w:r>
      <w:proofErr w:type="gramEnd"/>
      <w:r w:rsidR="005C468A">
        <w:rPr>
          <w:rFonts w:ascii="Times New Roman" w:hAnsi="Times New Roman" w:cs="Times New Roman"/>
          <w:sz w:val="24"/>
          <w:szCs w:val="24"/>
        </w:rPr>
        <w:t xml:space="preserve"> 2021).</w:t>
      </w:r>
      <w:r w:rsidRPr="005C468A">
        <w:rPr>
          <w:rFonts w:ascii="Times New Roman" w:hAnsi="Times New Roman" w:cs="Times New Roman"/>
          <w:sz w:val="24"/>
          <w:szCs w:val="24"/>
        </w:rPr>
        <w:t xml:space="preserve"> The bond index selected to be </w:t>
      </w:r>
      <w:r w:rsidR="008418C3" w:rsidRPr="005C468A">
        <w:rPr>
          <w:rFonts w:ascii="Times New Roman" w:hAnsi="Times New Roman" w:cs="Times New Roman"/>
          <w:sz w:val="24"/>
          <w:szCs w:val="24"/>
        </w:rPr>
        <w:t xml:space="preserve">compared with the bond portfolio are the bonds with the highest coupon rates.  They are Carnival Corp, Chobani LLC, and CVS Health Corp.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1424"/>
        <w:gridCol w:w="1111"/>
        <w:gridCol w:w="1580"/>
        <w:gridCol w:w="990"/>
        <w:gridCol w:w="1081"/>
        <w:gridCol w:w="1459"/>
      </w:tblGrid>
      <w:tr w:rsidR="008418C3" w:rsidRPr="005C468A" w14:paraId="535612A6" w14:textId="77777777" w:rsidTr="008418C3">
        <w:trPr>
          <w:trHeight w:val="300"/>
        </w:trPr>
        <w:tc>
          <w:tcPr>
            <w:tcW w:w="1705" w:type="dxa"/>
            <w:noWrap/>
            <w:hideMark/>
          </w:tcPr>
          <w:p w14:paraId="50266219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Carnival Corp</w:t>
            </w:r>
          </w:p>
        </w:tc>
        <w:tc>
          <w:tcPr>
            <w:tcW w:w="1424" w:type="dxa"/>
            <w:noWrap/>
            <w:hideMark/>
          </w:tcPr>
          <w:p w14:paraId="6B8E2668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4000000000</w:t>
            </w:r>
          </w:p>
        </w:tc>
        <w:tc>
          <w:tcPr>
            <w:tcW w:w="1111" w:type="dxa"/>
            <w:noWrap/>
            <w:hideMark/>
          </w:tcPr>
          <w:p w14:paraId="47644F01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Non</w:t>
            </w:r>
          </w:p>
        </w:tc>
        <w:tc>
          <w:tcPr>
            <w:tcW w:w="1580" w:type="dxa"/>
            <w:noWrap/>
            <w:hideMark/>
          </w:tcPr>
          <w:p w14:paraId="6E37B081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7.2%</w:t>
            </w:r>
          </w:p>
        </w:tc>
        <w:tc>
          <w:tcPr>
            <w:tcW w:w="990" w:type="dxa"/>
            <w:noWrap/>
            <w:hideMark/>
          </w:tcPr>
          <w:p w14:paraId="697B2837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0.555</w:t>
            </w:r>
          </w:p>
        </w:tc>
        <w:tc>
          <w:tcPr>
            <w:tcW w:w="1081" w:type="dxa"/>
            <w:noWrap/>
          </w:tcPr>
          <w:p w14:paraId="34C2C0CA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10/01/23</w:t>
            </w:r>
          </w:p>
        </w:tc>
        <w:tc>
          <w:tcPr>
            <w:tcW w:w="1459" w:type="dxa"/>
            <w:noWrap/>
            <w:hideMark/>
          </w:tcPr>
          <w:p w14:paraId="2E6AD40F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B-</w:t>
            </w:r>
          </w:p>
        </w:tc>
      </w:tr>
      <w:tr w:rsidR="008418C3" w:rsidRPr="005C468A" w14:paraId="2E5DD769" w14:textId="77777777" w:rsidTr="008418C3">
        <w:trPr>
          <w:trHeight w:val="300"/>
        </w:trPr>
        <w:tc>
          <w:tcPr>
            <w:tcW w:w="1705" w:type="dxa"/>
            <w:noWrap/>
            <w:hideMark/>
          </w:tcPr>
          <w:p w14:paraId="281643EC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Chobani LLC</w:t>
            </w:r>
          </w:p>
        </w:tc>
        <w:tc>
          <w:tcPr>
            <w:tcW w:w="1424" w:type="dxa"/>
            <w:noWrap/>
            <w:hideMark/>
          </w:tcPr>
          <w:p w14:paraId="79387180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425000000</w:t>
            </w:r>
          </w:p>
        </w:tc>
        <w:tc>
          <w:tcPr>
            <w:tcW w:w="1111" w:type="dxa"/>
            <w:noWrap/>
            <w:hideMark/>
          </w:tcPr>
          <w:p w14:paraId="05672142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Non</w:t>
            </w:r>
          </w:p>
        </w:tc>
        <w:tc>
          <w:tcPr>
            <w:tcW w:w="1580" w:type="dxa"/>
            <w:noWrap/>
            <w:hideMark/>
          </w:tcPr>
          <w:p w14:paraId="607387DD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7.50%</w:t>
            </w:r>
          </w:p>
        </w:tc>
        <w:tc>
          <w:tcPr>
            <w:tcW w:w="990" w:type="dxa"/>
            <w:noWrap/>
            <w:hideMark/>
          </w:tcPr>
          <w:p w14:paraId="4B300D8A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</w:p>
        </w:tc>
        <w:tc>
          <w:tcPr>
            <w:tcW w:w="1081" w:type="dxa"/>
            <w:noWrap/>
          </w:tcPr>
          <w:p w14:paraId="0D844253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04/15/25</w:t>
            </w:r>
          </w:p>
        </w:tc>
        <w:tc>
          <w:tcPr>
            <w:tcW w:w="1459" w:type="dxa"/>
            <w:noWrap/>
            <w:hideMark/>
          </w:tcPr>
          <w:p w14:paraId="25F11FCE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CCC</w:t>
            </w:r>
          </w:p>
        </w:tc>
      </w:tr>
      <w:tr w:rsidR="008418C3" w:rsidRPr="005C468A" w14:paraId="494EDE5A" w14:textId="77777777" w:rsidTr="008418C3">
        <w:trPr>
          <w:trHeight w:val="300"/>
        </w:trPr>
        <w:tc>
          <w:tcPr>
            <w:tcW w:w="1705" w:type="dxa"/>
            <w:noWrap/>
            <w:hideMark/>
          </w:tcPr>
          <w:p w14:paraId="611DAC1D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CVS Health Corp</w:t>
            </w:r>
          </w:p>
        </w:tc>
        <w:tc>
          <w:tcPr>
            <w:tcW w:w="1424" w:type="dxa"/>
            <w:noWrap/>
            <w:hideMark/>
          </w:tcPr>
          <w:p w14:paraId="4A60ADA0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750000000</w:t>
            </w:r>
          </w:p>
        </w:tc>
        <w:tc>
          <w:tcPr>
            <w:tcW w:w="1111" w:type="dxa"/>
            <w:noWrap/>
            <w:hideMark/>
          </w:tcPr>
          <w:p w14:paraId="79F1ABD6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Non</w:t>
            </w:r>
          </w:p>
        </w:tc>
        <w:tc>
          <w:tcPr>
            <w:tcW w:w="1580" w:type="dxa"/>
            <w:noWrap/>
            <w:hideMark/>
          </w:tcPr>
          <w:p w14:paraId="475A3358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6.125%</w:t>
            </w:r>
          </w:p>
        </w:tc>
        <w:tc>
          <w:tcPr>
            <w:tcW w:w="990" w:type="dxa"/>
            <w:noWrap/>
            <w:hideMark/>
          </w:tcPr>
          <w:p w14:paraId="6A708185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1.095</w:t>
            </w:r>
          </w:p>
        </w:tc>
        <w:tc>
          <w:tcPr>
            <w:tcW w:w="1081" w:type="dxa"/>
            <w:noWrap/>
          </w:tcPr>
          <w:p w14:paraId="7925C140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09/15/39</w:t>
            </w:r>
          </w:p>
        </w:tc>
        <w:tc>
          <w:tcPr>
            <w:tcW w:w="1459" w:type="dxa"/>
            <w:noWrap/>
            <w:hideMark/>
          </w:tcPr>
          <w:p w14:paraId="3873B0B5" w14:textId="77777777" w:rsidR="008418C3" w:rsidRPr="005C468A" w:rsidRDefault="008418C3" w:rsidP="009D6E7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68A">
              <w:rPr>
                <w:rFonts w:ascii="Times New Roman" w:hAnsi="Times New Roman" w:cs="Times New Roman"/>
                <w:sz w:val="24"/>
                <w:szCs w:val="24"/>
              </w:rPr>
              <w:t>BBB</w:t>
            </w:r>
          </w:p>
        </w:tc>
      </w:tr>
    </w:tbl>
    <w:p w14:paraId="02F5E830" w14:textId="4FE41E48" w:rsidR="008418C3" w:rsidRPr="005C468A" w:rsidRDefault="008418C3" w:rsidP="009D6E7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6A9348" w14:textId="7DBBEED6" w:rsidR="008418C3" w:rsidRPr="005C468A" w:rsidRDefault="008418C3" w:rsidP="00D81D7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C46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C468A">
        <w:rPr>
          <w:rFonts w:ascii="Times New Roman" w:hAnsi="Times New Roman" w:cs="Times New Roman"/>
          <w:sz w:val="24"/>
          <w:szCs w:val="24"/>
        </w:rPr>
        <w:t xml:space="preserve">The three bonds indicated above represent the prevailing market interest rates which are indicative of the </w:t>
      </w:r>
      <w:r w:rsidR="00CF6D2B" w:rsidRPr="005C468A">
        <w:rPr>
          <w:rFonts w:ascii="Times New Roman" w:hAnsi="Times New Roman" w:cs="Times New Roman"/>
          <w:sz w:val="24"/>
          <w:szCs w:val="24"/>
        </w:rPr>
        <w:t>income risk</w:t>
      </w:r>
      <w:r w:rsidRPr="005C468A">
        <w:rPr>
          <w:rFonts w:ascii="Times New Roman" w:hAnsi="Times New Roman" w:cs="Times New Roman"/>
          <w:sz w:val="24"/>
          <w:szCs w:val="24"/>
        </w:rPr>
        <w:t xml:space="preserve"> associated with</w:t>
      </w:r>
      <w:r w:rsidR="002F491A" w:rsidRPr="005C468A">
        <w:rPr>
          <w:rFonts w:ascii="Times New Roman" w:hAnsi="Times New Roman" w:cs="Times New Roman"/>
          <w:sz w:val="24"/>
          <w:szCs w:val="24"/>
        </w:rPr>
        <w:t xml:space="preserve"> investment in fixed income investments</w:t>
      </w:r>
      <w:r w:rsidR="00CF6D2B" w:rsidRPr="005C468A">
        <w:rPr>
          <w:rFonts w:ascii="Times New Roman" w:hAnsi="Times New Roman" w:cs="Times New Roman"/>
          <w:sz w:val="24"/>
          <w:szCs w:val="24"/>
        </w:rPr>
        <w:t>.</w:t>
      </w:r>
    </w:p>
    <w:p w14:paraId="2DC69402" w14:textId="7235BEBD" w:rsidR="00CF6D2B" w:rsidRPr="005C468A" w:rsidRDefault="00CF6D2B" w:rsidP="00D81D7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C468A">
        <w:rPr>
          <w:rFonts w:ascii="Times New Roman" w:hAnsi="Times New Roman" w:cs="Times New Roman"/>
          <w:b/>
          <w:bCs/>
          <w:sz w:val="24"/>
          <w:szCs w:val="24"/>
        </w:rPr>
        <w:lastRenderedPageBreak/>
        <w:t>Characteristics of the bond index that would make its performance vary from the client bond portfolio.</w:t>
      </w:r>
    </w:p>
    <w:p w14:paraId="0E119C0D" w14:textId="5DB6D2D3" w:rsidR="00CF6D2B" w:rsidRPr="005C468A" w:rsidRDefault="009D577C" w:rsidP="00D81D7C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are certain features that</w:t>
      </w:r>
      <w:r w:rsidR="00CF6D2B" w:rsidRPr="005C468A">
        <w:rPr>
          <w:rFonts w:ascii="Times New Roman" w:hAnsi="Times New Roman" w:cs="Times New Roman"/>
          <w:sz w:val="24"/>
          <w:szCs w:val="24"/>
        </w:rPr>
        <w:t xml:space="preserve"> may lead </w:t>
      </w:r>
      <w:r w:rsidR="00ED5A30" w:rsidRPr="005C468A">
        <w:rPr>
          <w:rFonts w:ascii="Times New Roman" w:hAnsi="Times New Roman" w:cs="Times New Roman"/>
          <w:sz w:val="24"/>
          <w:szCs w:val="24"/>
        </w:rPr>
        <w:t>to difference</w:t>
      </w:r>
      <w:r>
        <w:rPr>
          <w:rFonts w:ascii="Times New Roman" w:hAnsi="Times New Roman" w:cs="Times New Roman"/>
          <w:sz w:val="24"/>
          <w:szCs w:val="24"/>
        </w:rPr>
        <w:t xml:space="preserve"> in performance between the</w:t>
      </w:r>
      <w:r w:rsidR="00CF6D2B" w:rsidRPr="005C468A">
        <w:rPr>
          <w:rFonts w:ascii="Times New Roman" w:hAnsi="Times New Roman" w:cs="Times New Roman"/>
          <w:sz w:val="24"/>
          <w:szCs w:val="24"/>
        </w:rPr>
        <w:t xml:space="preserve"> bond portfolio and </w:t>
      </w:r>
      <w:r w:rsidR="00ED5A30" w:rsidRPr="005C468A">
        <w:rPr>
          <w:rFonts w:ascii="Times New Roman" w:hAnsi="Times New Roman" w:cs="Times New Roman"/>
          <w:sz w:val="24"/>
          <w:szCs w:val="24"/>
        </w:rPr>
        <w:t>the bond index</w:t>
      </w:r>
      <w:r w:rsidR="00CF6D2B" w:rsidRPr="005C468A">
        <w:rPr>
          <w:rFonts w:ascii="Times New Roman" w:hAnsi="Times New Roman" w:cs="Times New Roman"/>
          <w:sz w:val="24"/>
          <w:szCs w:val="24"/>
        </w:rPr>
        <w:t xml:space="preserve">.  They are the coupon rate which is an indicator of the cashflows </w:t>
      </w:r>
      <w:r w:rsidR="00ED5A30" w:rsidRPr="005C468A">
        <w:rPr>
          <w:rFonts w:ascii="Times New Roman" w:hAnsi="Times New Roman" w:cs="Times New Roman"/>
          <w:sz w:val="24"/>
          <w:szCs w:val="24"/>
        </w:rPr>
        <w:t>that’re</w:t>
      </w:r>
      <w:r w:rsidR="00CF6D2B" w:rsidRPr="005C468A">
        <w:rPr>
          <w:rFonts w:ascii="Times New Roman" w:hAnsi="Times New Roman" w:cs="Times New Roman"/>
          <w:sz w:val="24"/>
          <w:szCs w:val="24"/>
        </w:rPr>
        <w:t xml:space="preserve"> expected from the bon</w:t>
      </w:r>
      <w:r w:rsidR="00ED5A30" w:rsidRPr="005C468A">
        <w:rPr>
          <w:rFonts w:ascii="Times New Roman" w:hAnsi="Times New Roman" w:cs="Times New Roman"/>
          <w:sz w:val="24"/>
          <w:szCs w:val="24"/>
        </w:rPr>
        <w:t>d and the modified duration which points to the sensitivity of the bond value relative to the changes in the interest rates</w:t>
      </w:r>
      <w:r>
        <w:rPr>
          <w:rFonts w:ascii="Times New Roman" w:hAnsi="Times New Roman" w:cs="Times New Roman"/>
          <w:sz w:val="24"/>
          <w:szCs w:val="24"/>
        </w:rPr>
        <w:t xml:space="preserve"> (Adrian &amp; </w:t>
      </w:r>
      <w:r w:rsidR="005C468A">
        <w:rPr>
          <w:rFonts w:ascii="Times New Roman" w:hAnsi="Times New Roman" w:cs="Times New Roman"/>
          <w:sz w:val="24"/>
          <w:szCs w:val="24"/>
        </w:rPr>
        <w:t>Malik, 2021).</w:t>
      </w:r>
      <w:r w:rsidR="00ED5A30" w:rsidRPr="005C468A">
        <w:rPr>
          <w:rFonts w:ascii="Times New Roman" w:hAnsi="Times New Roman" w:cs="Times New Roman"/>
          <w:sz w:val="24"/>
          <w:szCs w:val="24"/>
        </w:rPr>
        <w:t xml:space="preserve"> The average coupon rate of the bond index selected is higher than the average coupon rate of the entire bond portfolio. Furthermore, </w:t>
      </w:r>
      <w:r w:rsidR="001F2D17" w:rsidRPr="005C468A">
        <w:rPr>
          <w:rFonts w:ascii="Times New Roman" w:hAnsi="Times New Roman" w:cs="Times New Roman"/>
          <w:sz w:val="24"/>
          <w:szCs w:val="24"/>
        </w:rPr>
        <w:t>the average</w:t>
      </w:r>
      <w:r w:rsidR="00ED5A30" w:rsidRPr="005C468A">
        <w:rPr>
          <w:rFonts w:ascii="Times New Roman" w:hAnsi="Times New Roman" w:cs="Times New Roman"/>
          <w:sz w:val="24"/>
          <w:szCs w:val="24"/>
        </w:rPr>
        <w:t xml:space="preserve"> weighted modified duration of the bond index </w:t>
      </w:r>
      <w:r w:rsidR="001F2D17" w:rsidRPr="005C468A">
        <w:rPr>
          <w:rFonts w:ascii="Times New Roman" w:hAnsi="Times New Roman" w:cs="Times New Roman"/>
          <w:sz w:val="24"/>
          <w:szCs w:val="24"/>
        </w:rPr>
        <w:t>is 0.453</w:t>
      </w:r>
      <w:r w:rsidR="00BC27BA">
        <w:rPr>
          <w:rFonts w:ascii="Times New Roman" w:hAnsi="Times New Roman" w:cs="Times New Roman"/>
          <w:sz w:val="24"/>
          <w:szCs w:val="24"/>
        </w:rPr>
        <w:t>,</w:t>
      </w:r>
      <w:r w:rsidR="00ED5A30" w:rsidRPr="005C468A">
        <w:rPr>
          <w:rFonts w:ascii="Times New Roman" w:hAnsi="Times New Roman" w:cs="Times New Roman"/>
          <w:sz w:val="24"/>
          <w:szCs w:val="24"/>
        </w:rPr>
        <w:t xml:space="preserve"> </w:t>
      </w:r>
      <w:r w:rsidR="001F2D17" w:rsidRPr="005C468A">
        <w:rPr>
          <w:rFonts w:ascii="Times New Roman" w:hAnsi="Times New Roman" w:cs="Times New Roman"/>
          <w:sz w:val="24"/>
          <w:szCs w:val="24"/>
        </w:rPr>
        <w:t>which is</w:t>
      </w:r>
      <w:r w:rsidR="0064347E">
        <w:rPr>
          <w:rFonts w:ascii="Times New Roman" w:hAnsi="Times New Roman" w:cs="Times New Roman"/>
          <w:sz w:val="24"/>
          <w:szCs w:val="24"/>
        </w:rPr>
        <w:t xml:space="preserve"> less</w:t>
      </w:r>
      <w:r w:rsidR="00ED5A30" w:rsidRPr="005C468A">
        <w:rPr>
          <w:rFonts w:ascii="Times New Roman" w:hAnsi="Times New Roman" w:cs="Times New Roman"/>
          <w:sz w:val="24"/>
          <w:szCs w:val="24"/>
        </w:rPr>
        <w:t xml:space="preserve"> than the average </w:t>
      </w:r>
      <w:r w:rsidR="001F2D17" w:rsidRPr="005C468A">
        <w:rPr>
          <w:rFonts w:ascii="Times New Roman" w:hAnsi="Times New Roman" w:cs="Times New Roman"/>
          <w:sz w:val="24"/>
          <w:szCs w:val="24"/>
        </w:rPr>
        <w:t>weighted modified</w:t>
      </w:r>
      <w:r w:rsidR="00ED5A30" w:rsidRPr="005C468A">
        <w:rPr>
          <w:rFonts w:ascii="Times New Roman" w:hAnsi="Times New Roman" w:cs="Times New Roman"/>
          <w:sz w:val="24"/>
          <w:szCs w:val="24"/>
        </w:rPr>
        <w:t xml:space="preserve"> duration </w:t>
      </w:r>
      <w:r w:rsidR="001F2D17" w:rsidRPr="005C468A">
        <w:rPr>
          <w:rFonts w:ascii="Times New Roman" w:hAnsi="Times New Roman" w:cs="Times New Roman"/>
          <w:sz w:val="24"/>
          <w:szCs w:val="24"/>
        </w:rPr>
        <w:t>of the</w:t>
      </w:r>
      <w:r w:rsidR="00BC27BA">
        <w:rPr>
          <w:rFonts w:ascii="Times New Roman" w:hAnsi="Times New Roman" w:cs="Times New Roman"/>
          <w:sz w:val="24"/>
          <w:szCs w:val="24"/>
        </w:rPr>
        <w:t xml:space="preserve"> entire bond portfolio. Thus,</w:t>
      </w:r>
      <w:r w:rsidR="001F2D17" w:rsidRPr="005C468A">
        <w:rPr>
          <w:rFonts w:ascii="Times New Roman" w:hAnsi="Times New Roman" w:cs="Times New Roman"/>
          <w:sz w:val="24"/>
          <w:szCs w:val="24"/>
        </w:rPr>
        <w:t xml:space="preserve"> </w:t>
      </w:r>
      <w:r w:rsidR="00BC27BA">
        <w:rPr>
          <w:rFonts w:ascii="Times New Roman" w:hAnsi="Times New Roman" w:cs="Times New Roman"/>
          <w:sz w:val="24"/>
          <w:szCs w:val="24"/>
        </w:rPr>
        <w:t xml:space="preserve">the sensitivity of the </w:t>
      </w:r>
      <w:r w:rsidR="001F2D17" w:rsidRPr="005C468A">
        <w:rPr>
          <w:rFonts w:ascii="Times New Roman" w:hAnsi="Times New Roman" w:cs="Times New Roman"/>
          <w:sz w:val="24"/>
          <w:szCs w:val="24"/>
        </w:rPr>
        <w:t>bond index</w:t>
      </w:r>
      <w:r w:rsidR="00BC27BA">
        <w:rPr>
          <w:rFonts w:ascii="Times New Roman" w:hAnsi="Times New Roman" w:cs="Times New Roman"/>
          <w:sz w:val="24"/>
          <w:szCs w:val="24"/>
        </w:rPr>
        <w:t>’s value</w:t>
      </w:r>
      <w:r w:rsidR="001F2D17" w:rsidRPr="005C468A">
        <w:rPr>
          <w:rFonts w:ascii="Times New Roman" w:hAnsi="Times New Roman" w:cs="Times New Roman"/>
          <w:sz w:val="24"/>
          <w:szCs w:val="24"/>
        </w:rPr>
        <w:t xml:space="preserve"> to changes</w:t>
      </w:r>
      <w:r w:rsidR="00BC27BA">
        <w:rPr>
          <w:rFonts w:ascii="Times New Roman" w:hAnsi="Times New Roman" w:cs="Times New Roman"/>
          <w:sz w:val="24"/>
          <w:szCs w:val="24"/>
        </w:rPr>
        <w:t xml:space="preserve"> in interest rates is less</w:t>
      </w:r>
      <w:r w:rsidR="001F2D17" w:rsidRPr="005C468A">
        <w:rPr>
          <w:rFonts w:ascii="Times New Roman" w:hAnsi="Times New Roman" w:cs="Times New Roman"/>
          <w:sz w:val="24"/>
          <w:szCs w:val="24"/>
        </w:rPr>
        <w:t xml:space="preserve"> than that of the bond portfolio</w:t>
      </w:r>
    </w:p>
    <w:p w14:paraId="4ED5A0B3" w14:textId="6984F35D" w:rsidR="002822FC" w:rsidRPr="005C468A" w:rsidRDefault="002822FC" w:rsidP="00D81D7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C468A">
        <w:rPr>
          <w:rFonts w:ascii="Times New Roman" w:hAnsi="Times New Roman" w:cs="Times New Roman"/>
          <w:b/>
          <w:bCs/>
          <w:sz w:val="24"/>
          <w:szCs w:val="24"/>
        </w:rPr>
        <w:t>Suitable Bonds</w:t>
      </w:r>
    </w:p>
    <w:p w14:paraId="2C791652" w14:textId="26921FBD" w:rsidR="002822FC" w:rsidRPr="005C468A" w:rsidRDefault="002822FC" w:rsidP="00D81D7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C46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6E72" w:rsidRPr="005C468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C468A">
        <w:rPr>
          <w:rFonts w:ascii="Times New Roman" w:hAnsi="Times New Roman" w:cs="Times New Roman"/>
          <w:sz w:val="24"/>
          <w:szCs w:val="24"/>
        </w:rPr>
        <w:t xml:space="preserve">The investor is average risk tolerant therefore, we would select a bond with relatively lower risks but with decent returns </w:t>
      </w:r>
      <w:r w:rsidR="00A27E60" w:rsidRPr="005C468A">
        <w:rPr>
          <w:rFonts w:ascii="Times New Roman" w:hAnsi="Times New Roman" w:cs="Times New Roman"/>
          <w:sz w:val="24"/>
          <w:szCs w:val="24"/>
        </w:rPr>
        <w:t>for both</w:t>
      </w:r>
      <w:r w:rsidRPr="005C468A">
        <w:rPr>
          <w:rFonts w:ascii="Times New Roman" w:hAnsi="Times New Roman" w:cs="Times New Roman"/>
          <w:sz w:val="24"/>
          <w:szCs w:val="24"/>
        </w:rPr>
        <w:t xml:space="preserve"> safety an</w:t>
      </w:r>
      <w:r w:rsidR="00BC27BA">
        <w:rPr>
          <w:rFonts w:ascii="Times New Roman" w:hAnsi="Times New Roman" w:cs="Times New Roman"/>
          <w:sz w:val="24"/>
          <w:szCs w:val="24"/>
        </w:rPr>
        <w:t>d income objectives. Therefore,</w:t>
      </w:r>
      <w:r w:rsidR="006974F2">
        <w:rPr>
          <w:rFonts w:ascii="Times New Roman" w:hAnsi="Times New Roman" w:cs="Times New Roman"/>
          <w:sz w:val="24"/>
          <w:szCs w:val="24"/>
        </w:rPr>
        <w:t xml:space="preserve"> T- Mobile USA with a </w:t>
      </w:r>
      <w:r w:rsidRPr="005C468A">
        <w:rPr>
          <w:rFonts w:ascii="Times New Roman" w:hAnsi="Times New Roman" w:cs="Times New Roman"/>
          <w:sz w:val="24"/>
          <w:szCs w:val="24"/>
        </w:rPr>
        <w:t>6.5</w:t>
      </w:r>
      <w:r w:rsidR="006974F2">
        <w:rPr>
          <w:rFonts w:ascii="Times New Roman" w:hAnsi="Times New Roman" w:cs="Times New Roman"/>
          <w:sz w:val="24"/>
          <w:szCs w:val="24"/>
        </w:rPr>
        <w:t>% coupon rate,</w:t>
      </w:r>
      <w:r w:rsidR="00BC27BA">
        <w:rPr>
          <w:rFonts w:ascii="Times New Roman" w:hAnsi="Times New Roman" w:cs="Times New Roman"/>
          <w:sz w:val="24"/>
          <w:szCs w:val="24"/>
        </w:rPr>
        <w:t xml:space="preserve"> CVS Health Corp with</w:t>
      </w:r>
      <w:r w:rsidR="006974F2">
        <w:rPr>
          <w:rFonts w:ascii="Times New Roman" w:hAnsi="Times New Roman" w:cs="Times New Roman"/>
          <w:sz w:val="24"/>
          <w:szCs w:val="24"/>
        </w:rPr>
        <w:t xml:space="preserve"> </w:t>
      </w:r>
      <w:r w:rsidR="00A27E60" w:rsidRPr="005C468A">
        <w:rPr>
          <w:rFonts w:ascii="Times New Roman" w:hAnsi="Times New Roman" w:cs="Times New Roman"/>
          <w:sz w:val="24"/>
          <w:szCs w:val="24"/>
        </w:rPr>
        <w:t>6.2</w:t>
      </w:r>
      <w:r w:rsidR="006974F2">
        <w:rPr>
          <w:rFonts w:ascii="Times New Roman" w:hAnsi="Times New Roman" w:cs="Times New Roman"/>
          <w:sz w:val="24"/>
          <w:szCs w:val="24"/>
        </w:rPr>
        <w:t xml:space="preserve">0%, </w:t>
      </w:r>
      <w:r w:rsidR="00BC27BA">
        <w:rPr>
          <w:rFonts w:ascii="Times New Roman" w:hAnsi="Times New Roman" w:cs="Times New Roman"/>
          <w:sz w:val="24"/>
          <w:szCs w:val="24"/>
        </w:rPr>
        <w:t xml:space="preserve">and Sherwin Williams, </w:t>
      </w:r>
      <w:r w:rsidR="006974F2">
        <w:rPr>
          <w:rFonts w:ascii="Times New Roman" w:hAnsi="Times New Roman" w:cs="Times New Roman"/>
          <w:sz w:val="24"/>
          <w:szCs w:val="24"/>
        </w:rPr>
        <w:t>5.5%</w:t>
      </w:r>
      <w:r w:rsidR="00BC27BA">
        <w:rPr>
          <w:rFonts w:ascii="Times New Roman" w:hAnsi="Times New Roman" w:cs="Times New Roman"/>
          <w:sz w:val="24"/>
          <w:szCs w:val="24"/>
        </w:rPr>
        <w:t xml:space="preserve"> would be </w:t>
      </w:r>
      <w:r w:rsidR="00BC27BA" w:rsidRPr="005C468A">
        <w:rPr>
          <w:rFonts w:ascii="Times New Roman" w:hAnsi="Times New Roman" w:cs="Times New Roman"/>
          <w:sz w:val="24"/>
          <w:szCs w:val="24"/>
        </w:rPr>
        <w:t xml:space="preserve">the </w:t>
      </w:r>
      <w:r w:rsidR="00BC27BA">
        <w:rPr>
          <w:rFonts w:ascii="Times New Roman" w:hAnsi="Times New Roman" w:cs="Times New Roman"/>
          <w:sz w:val="24"/>
          <w:szCs w:val="24"/>
        </w:rPr>
        <w:t>most suitable choice of</w:t>
      </w:r>
      <w:r w:rsidR="00BC27BA" w:rsidRPr="005C468A">
        <w:rPr>
          <w:rFonts w:ascii="Times New Roman" w:hAnsi="Times New Roman" w:cs="Times New Roman"/>
          <w:sz w:val="24"/>
          <w:szCs w:val="24"/>
        </w:rPr>
        <w:t xml:space="preserve"> bonds to</w:t>
      </w:r>
      <w:r w:rsidR="00BC27BA">
        <w:rPr>
          <w:rFonts w:ascii="Times New Roman" w:hAnsi="Times New Roman" w:cs="Times New Roman"/>
          <w:sz w:val="24"/>
          <w:szCs w:val="24"/>
        </w:rPr>
        <w:t xml:space="preserve"> make</w:t>
      </w:r>
      <w:r w:rsidRPr="005C468A">
        <w:rPr>
          <w:rFonts w:ascii="Times New Roman" w:hAnsi="Times New Roman" w:cs="Times New Roman"/>
          <w:sz w:val="24"/>
          <w:szCs w:val="24"/>
        </w:rPr>
        <w:t xml:space="preserve">. </w:t>
      </w:r>
      <w:r w:rsidR="0064347E">
        <w:rPr>
          <w:rFonts w:ascii="Times New Roman" w:hAnsi="Times New Roman" w:cs="Times New Roman"/>
          <w:sz w:val="24"/>
          <w:szCs w:val="24"/>
        </w:rPr>
        <w:t>Therefore, my</w:t>
      </w:r>
      <w:r w:rsidRPr="005C468A">
        <w:rPr>
          <w:rFonts w:ascii="Times New Roman" w:hAnsi="Times New Roman" w:cs="Times New Roman"/>
          <w:sz w:val="24"/>
          <w:szCs w:val="24"/>
        </w:rPr>
        <w:t xml:space="preserve"> recommend</w:t>
      </w:r>
      <w:r w:rsidR="0064347E">
        <w:rPr>
          <w:rFonts w:ascii="Times New Roman" w:hAnsi="Times New Roman" w:cs="Times New Roman"/>
          <w:sz w:val="24"/>
          <w:szCs w:val="24"/>
        </w:rPr>
        <w:t>ation is that</w:t>
      </w:r>
      <w:r w:rsidR="00A27E60" w:rsidRPr="005C468A">
        <w:rPr>
          <w:rFonts w:ascii="Times New Roman" w:hAnsi="Times New Roman" w:cs="Times New Roman"/>
          <w:sz w:val="24"/>
          <w:szCs w:val="24"/>
        </w:rPr>
        <w:t xml:space="preserve"> </w:t>
      </w:r>
      <w:r w:rsidR="009D6E72" w:rsidRPr="005C468A">
        <w:rPr>
          <w:rFonts w:ascii="Times New Roman" w:hAnsi="Times New Roman" w:cs="Times New Roman"/>
          <w:sz w:val="24"/>
          <w:szCs w:val="24"/>
        </w:rPr>
        <w:t>t</w:t>
      </w:r>
      <w:r w:rsidR="00A27E60" w:rsidRPr="005C468A">
        <w:rPr>
          <w:rFonts w:ascii="Times New Roman" w:hAnsi="Times New Roman" w:cs="Times New Roman"/>
          <w:sz w:val="24"/>
          <w:szCs w:val="24"/>
        </w:rPr>
        <w:t>he</w:t>
      </w:r>
      <w:r w:rsidRPr="005C468A">
        <w:rPr>
          <w:rFonts w:ascii="Times New Roman" w:hAnsi="Times New Roman" w:cs="Times New Roman"/>
          <w:sz w:val="24"/>
          <w:szCs w:val="24"/>
        </w:rPr>
        <w:t xml:space="preserve"> </w:t>
      </w:r>
      <w:r w:rsidR="0064347E" w:rsidRPr="005C468A">
        <w:rPr>
          <w:rFonts w:ascii="Times New Roman" w:hAnsi="Times New Roman" w:cs="Times New Roman"/>
          <w:sz w:val="24"/>
          <w:szCs w:val="24"/>
        </w:rPr>
        <w:t>financier</w:t>
      </w:r>
      <w:r w:rsidR="0064347E">
        <w:rPr>
          <w:rFonts w:ascii="Times New Roman" w:hAnsi="Times New Roman" w:cs="Times New Roman"/>
          <w:sz w:val="24"/>
          <w:szCs w:val="24"/>
        </w:rPr>
        <w:t xml:space="preserve"> should invest in the bond index since it offers higher yields</w:t>
      </w:r>
      <w:r w:rsidRPr="005C468A">
        <w:rPr>
          <w:rFonts w:ascii="Times New Roman" w:hAnsi="Times New Roman" w:cs="Times New Roman"/>
          <w:sz w:val="24"/>
          <w:szCs w:val="24"/>
        </w:rPr>
        <w:t xml:space="preserve"> a</w:t>
      </w:r>
      <w:r w:rsidR="0064347E">
        <w:rPr>
          <w:rFonts w:ascii="Times New Roman" w:hAnsi="Times New Roman" w:cs="Times New Roman"/>
          <w:sz w:val="24"/>
          <w:szCs w:val="24"/>
        </w:rPr>
        <w:t>nd is its volatility</w:t>
      </w:r>
      <w:r w:rsidRPr="005C468A">
        <w:rPr>
          <w:rFonts w:ascii="Times New Roman" w:hAnsi="Times New Roman" w:cs="Times New Roman"/>
          <w:sz w:val="24"/>
          <w:szCs w:val="24"/>
        </w:rPr>
        <w:t xml:space="preserve"> </w:t>
      </w:r>
      <w:r w:rsidR="00A27E60" w:rsidRPr="005C468A">
        <w:rPr>
          <w:rFonts w:ascii="Times New Roman" w:hAnsi="Times New Roman" w:cs="Times New Roman"/>
          <w:sz w:val="24"/>
          <w:szCs w:val="24"/>
        </w:rPr>
        <w:t>to changes</w:t>
      </w:r>
      <w:r w:rsidRPr="005C468A">
        <w:rPr>
          <w:rFonts w:ascii="Times New Roman" w:hAnsi="Times New Roman" w:cs="Times New Roman"/>
          <w:sz w:val="24"/>
          <w:szCs w:val="24"/>
        </w:rPr>
        <w:t xml:space="preserve"> in interest rates</w:t>
      </w:r>
      <w:r w:rsidR="0064347E">
        <w:rPr>
          <w:rFonts w:ascii="Times New Roman" w:hAnsi="Times New Roman" w:cs="Times New Roman"/>
          <w:sz w:val="24"/>
          <w:szCs w:val="24"/>
        </w:rPr>
        <w:t xml:space="preserve"> is low; hence,</w:t>
      </w:r>
      <w:r w:rsidRPr="005C468A">
        <w:rPr>
          <w:rFonts w:ascii="Times New Roman" w:hAnsi="Times New Roman" w:cs="Times New Roman"/>
          <w:sz w:val="24"/>
          <w:szCs w:val="24"/>
        </w:rPr>
        <w:t xml:space="preserve"> </w:t>
      </w:r>
      <w:r w:rsidR="00A27E60" w:rsidRPr="005C468A">
        <w:rPr>
          <w:rFonts w:ascii="Times New Roman" w:hAnsi="Times New Roman" w:cs="Times New Roman"/>
          <w:sz w:val="24"/>
          <w:szCs w:val="24"/>
        </w:rPr>
        <w:t>they are</w:t>
      </w:r>
      <w:r w:rsidRPr="005C468A">
        <w:rPr>
          <w:rFonts w:ascii="Times New Roman" w:hAnsi="Times New Roman" w:cs="Times New Roman"/>
          <w:sz w:val="24"/>
          <w:szCs w:val="24"/>
        </w:rPr>
        <w:t xml:space="preserve"> less volatile.</w:t>
      </w:r>
    </w:p>
    <w:p w14:paraId="0E3A3FE0" w14:textId="77777777" w:rsidR="005C468A" w:rsidRDefault="005C468A" w:rsidP="005C468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9B9A0AF" w14:textId="77777777" w:rsidR="005C468A" w:rsidRDefault="005C468A" w:rsidP="005C468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FC9202B" w14:textId="77777777" w:rsidR="005C468A" w:rsidRDefault="005C468A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 w:type="page"/>
      </w:r>
    </w:p>
    <w:p w14:paraId="293F0AEC" w14:textId="59B98A5D" w:rsidR="005C468A" w:rsidRPr="00D81D7C" w:rsidRDefault="005C468A" w:rsidP="00D81D7C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81D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References</w:t>
      </w:r>
    </w:p>
    <w:p w14:paraId="68BCCCDA" w14:textId="77777777" w:rsidR="009D6E72" w:rsidRPr="00D81D7C" w:rsidRDefault="009D6E72" w:rsidP="00D81D7C">
      <w:pPr>
        <w:shd w:val="clear" w:color="auto" w:fill="FFFFFF"/>
        <w:spacing w:after="0" w:line="480" w:lineRule="auto"/>
        <w:ind w:left="720" w:right="75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81D7C">
        <w:rPr>
          <w:rFonts w:ascii="Times New Roman" w:eastAsia="Times New Roman" w:hAnsi="Times New Roman" w:cs="Times New Roman"/>
          <w:color w:val="000000"/>
          <w:sz w:val="24"/>
          <w:szCs w:val="24"/>
        </w:rPr>
        <w:t>Adrian T., Goel R., &amp; Malik S. (2021, April 22). </w:t>
      </w:r>
      <w:proofErr w:type="gramStart"/>
      <w:r w:rsidRPr="00D81D7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Understanding the rise in long-term rates</w:t>
      </w:r>
      <w:r w:rsidRPr="00D81D7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D81D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IMF Blog. </w:t>
      </w:r>
      <w:hyperlink r:id="rId7" w:history="1">
        <w:r w:rsidRPr="00D81D7C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https://blogs.imf.org/2021/04/22/understanding-the-rise-in-us-long-term-rates/</w:t>
        </w:r>
      </w:hyperlink>
    </w:p>
    <w:p w14:paraId="4B0EE3EB" w14:textId="77777777" w:rsidR="005C468A" w:rsidRPr="00D81D7C" w:rsidRDefault="005C468A" w:rsidP="00D81D7C">
      <w:pPr>
        <w:shd w:val="clear" w:color="auto" w:fill="FFFFFF"/>
        <w:spacing w:after="0" w:line="480" w:lineRule="auto"/>
        <w:ind w:left="720" w:right="75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D81D7C">
        <w:rPr>
          <w:rFonts w:ascii="Times New Roman" w:eastAsia="Times New Roman" w:hAnsi="Times New Roman" w:cs="Times New Roman"/>
          <w:color w:val="000000"/>
          <w:sz w:val="24"/>
          <w:szCs w:val="24"/>
        </w:rPr>
        <w:t>Campbell K. (2020).</w:t>
      </w:r>
      <w:proofErr w:type="gramEnd"/>
      <w:r w:rsidRPr="00D81D7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D81D7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Why fixed income? 4 roles your bond portfolio should play | Capital group Canada | Insights</w:t>
      </w:r>
      <w:r w:rsidRPr="00D81D7C">
        <w:rPr>
          <w:rFonts w:ascii="Times New Roman" w:eastAsia="Times New Roman" w:hAnsi="Times New Roman" w:cs="Times New Roman"/>
          <w:color w:val="000000"/>
          <w:sz w:val="24"/>
          <w:szCs w:val="24"/>
        </w:rPr>
        <w:t>. Capital Group. </w:t>
      </w:r>
      <w:hyperlink r:id="rId8" w:history="1">
        <w:r w:rsidRPr="00D81D7C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https://www.capitalgroup.com/advisor/ca/en/insights/content/articles/four-roles-of-fixed-income.html</w:t>
        </w:r>
      </w:hyperlink>
    </w:p>
    <w:p w14:paraId="154A849E" w14:textId="77777777" w:rsidR="005C468A" w:rsidRPr="00D81D7C" w:rsidRDefault="005C468A" w:rsidP="00D81D7C">
      <w:pPr>
        <w:shd w:val="clear" w:color="auto" w:fill="FFFFFF"/>
        <w:spacing w:after="0" w:line="480" w:lineRule="auto"/>
        <w:ind w:left="720" w:right="75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D81D7C">
        <w:rPr>
          <w:rFonts w:ascii="Times New Roman" w:eastAsia="Times New Roman" w:hAnsi="Times New Roman" w:cs="Times New Roman"/>
          <w:color w:val="000000"/>
          <w:sz w:val="24"/>
          <w:szCs w:val="24"/>
        </w:rPr>
        <w:t>Financial Pipeline.</w:t>
      </w:r>
      <w:proofErr w:type="gramEnd"/>
      <w:r w:rsidRPr="00D81D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(2021, July 22). </w:t>
      </w:r>
      <w:r w:rsidRPr="00D81D7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What is a bond index?</w:t>
      </w:r>
      <w:r w:rsidRPr="00D81D7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9" w:history="1">
        <w:r w:rsidRPr="00D81D7C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https://www.financialpipeline.com/what-is-a-bond-index/</w:t>
        </w:r>
      </w:hyperlink>
    </w:p>
    <w:p w14:paraId="76A9BCCC" w14:textId="77777777" w:rsidR="009D6E72" w:rsidRPr="005C468A" w:rsidRDefault="009D6E72" w:rsidP="009D6E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9D6E72" w:rsidRPr="005C468A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DCD9CE" w14:textId="77777777" w:rsidR="00741763" w:rsidRDefault="00741763" w:rsidP="009D6E72">
      <w:pPr>
        <w:spacing w:after="0" w:line="240" w:lineRule="auto"/>
      </w:pPr>
      <w:r>
        <w:separator/>
      </w:r>
    </w:p>
  </w:endnote>
  <w:endnote w:type="continuationSeparator" w:id="0">
    <w:p w14:paraId="33D7E6DB" w14:textId="77777777" w:rsidR="00741763" w:rsidRDefault="00741763" w:rsidP="009D6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E40FA2" w14:textId="77777777" w:rsidR="00741763" w:rsidRDefault="00741763" w:rsidP="009D6E72">
      <w:pPr>
        <w:spacing w:after="0" w:line="240" w:lineRule="auto"/>
      </w:pPr>
      <w:r>
        <w:separator/>
      </w:r>
    </w:p>
  </w:footnote>
  <w:footnote w:type="continuationSeparator" w:id="0">
    <w:p w14:paraId="55F62C0A" w14:textId="77777777" w:rsidR="00741763" w:rsidRDefault="00741763" w:rsidP="009D6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D46375" w14:textId="0E11BDC9" w:rsidR="00951D72" w:rsidRDefault="00951D72">
    <w:pPr>
      <w:pStyle w:val="Header"/>
    </w:pP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BC27BA">
      <w:rPr>
        <w:noProof/>
      </w:rPr>
      <w:t>4</w:t>
    </w:r>
    <w:r>
      <w:rPr>
        <w:noProof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272"/>
    <w:rsid w:val="000A095D"/>
    <w:rsid w:val="000A6913"/>
    <w:rsid w:val="0017259B"/>
    <w:rsid w:val="001F2D17"/>
    <w:rsid w:val="002822FC"/>
    <w:rsid w:val="002F491A"/>
    <w:rsid w:val="0040723A"/>
    <w:rsid w:val="004E2AE4"/>
    <w:rsid w:val="00503127"/>
    <w:rsid w:val="005C468A"/>
    <w:rsid w:val="0064347E"/>
    <w:rsid w:val="00657272"/>
    <w:rsid w:val="006974F2"/>
    <w:rsid w:val="00711EEB"/>
    <w:rsid w:val="00741763"/>
    <w:rsid w:val="007F42C2"/>
    <w:rsid w:val="008418C3"/>
    <w:rsid w:val="00951D72"/>
    <w:rsid w:val="009D577C"/>
    <w:rsid w:val="009D6E72"/>
    <w:rsid w:val="00A154CE"/>
    <w:rsid w:val="00A27E60"/>
    <w:rsid w:val="00BC27BA"/>
    <w:rsid w:val="00CF6D2B"/>
    <w:rsid w:val="00D3670B"/>
    <w:rsid w:val="00D625F1"/>
    <w:rsid w:val="00D81D7C"/>
    <w:rsid w:val="00E322F4"/>
    <w:rsid w:val="00ED5A30"/>
    <w:rsid w:val="00F2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DC6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31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D6E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E72"/>
  </w:style>
  <w:style w:type="paragraph" w:styleId="Footer">
    <w:name w:val="footer"/>
    <w:basedOn w:val="Normal"/>
    <w:link w:val="FooterChar"/>
    <w:uiPriority w:val="99"/>
    <w:unhideWhenUsed/>
    <w:rsid w:val="009D6E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E72"/>
  </w:style>
  <w:style w:type="paragraph" w:styleId="NormalWeb">
    <w:name w:val="Normal (Web)"/>
    <w:basedOn w:val="Normal"/>
    <w:uiPriority w:val="99"/>
    <w:semiHidden/>
    <w:unhideWhenUsed/>
    <w:rsid w:val="005C46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C468A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5C468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31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D6E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E72"/>
  </w:style>
  <w:style w:type="paragraph" w:styleId="Footer">
    <w:name w:val="footer"/>
    <w:basedOn w:val="Normal"/>
    <w:link w:val="FooterChar"/>
    <w:uiPriority w:val="99"/>
    <w:unhideWhenUsed/>
    <w:rsid w:val="009D6E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E72"/>
  </w:style>
  <w:style w:type="paragraph" w:styleId="NormalWeb">
    <w:name w:val="Normal (Web)"/>
    <w:basedOn w:val="Normal"/>
    <w:uiPriority w:val="99"/>
    <w:semiHidden/>
    <w:unhideWhenUsed/>
    <w:rsid w:val="005C46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C468A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5C46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7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pitalgroup.com/advisor/ca/en/insights/content/articles/four-roles-of-fixed-income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logs.imf.org/2021/04/22/understanding-the-rise-in-us-long-term-rates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financialpipeline.com/what-is-a-bond-inde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934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Antony Kanai</dc:creator>
  <cp:lastModifiedBy>n</cp:lastModifiedBy>
  <cp:revision>6</cp:revision>
  <dcterms:created xsi:type="dcterms:W3CDTF">2021-08-07T21:04:00Z</dcterms:created>
  <dcterms:modified xsi:type="dcterms:W3CDTF">2021-08-07T21:35:00Z</dcterms:modified>
</cp:coreProperties>
</file>