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37D0" w:rsidRDefault="001037D0" w:rsidP="001037D0">
      <w:pPr>
        <w:jc w:val="center"/>
        <w:rPr>
          <w:b/>
        </w:rPr>
      </w:pPr>
    </w:p>
    <w:p w:rsidR="00726871" w:rsidRDefault="00726871" w:rsidP="001037D0">
      <w:pPr>
        <w:jc w:val="center"/>
        <w:rPr>
          <w:b/>
        </w:rPr>
      </w:pPr>
    </w:p>
    <w:p w:rsidR="00726871" w:rsidRDefault="00726871" w:rsidP="001037D0">
      <w:pPr>
        <w:jc w:val="center"/>
        <w:rPr>
          <w:b/>
        </w:rPr>
      </w:pPr>
    </w:p>
    <w:p w:rsidR="00726871" w:rsidRDefault="00726871" w:rsidP="001037D0">
      <w:pPr>
        <w:jc w:val="center"/>
        <w:rPr>
          <w:b/>
        </w:rPr>
      </w:pPr>
    </w:p>
    <w:p w:rsidR="00726871" w:rsidRDefault="00726871" w:rsidP="001037D0">
      <w:pPr>
        <w:jc w:val="center"/>
        <w:rPr>
          <w:b/>
        </w:rPr>
      </w:pPr>
    </w:p>
    <w:p w:rsidR="00726871" w:rsidRDefault="00726871" w:rsidP="001037D0">
      <w:pPr>
        <w:jc w:val="center"/>
        <w:rPr>
          <w:b/>
        </w:rPr>
      </w:pPr>
    </w:p>
    <w:p w:rsidR="00726871" w:rsidRDefault="00726871" w:rsidP="001037D0">
      <w:pPr>
        <w:jc w:val="center"/>
        <w:rPr>
          <w:b/>
        </w:rPr>
      </w:pPr>
    </w:p>
    <w:p w:rsidR="00726871" w:rsidRDefault="00726871" w:rsidP="001037D0">
      <w:pPr>
        <w:jc w:val="center"/>
        <w:rPr>
          <w:b/>
        </w:rPr>
      </w:pPr>
    </w:p>
    <w:p w:rsidR="001037D0" w:rsidRPr="00726871" w:rsidRDefault="001037D0" w:rsidP="001037D0">
      <w:pPr>
        <w:jc w:val="center"/>
      </w:pPr>
      <w:r w:rsidRPr="00726871">
        <w:t>Pricing Strategies</w:t>
      </w:r>
    </w:p>
    <w:p w:rsidR="00726871" w:rsidRPr="00726871" w:rsidRDefault="00726871" w:rsidP="00726871">
      <w:pPr>
        <w:jc w:val="center"/>
      </w:pPr>
      <w:r w:rsidRPr="00726871">
        <w:t>Student's Name:</w:t>
      </w:r>
    </w:p>
    <w:p w:rsidR="00726871" w:rsidRPr="00726871" w:rsidRDefault="00726871" w:rsidP="00726871">
      <w:pPr>
        <w:jc w:val="center"/>
      </w:pPr>
      <w:r w:rsidRPr="00726871">
        <w:t>Institutional Affiliations:</w:t>
      </w:r>
    </w:p>
    <w:p w:rsidR="00726871" w:rsidRPr="00726871" w:rsidRDefault="00726871" w:rsidP="00726871">
      <w:pPr>
        <w:jc w:val="center"/>
      </w:pPr>
      <w:r w:rsidRPr="00726871">
        <w:t>Due Date:</w:t>
      </w:r>
    </w:p>
    <w:p w:rsidR="001037D0" w:rsidRDefault="001037D0" w:rsidP="001037D0">
      <w:pPr>
        <w:jc w:val="center"/>
        <w:rPr>
          <w:b/>
        </w:rPr>
      </w:pPr>
    </w:p>
    <w:p w:rsidR="00726871" w:rsidRDefault="00726871" w:rsidP="001037D0">
      <w:pPr>
        <w:jc w:val="center"/>
        <w:rPr>
          <w:b/>
        </w:rPr>
      </w:pPr>
    </w:p>
    <w:p w:rsidR="00726871" w:rsidRDefault="00726871" w:rsidP="001037D0">
      <w:pPr>
        <w:jc w:val="center"/>
        <w:rPr>
          <w:b/>
        </w:rPr>
      </w:pPr>
    </w:p>
    <w:p w:rsidR="00726871" w:rsidRDefault="00726871" w:rsidP="001037D0">
      <w:pPr>
        <w:jc w:val="center"/>
        <w:rPr>
          <w:b/>
        </w:rPr>
      </w:pPr>
    </w:p>
    <w:p w:rsidR="00726871" w:rsidRDefault="00726871" w:rsidP="001037D0">
      <w:pPr>
        <w:jc w:val="center"/>
        <w:rPr>
          <w:b/>
        </w:rPr>
      </w:pPr>
    </w:p>
    <w:p w:rsidR="00726871" w:rsidRDefault="00726871" w:rsidP="001037D0">
      <w:pPr>
        <w:jc w:val="center"/>
        <w:rPr>
          <w:b/>
        </w:rPr>
      </w:pPr>
    </w:p>
    <w:p w:rsidR="00726871" w:rsidRDefault="00726871" w:rsidP="001037D0">
      <w:pPr>
        <w:jc w:val="center"/>
        <w:rPr>
          <w:b/>
        </w:rPr>
      </w:pPr>
    </w:p>
    <w:p w:rsidR="00726871" w:rsidRDefault="00726871" w:rsidP="001037D0">
      <w:pPr>
        <w:jc w:val="center"/>
        <w:rPr>
          <w:b/>
        </w:rPr>
      </w:pPr>
    </w:p>
    <w:p w:rsidR="00726871" w:rsidRDefault="00726871" w:rsidP="001037D0">
      <w:pPr>
        <w:jc w:val="center"/>
        <w:rPr>
          <w:b/>
        </w:rPr>
      </w:pPr>
    </w:p>
    <w:p w:rsidR="00726871" w:rsidRDefault="00726871" w:rsidP="001037D0">
      <w:pPr>
        <w:jc w:val="center"/>
        <w:rPr>
          <w:b/>
        </w:rPr>
      </w:pPr>
    </w:p>
    <w:p w:rsidR="00726871" w:rsidRDefault="00726871" w:rsidP="001037D0">
      <w:pPr>
        <w:jc w:val="center"/>
        <w:rPr>
          <w:b/>
        </w:rPr>
      </w:pPr>
    </w:p>
    <w:p w:rsidR="00726871" w:rsidRDefault="00726871" w:rsidP="001037D0">
      <w:pPr>
        <w:jc w:val="center"/>
        <w:rPr>
          <w:b/>
        </w:rPr>
      </w:pPr>
    </w:p>
    <w:p w:rsidR="00893F16" w:rsidRPr="001037D0" w:rsidRDefault="001037D0" w:rsidP="001037D0">
      <w:pPr>
        <w:jc w:val="center"/>
        <w:rPr>
          <w:b/>
        </w:rPr>
      </w:pPr>
      <w:r w:rsidRPr="001037D0">
        <w:rPr>
          <w:b/>
        </w:rPr>
        <w:lastRenderedPageBreak/>
        <w:t>Pricing Strategies</w:t>
      </w:r>
    </w:p>
    <w:p w:rsidR="000458C1" w:rsidRPr="001037D0" w:rsidRDefault="00DF0769">
      <w:pPr>
        <w:rPr>
          <w:b/>
        </w:rPr>
      </w:pPr>
      <w:r w:rsidRPr="001037D0">
        <w:rPr>
          <w:b/>
        </w:rPr>
        <w:t>Question One</w:t>
      </w:r>
    </w:p>
    <w:p w:rsidR="00DF0769" w:rsidRDefault="000458C1" w:rsidP="001037D0">
      <w:pPr>
        <w:ind w:firstLine="720"/>
      </w:pPr>
      <w:r>
        <w:t xml:space="preserve">Cost pricing </w:t>
      </w:r>
      <w:r w:rsidR="00A27DD8">
        <w:t>is</w:t>
      </w:r>
      <w:r>
        <w:t xml:space="preserve"> usually directed to shippers based on average costs and marginal costs for transportation demand</w:t>
      </w:r>
      <w:r w:rsidR="0073348C" w:rsidRPr="0073348C">
        <w:rPr>
          <w:rFonts w:ascii="Arial" w:hAnsi="Arial" w:cs="Arial"/>
          <w:color w:val="000000"/>
          <w:sz w:val="20"/>
          <w:szCs w:val="20"/>
          <w:shd w:val="clear" w:color="auto" w:fill="FFFFFF"/>
        </w:rPr>
        <w:t xml:space="preserve"> </w:t>
      </w:r>
      <w:r w:rsidR="0073348C" w:rsidRPr="0073348C">
        <w:t>(</w:t>
      </w:r>
      <w:proofErr w:type="spellStart"/>
      <w:r w:rsidR="0073348C" w:rsidRPr="0073348C">
        <w:t>Mandal</w:t>
      </w:r>
      <w:proofErr w:type="spellEnd"/>
      <w:r w:rsidR="0073348C" w:rsidRPr="0073348C">
        <w:t>, 2020)</w:t>
      </w:r>
      <w:r>
        <w:t xml:space="preserve">. </w:t>
      </w:r>
      <w:r w:rsidR="001037D0">
        <w:t>It recovers values of services based above and over costs and demand market values of the average service costs. Values-of-service costs are traditionally at the top-most scales for pricing strategies and functions based on profits. Service pricing costs, on the other hand, refers to the bottom of rankings for the pricing approach, which depends on the break-even approach, where the price flows are usually determined by carriers and enable the recovery of other associated costs, among others on demand</w:t>
      </w:r>
      <w:r w:rsidR="00A27DD8" w:rsidRPr="00A27DD8">
        <w:rPr>
          <w:rFonts w:ascii="Arial" w:hAnsi="Arial" w:cs="Arial"/>
          <w:color w:val="000000"/>
          <w:sz w:val="20"/>
          <w:szCs w:val="20"/>
          <w:shd w:val="clear" w:color="auto" w:fill="FFFFFF"/>
        </w:rPr>
        <w:t xml:space="preserve"> </w:t>
      </w:r>
      <w:r w:rsidR="00A27DD8" w:rsidRPr="00A27DD8">
        <w:t>(</w:t>
      </w:r>
      <w:proofErr w:type="spellStart"/>
      <w:r w:rsidR="00A27DD8" w:rsidRPr="00A27DD8">
        <w:t>Hinterhuber</w:t>
      </w:r>
      <w:proofErr w:type="spellEnd"/>
      <w:r w:rsidR="00A27DD8" w:rsidRPr="00A27DD8">
        <w:t>, 2017)</w:t>
      </w:r>
      <w:r w:rsidR="002972FB">
        <w:t xml:space="preserve">. </w:t>
      </w:r>
    </w:p>
    <w:p w:rsidR="00826665" w:rsidRDefault="00826665" w:rsidP="001037D0">
      <w:pPr>
        <w:ind w:firstLine="720"/>
      </w:pPr>
      <w:r>
        <w:t xml:space="preserve">Cost-of-service and value-of-service are both strategies that are usually used when pricing but are not related because they are </w:t>
      </w:r>
      <w:r w:rsidR="001037D0">
        <w:t>gener</w:t>
      </w:r>
      <w:r>
        <w:t>ally used for different variables. They can</w:t>
      </w:r>
      <w:r w:rsidR="001037D0">
        <w:t>,</w:t>
      </w:r>
      <w:r>
        <w:t xml:space="preserve"> in some cases</w:t>
      </w:r>
      <w:r w:rsidR="001037D0">
        <w:t>,</w:t>
      </w:r>
      <w:r>
        <w:t xml:space="preserve"> lead to </w:t>
      </w:r>
      <w:r w:rsidR="001037D0">
        <w:t xml:space="preserve">the </w:t>
      </w:r>
      <w:r>
        <w:t xml:space="preserve">attainment of similar prices, but this is usually </w:t>
      </w:r>
      <w:r w:rsidR="001037D0">
        <w:t>o</w:t>
      </w:r>
      <w:r>
        <w:t xml:space="preserve">n a limited number of occasions. </w:t>
      </w:r>
      <w:r w:rsidR="008D4119">
        <w:t xml:space="preserve"> It is a bit easy to figure out using the cost-of-service </w:t>
      </w:r>
      <w:r w:rsidR="001037D0">
        <w:t>pricing strategy</w:t>
      </w:r>
      <w:r w:rsidR="008D4119">
        <w:t xml:space="preserve"> because the organization </w:t>
      </w:r>
      <w:r w:rsidR="00A27DD8">
        <w:t>only needs</w:t>
      </w:r>
      <w:r w:rsidR="008D4119">
        <w:t xml:space="preserve"> to know the </w:t>
      </w:r>
      <w:r w:rsidR="001037D0">
        <w:t>necessary</w:t>
      </w:r>
      <w:r w:rsidR="008D4119">
        <w:t xml:space="preserve"> markup and costs of services</w:t>
      </w:r>
      <w:r w:rsidR="00E6538D" w:rsidRPr="00E6538D">
        <w:rPr>
          <w:rFonts w:ascii="Arial" w:hAnsi="Arial" w:cs="Arial"/>
          <w:color w:val="000000"/>
          <w:sz w:val="20"/>
          <w:szCs w:val="20"/>
          <w:shd w:val="clear" w:color="auto" w:fill="FFFFFF"/>
        </w:rPr>
        <w:t xml:space="preserve"> </w:t>
      </w:r>
      <w:r w:rsidR="00E6538D" w:rsidRPr="00E6538D">
        <w:t>(</w:t>
      </w:r>
      <w:proofErr w:type="spellStart"/>
      <w:r w:rsidR="00E6538D" w:rsidRPr="00E6538D">
        <w:t>Feurer</w:t>
      </w:r>
      <w:proofErr w:type="spellEnd"/>
      <w:r w:rsidR="00E6538D" w:rsidRPr="00E6538D">
        <w:t xml:space="preserve"> et al., 2018)</w:t>
      </w:r>
      <w:r w:rsidR="008D4119">
        <w:t xml:space="preserve">. </w:t>
      </w:r>
    </w:p>
    <w:p w:rsidR="006D62F9" w:rsidRPr="001037D0" w:rsidRDefault="006D62F9">
      <w:pPr>
        <w:rPr>
          <w:b/>
        </w:rPr>
      </w:pPr>
      <w:r w:rsidRPr="001037D0">
        <w:rPr>
          <w:b/>
        </w:rPr>
        <w:t>Question Two</w:t>
      </w:r>
    </w:p>
    <w:p w:rsidR="006D62F9" w:rsidRDefault="00C50D2F" w:rsidP="001037D0">
      <w:pPr>
        <w:ind w:firstLine="720"/>
      </w:pPr>
      <w:r>
        <w:t xml:space="preserve">Released value rate offers for limited </w:t>
      </w:r>
      <w:r w:rsidR="00E843C6">
        <w:t>carriers</w:t>
      </w:r>
      <w:r w:rsidR="001037D0">
        <w:t>'</w:t>
      </w:r>
      <w:r>
        <w:t xml:space="preserve"> compensation, usually in dollar</w:t>
      </w:r>
      <w:r w:rsidR="00E843C6">
        <w:t xml:space="preserve"> per pound in case of </w:t>
      </w:r>
      <w:r w:rsidR="009D1C4A">
        <w:t>damage</w:t>
      </w:r>
      <w:r w:rsidR="00E843C6">
        <w:t xml:space="preserve"> or a loss. This </w:t>
      </w:r>
      <w:r w:rsidR="001037D0">
        <w:t>typically lowers</w:t>
      </w:r>
      <w:r w:rsidR="00E843C6">
        <w:t xml:space="preserve"> transportation costs</w:t>
      </w:r>
      <w:r w:rsidR="001037D0">
        <w:t>,</w:t>
      </w:r>
      <w:r w:rsidR="00E843C6">
        <w:t xml:space="preserve"> but during </w:t>
      </w:r>
      <w:r w:rsidR="009D1C4A">
        <w:t>damage</w:t>
      </w:r>
      <w:r w:rsidR="00E843C6">
        <w:t xml:space="preserve"> or a loss, it usually leads to an increase in the </w:t>
      </w:r>
      <w:r w:rsidR="001037D0">
        <w:t>price</w:t>
      </w:r>
      <w:r w:rsidR="00E843C6">
        <w:t>s of delivery and production from the side of a shipper</w:t>
      </w:r>
      <w:r w:rsidR="00036103" w:rsidRPr="00036103">
        <w:rPr>
          <w:rFonts w:ascii="Arial" w:hAnsi="Arial" w:cs="Arial"/>
          <w:color w:val="000000"/>
          <w:sz w:val="20"/>
          <w:szCs w:val="20"/>
          <w:shd w:val="clear" w:color="auto" w:fill="FFFFFF"/>
        </w:rPr>
        <w:t xml:space="preserve"> </w:t>
      </w:r>
      <w:r w:rsidR="00036103" w:rsidRPr="00036103">
        <w:t>(</w:t>
      </w:r>
      <w:proofErr w:type="spellStart"/>
      <w:r w:rsidR="00036103" w:rsidRPr="00036103">
        <w:t>Mandal</w:t>
      </w:r>
      <w:proofErr w:type="spellEnd"/>
      <w:r w:rsidR="00036103" w:rsidRPr="00036103">
        <w:t>, 2020)</w:t>
      </w:r>
      <w:r w:rsidR="00E843C6">
        <w:t xml:space="preserve">. </w:t>
      </w:r>
    </w:p>
    <w:p w:rsidR="009D1C4A" w:rsidRPr="001037D0" w:rsidRDefault="009D1C4A">
      <w:pPr>
        <w:rPr>
          <w:b/>
        </w:rPr>
      </w:pPr>
      <w:r w:rsidRPr="001037D0">
        <w:rPr>
          <w:b/>
        </w:rPr>
        <w:t>Question Three</w:t>
      </w:r>
    </w:p>
    <w:p w:rsidR="009D1C4A" w:rsidRDefault="003D32F7" w:rsidP="001037D0">
      <w:pPr>
        <w:ind w:firstLine="720"/>
      </w:pPr>
      <w:r>
        <w:t>The fo</w:t>
      </w:r>
      <w:r w:rsidR="000C4A21">
        <w:t>ur significant forces</w:t>
      </w:r>
      <w:r w:rsidR="001037D0">
        <w:t xml:space="preserve"> commonly affect carriers' shipping approache</w:t>
      </w:r>
      <w:r w:rsidR="00182F35">
        <w:t>s</w:t>
      </w:r>
      <w:r w:rsidR="001037D0">
        <w:t>:</w:t>
      </w:r>
      <w:r w:rsidR="00182F35">
        <w:t xml:space="preserve"> channel members</w:t>
      </w:r>
      <w:r>
        <w:t>, competitors, market, and government</w:t>
      </w:r>
      <w:r w:rsidR="0054049C" w:rsidRPr="0054049C">
        <w:rPr>
          <w:rFonts w:ascii="Arial" w:hAnsi="Arial" w:cs="Arial"/>
          <w:color w:val="000000"/>
          <w:sz w:val="20"/>
          <w:szCs w:val="20"/>
          <w:shd w:val="clear" w:color="auto" w:fill="FFFFFF"/>
        </w:rPr>
        <w:t xml:space="preserve"> </w:t>
      </w:r>
      <w:r w:rsidR="0054049C" w:rsidRPr="0054049C">
        <w:t>(Lim &amp; Lim, 2020)</w:t>
      </w:r>
      <w:r>
        <w:t xml:space="preserve">. Pricing approaches </w:t>
      </w:r>
      <w:r w:rsidR="001037D0">
        <w:t>typic</w:t>
      </w:r>
      <w:r>
        <w:t xml:space="preserve">ally use price </w:t>
      </w:r>
      <w:r w:rsidR="00D03E8E">
        <w:t>elasticity</w:t>
      </w:r>
      <w:r>
        <w:t xml:space="preserve"> or market trends, where customers have a </w:t>
      </w:r>
      <w:r w:rsidR="001037D0">
        <w:t>more significant</w:t>
      </w:r>
      <w:r>
        <w:t xml:space="preserve"> role in determining specific services that will play and what will be paid for in the market. </w:t>
      </w:r>
      <w:r w:rsidR="001037D0">
        <w:t xml:space="preserve">Agreements with channel parties and interline movements </w:t>
      </w:r>
      <w:r w:rsidR="000C4A21">
        <w:t>typic</w:t>
      </w:r>
      <w:r w:rsidR="001037D0">
        <w:t xml:space="preserve">ally offer similar impacts pricing by high elasticity and revenue splits. Most carriers </w:t>
      </w:r>
      <w:r w:rsidR="000C4A21">
        <w:t>usu</w:t>
      </w:r>
      <w:r w:rsidR="001037D0">
        <w:t xml:space="preserve">ally lose </w:t>
      </w:r>
      <w:r w:rsidR="001037D0">
        <w:lastRenderedPageBreak/>
        <w:t xml:space="preserve">businesses through poor social responsibilities that </w:t>
      </w:r>
      <w:r w:rsidR="000C4A21">
        <w:t>overcharge typically, especially during disasters. Removing or lowering charges in the midst of a disaster can add businesses afterward</w:t>
      </w:r>
      <w:r w:rsidR="001037D0">
        <w:t xml:space="preserve">.  Also, raising prices by a competitor carrier or leader requires pricing strategies to respond to the outcomes of increasing the prices by </w:t>
      </w:r>
      <w:r w:rsidR="000C4A21">
        <w:t xml:space="preserve">the </w:t>
      </w:r>
      <w:r w:rsidR="001037D0">
        <w:t xml:space="preserve">competitor carrier or leader. Despite the deregulations for several transportation sectors' concerns, the </w:t>
      </w:r>
      <w:r w:rsidR="000C4A21">
        <w:t>justice department usually monitors carrier pricing</w:t>
      </w:r>
      <w:r w:rsidR="001037D0">
        <w:t xml:space="preserve"> to identify any form of violations and antitrust</w:t>
      </w:r>
      <w:r w:rsidR="00036103" w:rsidRPr="00036103">
        <w:rPr>
          <w:rFonts w:ascii="Arial" w:hAnsi="Arial" w:cs="Arial"/>
          <w:color w:val="000000"/>
          <w:sz w:val="20"/>
          <w:szCs w:val="20"/>
          <w:shd w:val="clear" w:color="auto" w:fill="FFFFFF"/>
        </w:rPr>
        <w:t xml:space="preserve"> </w:t>
      </w:r>
      <w:r w:rsidR="00036103" w:rsidRPr="00036103">
        <w:t>(Lee &amp; Han, 2016)</w:t>
      </w:r>
      <w:r w:rsidR="0041576A">
        <w:t xml:space="preserve">. </w:t>
      </w:r>
    </w:p>
    <w:p w:rsidR="00FA0FD6" w:rsidRPr="001037D0" w:rsidRDefault="00FA0FD6">
      <w:pPr>
        <w:rPr>
          <w:b/>
        </w:rPr>
      </w:pPr>
      <w:r w:rsidRPr="001037D0">
        <w:rPr>
          <w:b/>
        </w:rPr>
        <w:t>Question Four</w:t>
      </w:r>
    </w:p>
    <w:p w:rsidR="00FA0FD6" w:rsidRDefault="00F65C18" w:rsidP="001037D0">
      <w:pPr>
        <w:ind w:firstLine="720"/>
      </w:pPr>
      <w:r>
        <w:t xml:space="preserve">Market structures </w:t>
      </w:r>
      <w:r w:rsidR="000C4A21">
        <w:t>generally explain</w:t>
      </w:r>
      <w:r>
        <w:t xml:space="preserve"> pricing behaviors based on </w:t>
      </w:r>
      <w:r w:rsidR="001037D0">
        <w:t>entry barrier</w:t>
      </w:r>
      <w:r>
        <w:t>s, product differentiation degrees, and the particular number of competitors within a given market</w:t>
      </w:r>
      <w:r w:rsidR="00CD601A" w:rsidRPr="00CD601A">
        <w:rPr>
          <w:rFonts w:ascii="Arial" w:hAnsi="Arial" w:cs="Arial"/>
          <w:color w:val="000000"/>
          <w:sz w:val="20"/>
          <w:szCs w:val="20"/>
          <w:shd w:val="clear" w:color="auto" w:fill="FFFFFF"/>
        </w:rPr>
        <w:t xml:space="preserve"> </w:t>
      </w:r>
      <w:r w:rsidR="00CD601A" w:rsidRPr="00CD601A">
        <w:t>(</w:t>
      </w:r>
      <w:proofErr w:type="spellStart"/>
      <w:r w:rsidR="00CD601A" w:rsidRPr="00CD601A">
        <w:t>Khanlarzade</w:t>
      </w:r>
      <w:proofErr w:type="spellEnd"/>
      <w:r w:rsidR="00CD601A" w:rsidRPr="00CD601A">
        <w:t xml:space="preserve"> et al., 2019)</w:t>
      </w:r>
      <w:r>
        <w:t xml:space="preserve">. </w:t>
      </w:r>
      <w:r w:rsidR="00B85EE2">
        <w:t xml:space="preserve">In a </w:t>
      </w:r>
      <w:r w:rsidR="001037D0">
        <w:t>perfectly competitive market setting, several sellers</w:t>
      </w:r>
      <w:r w:rsidR="00B85EE2">
        <w:t xml:space="preserve"> off</w:t>
      </w:r>
      <w:r w:rsidR="009076C7">
        <w:t xml:space="preserve">er the same service or product, where no single seller </w:t>
      </w:r>
      <w:r w:rsidR="000C4A21">
        <w:t>influences</w:t>
      </w:r>
      <w:r w:rsidR="009076C7">
        <w:t xml:space="preserve"> the pricing of the products and services. This implies unrestricted entry to other sell</w:t>
      </w:r>
      <w:r w:rsidR="00511CF6">
        <w:t xml:space="preserve">ers willing to join the market, </w:t>
      </w:r>
      <w:r w:rsidR="001037D0">
        <w:t>resulting in</w:t>
      </w:r>
      <w:r w:rsidR="00511CF6">
        <w:t xml:space="preserve"> producers being able to sell the products at one market price. In oligopolistic markets, there are usually few large sellers who have substitutable products, which makes the competitors in this kind of market </w:t>
      </w:r>
      <w:r w:rsidR="001037D0">
        <w:t>compete on prices, making</w:t>
      </w:r>
      <w:r w:rsidR="00511CF6">
        <w:t xml:space="preserve"> the competitors able to build on a pricing approach</w:t>
      </w:r>
      <w:r w:rsidR="000C4A21" w:rsidRPr="000C4A21">
        <w:rPr>
          <w:rFonts w:ascii="Arial" w:hAnsi="Arial" w:cs="Arial"/>
          <w:color w:val="000000"/>
          <w:sz w:val="20"/>
          <w:szCs w:val="20"/>
          <w:shd w:val="clear" w:color="auto" w:fill="FFFFFF"/>
        </w:rPr>
        <w:t xml:space="preserve"> </w:t>
      </w:r>
      <w:r w:rsidR="000C4A21" w:rsidRPr="000C4A21">
        <w:t>(</w:t>
      </w:r>
      <w:proofErr w:type="spellStart"/>
      <w:r w:rsidR="000C4A21" w:rsidRPr="000C4A21">
        <w:t>Hinterhuber</w:t>
      </w:r>
      <w:proofErr w:type="spellEnd"/>
      <w:r w:rsidR="000C4A21" w:rsidRPr="000C4A21">
        <w:t>, 2017)</w:t>
      </w:r>
      <w:r w:rsidR="00511CF6">
        <w:t xml:space="preserve">. Finally, </w:t>
      </w:r>
      <w:r w:rsidR="001037D0">
        <w:t>several small sellers</w:t>
      </w:r>
      <w:r w:rsidR="00511CF6">
        <w:t xml:space="preserve"> </w:t>
      </w:r>
      <w:r w:rsidR="001037D0">
        <w:t>typic</w:t>
      </w:r>
      <w:r w:rsidR="00511CF6">
        <w:t xml:space="preserve">ally sell differentiated products in the monopolistic market, where no single seller </w:t>
      </w:r>
      <w:r w:rsidR="001037D0">
        <w:t>can</w:t>
      </w:r>
      <w:r w:rsidR="00511CF6">
        <w:t xml:space="preserve"> control </w:t>
      </w:r>
      <w:r w:rsidR="0022775C">
        <w:t xml:space="preserve">significant </w:t>
      </w:r>
      <w:r w:rsidR="001037D0">
        <w:t>market segments</w:t>
      </w:r>
      <w:r w:rsidR="0022775C">
        <w:t xml:space="preserve">. Also, producers found in </w:t>
      </w:r>
      <w:r w:rsidR="008E3D19">
        <w:t>monopolistic</w:t>
      </w:r>
      <w:r w:rsidR="0022775C">
        <w:t xml:space="preserve"> markets </w:t>
      </w:r>
      <w:r w:rsidR="001037D0">
        <w:t>can</w:t>
      </w:r>
      <w:r w:rsidR="0022775C">
        <w:t xml:space="preserve"> apply price discriminations as an approach </w:t>
      </w:r>
      <w:r w:rsidR="001037D0">
        <w:t>to</w:t>
      </w:r>
      <w:r w:rsidR="0022775C">
        <w:t xml:space="preserve"> pricing</w:t>
      </w:r>
      <w:r w:rsidR="00190962" w:rsidRPr="00190962">
        <w:rPr>
          <w:rFonts w:ascii="Arial" w:hAnsi="Arial" w:cs="Arial"/>
          <w:color w:val="000000"/>
          <w:sz w:val="20"/>
          <w:szCs w:val="20"/>
          <w:shd w:val="clear" w:color="auto" w:fill="FFFFFF"/>
        </w:rPr>
        <w:t xml:space="preserve"> </w:t>
      </w:r>
      <w:r w:rsidR="00190962" w:rsidRPr="00190962">
        <w:t>(Liu, 2017)</w:t>
      </w:r>
      <w:r w:rsidR="0022775C">
        <w:t xml:space="preserve">. </w:t>
      </w:r>
    </w:p>
    <w:p w:rsidR="008E3D19" w:rsidRPr="00340E6C" w:rsidRDefault="008E3D19">
      <w:pPr>
        <w:rPr>
          <w:b/>
        </w:rPr>
      </w:pPr>
      <w:r w:rsidRPr="00340E6C">
        <w:rPr>
          <w:b/>
        </w:rPr>
        <w:t>Question Five</w:t>
      </w:r>
    </w:p>
    <w:p w:rsidR="007C37FB" w:rsidRDefault="00340E6C" w:rsidP="001037D0">
      <w:pPr>
        <w:ind w:firstLine="720"/>
      </w:pPr>
      <w:r>
        <w:t xml:space="preserve">Tariffs refer to taxes that are </w:t>
      </w:r>
      <w:r w:rsidR="001037D0">
        <w:t>gener</w:t>
      </w:r>
      <w:r>
        <w:t xml:space="preserve">ally imposed on services and </w:t>
      </w:r>
      <w:r w:rsidR="00372B6A">
        <w:t xml:space="preserve">goods </w:t>
      </w:r>
      <w:r>
        <w:t xml:space="preserve">purchased from countries, which </w:t>
      </w:r>
      <w:r w:rsidR="000C4A21">
        <w:t>increases</w:t>
      </w:r>
      <w:r>
        <w:t xml:space="preserve"> the prices of the goods and services</w:t>
      </w:r>
      <w:r w:rsidR="005A0422" w:rsidRPr="005A0422">
        <w:rPr>
          <w:rFonts w:ascii="Arial" w:hAnsi="Arial" w:cs="Arial"/>
          <w:color w:val="000000"/>
          <w:sz w:val="20"/>
          <w:szCs w:val="20"/>
          <w:shd w:val="clear" w:color="auto" w:fill="FFFFFF"/>
        </w:rPr>
        <w:t xml:space="preserve"> </w:t>
      </w:r>
      <w:r w:rsidR="005A0422" w:rsidRPr="005A0422">
        <w:t>(</w:t>
      </w:r>
      <w:proofErr w:type="spellStart"/>
      <w:r w:rsidR="005A0422" w:rsidRPr="005A0422">
        <w:t>Feurer</w:t>
      </w:r>
      <w:proofErr w:type="spellEnd"/>
      <w:r w:rsidR="005A0422" w:rsidRPr="005A0422">
        <w:t xml:space="preserve"> et al., 2015)</w:t>
      </w:r>
      <w:r>
        <w:t xml:space="preserve">. This ensures that the imported services and goods become less desirable or less competitive </w:t>
      </w:r>
      <w:r w:rsidR="009D4AEB">
        <w:t>against domestic servic</w:t>
      </w:r>
      <w:r w:rsidR="00372B6A">
        <w:t>es an</w:t>
      </w:r>
      <w:r w:rsidR="009D4AEB">
        <w:t xml:space="preserve">d goods. </w:t>
      </w:r>
      <w:r w:rsidR="004332E4">
        <w:t xml:space="preserve"> This ensures that </w:t>
      </w:r>
      <w:r w:rsidR="00372B6A">
        <w:t>tariffs play</w:t>
      </w:r>
      <w:r w:rsidR="004332E4">
        <w:t xml:space="preserve"> an </w:t>
      </w:r>
      <w:r w:rsidR="001037D0">
        <w:t>essential</w:t>
      </w:r>
      <w:r w:rsidR="004332E4">
        <w:t xml:space="preserve"> role </w:t>
      </w:r>
      <w:r w:rsidR="001037D0">
        <w:t>in</w:t>
      </w:r>
      <w:r w:rsidR="004332E4">
        <w:t xml:space="preserve"> promoting domestic services and products while</w:t>
      </w:r>
      <w:r w:rsidR="001037D0">
        <w:t>,</w:t>
      </w:r>
      <w:r w:rsidR="004332E4">
        <w:t xml:space="preserve"> on the other hand</w:t>
      </w:r>
      <w:r w:rsidR="001037D0">
        <w:t>,</w:t>
      </w:r>
      <w:r w:rsidR="004332E4">
        <w:t xml:space="preserve"> making the imported products lose </w:t>
      </w:r>
      <w:r w:rsidR="001037D0">
        <w:t xml:space="preserve">the </w:t>
      </w:r>
      <w:r w:rsidR="004332E4">
        <w:t xml:space="preserve">foreign market. </w:t>
      </w:r>
      <w:r w:rsidR="008E3D19">
        <w:t xml:space="preserve">Tariffs were created </w:t>
      </w:r>
      <w:r w:rsidR="001037D0">
        <w:t xml:space="preserve">to </w:t>
      </w:r>
      <w:r w:rsidR="001037D0">
        <w:lastRenderedPageBreak/>
        <w:t>ensure</w:t>
      </w:r>
      <w:r w:rsidR="008E3D19">
        <w:t xml:space="preserve"> that most rates are posted, where some firms </w:t>
      </w:r>
      <w:r w:rsidR="001037D0">
        <w:t>typic</w:t>
      </w:r>
      <w:r w:rsidR="008E3D19">
        <w:t xml:space="preserve">ally design </w:t>
      </w:r>
      <w:r w:rsidR="001037D0">
        <w:t>separate</w:t>
      </w:r>
      <w:r w:rsidR="008E3D19">
        <w:t xml:space="preserve"> tariffs, with others using rate bureaus to publish and establish rates. These are </w:t>
      </w:r>
      <w:r w:rsidR="001037D0">
        <w:t>common</w:t>
      </w:r>
      <w:r w:rsidR="008E3D19">
        <w:t xml:space="preserve">ly called bureau tariffs. In the contemporary environment, tariffs are helpful as they are being used to </w:t>
      </w:r>
      <w:r w:rsidR="001037D0">
        <w:t>regulate</w:t>
      </w:r>
      <w:r w:rsidR="008E3D19">
        <w:t xml:space="preserve"> transportation sector pricing </w:t>
      </w:r>
      <w:r w:rsidR="000C4A21">
        <w:t>to prevent monopolies and keep</w:t>
      </w:r>
      <w:r w:rsidR="008E3D19">
        <w:t xml:space="preserve"> up </w:t>
      </w:r>
      <w:r w:rsidR="001037D0">
        <w:t xml:space="preserve">the </w:t>
      </w:r>
      <w:r w:rsidR="008E3D19">
        <w:t xml:space="preserve">competition.  </w:t>
      </w:r>
      <w:r w:rsidR="00372B6A">
        <w:t xml:space="preserve">For instance, to ensure that the purchases of Italian leather handbags are discouraged from the United Stated States markets, the United States government can initiate a 50 percent tariff which will drive the buying prices of the Italian leather handbag so high, making the United States citizens look for more affordable leather handbags from the United States. This move </w:t>
      </w:r>
      <w:r w:rsidR="001037D0">
        <w:t>typically promotes</w:t>
      </w:r>
      <w:r w:rsidR="00372B6A">
        <w:t xml:space="preserve"> the growth of </w:t>
      </w:r>
      <w:r w:rsidR="001037D0">
        <w:t xml:space="preserve">the </w:t>
      </w:r>
      <w:r w:rsidR="00372B6A">
        <w:t xml:space="preserve">national economy as products from local industries are usually </w:t>
      </w:r>
      <w:r w:rsidR="001037D0">
        <w:t>boos</w:t>
      </w:r>
      <w:r w:rsidR="00372B6A">
        <w:t xml:space="preserve">ted by the increased purchases of locally made goods. </w:t>
      </w:r>
      <w:r w:rsidR="000C4A21">
        <w:t>Therefore, tariffs are still applicable and functional in the present business environments as they can be used to ensure that individuals can promote local industries and production</w:t>
      </w:r>
      <w:r w:rsidR="009720BB" w:rsidRPr="009720BB">
        <w:rPr>
          <w:rFonts w:ascii="Arial" w:hAnsi="Arial" w:cs="Arial"/>
          <w:color w:val="000000"/>
          <w:sz w:val="20"/>
          <w:szCs w:val="20"/>
          <w:shd w:val="clear" w:color="auto" w:fill="FFFFFF"/>
        </w:rPr>
        <w:t xml:space="preserve"> </w:t>
      </w:r>
      <w:r w:rsidR="009720BB" w:rsidRPr="009720BB">
        <w:t>(</w:t>
      </w:r>
      <w:proofErr w:type="spellStart"/>
      <w:r w:rsidR="009720BB" w:rsidRPr="009720BB">
        <w:t>Wiedmer</w:t>
      </w:r>
      <w:proofErr w:type="spellEnd"/>
      <w:r w:rsidR="009720BB" w:rsidRPr="009720BB">
        <w:t xml:space="preserve"> &amp; </w:t>
      </w:r>
      <w:proofErr w:type="spellStart"/>
      <w:r w:rsidR="009720BB" w:rsidRPr="009720BB">
        <w:t>Paraskevas</w:t>
      </w:r>
      <w:proofErr w:type="spellEnd"/>
      <w:r w:rsidR="009720BB" w:rsidRPr="009720BB">
        <w:t>, 2020)</w:t>
      </w:r>
      <w:r w:rsidR="000C4A21">
        <w:t>.</w:t>
      </w:r>
    </w:p>
    <w:p w:rsidR="007C37FB" w:rsidRDefault="007C37FB" w:rsidP="007C37FB">
      <w:pPr>
        <w:jc w:val="center"/>
        <w:rPr>
          <w:b/>
        </w:rPr>
      </w:pPr>
    </w:p>
    <w:p w:rsidR="007C37FB" w:rsidRDefault="007C37FB" w:rsidP="007C37FB">
      <w:pPr>
        <w:jc w:val="center"/>
        <w:rPr>
          <w:b/>
        </w:rPr>
      </w:pPr>
    </w:p>
    <w:p w:rsidR="007C37FB" w:rsidRDefault="007C37FB" w:rsidP="007C37FB">
      <w:pPr>
        <w:jc w:val="center"/>
        <w:rPr>
          <w:b/>
        </w:rPr>
      </w:pPr>
    </w:p>
    <w:p w:rsidR="007C37FB" w:rsidRDefault="007C37FB" w:rsidP="007C37FB">
      <w:pPr>
        <w:jc w:val="center"/>
        <w:rPr>
          <w:b/>
        </w:rPr>
      </w:pPr>
    </w:p>
    <w:p w:rsidR="007C37FB" w:rsidRDefault="007C37FB" w:rsidP="007C37FB">
      <w:pPr>
        <w:jc w:val="center"/>
        <w:rPr>
          <w:b/>
        </w:rPr>
      </w:pPr>
    </w:p>
    <w:p w:rsidR="007C37FB" w:rsidRDefault="007C37FB" w:rsidP="007C37FB">
      <w:pPr>
        <w:jc w:val="center"/>
        <w:rPr>
          <w:b/>
        </w:rPr>
      </w:pPr>
    </w:p>
    <w:p w:rsidR="007C37FB" w:rsidRDefault="007C37FB" w:rsidP="007C37FB">
      <w:pPr>
        <w:jc w:val="center"/>
        <w:rPr>
          <w:b/>
        </w:rPr>
      </w:pPr>
    </w:p>
    <w:p w:rsidR="007C37FB" w:rsidRDefault="007C37FB" w:rsidP="007C37FB">
      <w:pPr>
        <w:jc w:val="center"/>
        <w:rPr>
          <w:b/>
        </w:rPr>
      </w:pPr>
    </w:p>
    <w:p w:rsidR="007C37FB" w:rsidRDefault="007C37FB" w:rsidP="007C37FB">
      <w:pPr>
        <w:jc w:val="center"/>
        <w:rPr>
          <w:b/>
        </w:rPr>
      </w:pPr>
    </w:p>
    <w:p w:rsidR="007C37FB" w:rsidRDefault="007C37FB" w:rsidP="007C37FB">
      <w:pPr>
        <w:jc w:val="center"/>
        <w:rPr>
          <w:b/>
        </w:rPr>
      </w:pPr>
    </w:p>
    <w:p w:rsidR="007C37FB" w:rsidRDefault="007C37FB" w:rsidP="007C37FB">
      <w:pPr>
        <w:jc w:val="center"/>
        <w:rPr>
          <w:b/>
        </w:rPr>
      </w:pPr>
    </w:p>
    <w:p w:rsidR="007C37FB" w:rsidRDefault="007C37FB" w:rsidP="007C37FB">
      <w:pPr>
        <w:jc w:val="center"/>
        <w:rPr>
          <w:b/>
        </w:rPr>
      </w:pPr>
    </w:p>
    <w:p w:rsidR="007C37FB" w:rsidRDefault="007C37FB" w:rsidP="007C37FB">
      <w:pPr>
        <w:jc w:val="center"/>
        <w:rPr>
          <w:b/>
        </w:rPr>
      </w:pPr>
    </w:p>
    <w:p w:rsidR="007C37FB" w:rsidRPr="007C37FB" w:rsidRDefault="007C37FB" w:rsidP="007C37FB">
      <w:pPr>
        <w:jc w:val="center"/>
        <w:rPr>
          <w:b/>
        </w:rPr>
      </w:pPr>
      <w:bookmarkStart w:id="0" w:name="_GoBack"/>
      <w:bookmarkEnd w:id="0"/>
      <w:r w:rsidRPr="007C37FB">
        <w:rPr>
          <w:b/>
        </w:rPr>
        <w:lastRenderedPageBreak/>
        <w:t>References</w:t>
      </w:r>
    </w:p>
    <w:p w:rsidR="007C37FB" w:rsidRPr="007C37FB" w:rsidRDefault="007C37FB" w:rsidP="007C37FB">
      <w:pPr>
        <w:ind w:left="720" w:hanging="720"/>
      </w:pPr>
      <w:proofErr w:type="spellStart"/>
      <w:proofErr w:type="gramStart"/>
      <w:r w:rsidRPr="007C37FB">
        <w:t>Feurer</w:t>
      </w:r>
      <w:proofErr w:type="spellEnd"/>
      <w:r w:rsidRPr="007C37FB">
        <w:t xml:space="preserve">, S., </w:t>
      </w:r>
      <w:proofErr w:type="spellStart"/>
      <w:r w:rsidRPr="007C37FB">
        <w:t>Schuhmacher</w:t>
      </w:r>
      <w:proofErr w:type="spellEnd"/>
      <w:r w:rsidRPr="007C37FB">
        <w:t xml:space="preserve">, M., &amp; </w:t>
      </w:r>
      <w:proofErr w:type="spellStart"/>
      <w:r w:rsidRPr="007C37FB">
        <w:t>Kuester</w:t>
      </w:r>
      <w:proofErr w:type="spellEnd"/>
      <w:r w:rsidRPr="007C37FB">
        <w:t>, S. (2015).</w:t>
      </w:r>
      <w:proofErr w:type="gramEnd"/>
      <w:r w:rsidRPr="007C37FB">
        <w:t xml:space="preserve"> Divide Tariffs and Prosper? </w:t>
      </w:r>
      <w:proofErr w:type="gramStart"/>
      <w:r w:rsidRPr="007C37FB">
        <w:t>A Focus on the Role of Need for Cognition.</w:t>
      </w:r>
      <w:proofErr w:type="gramEnd"/>
      <w:r w:rsidRPr="007C37FB">
        <w:t> </w:t>
      </w:r>
      <w:proofErr w:type="gramStart"/>
      <w:r w:rsidRPr="007C37FB">
        <w:rPr>
          <w:i/>
          <w:iCs/>
        </w:rPr>
        <w:t>Marketing ZFP</w:t>
      </w:r>
      <w:r w:rsidRPr="007C37FB">
        <w:t>, </w:t>
      </w:r>
      <w:r w:rsidRPr="007C37FB">
        <w:rPr>
          <w:i/>
          <w:iCs/>
        </w:rPr>
        <w:t>37</w:t>
      </w:r>
      <w:r w:rsidRPr="007C37FB">
        <w:t>(2), 101-110.</w:t>
      </w:r>
      <w:proofErr w:type="gramEnd"/>
      <w:r w:rsidRPr="007C37FB">
        <w:t xml:space="preserve"> https://doi.org/10.15358/0344-1369-2015-2-101</w:t>
      </w:r>
    </w:p>
    <w:p w:rsidR="007C37FB" w:rsidRPr="007C37FB" w:rsidRDefault="007C37FB" w:rsidP="007C37FB">
      <w:pPr>
        <w:ind w:left="720" w:hanging="720"/>
      </w:pPr>
      <w:proofErr w:type="spellStart"/>
      <w:proofErr w:type="gramStart"/>
      <w:r w:rsidRPr="007C37FB">
        <w:t>Feurer</w:t>
      </w:r>
      <w:proofErr w:type="spellEnd"/>
      <w:r w:rsidRPr="007C37FB">
        <w:t xml:space="preserve">, S., </w:t>
      </w:r>
      <w:proofErr w:type="spellStart"/>
      <w:r w:rsidRPr="007C37FB">
        <w:t>Schuhmacher</w:t>
      </w:r>
      <w:proofErr w:type="spellEnd"/>
      <w:r w:rsidRPr="007C37FB">
        <w:t xml:space="preserve">, M., &amp; </w:t>
      </w:r>
      <w:proofErr w:type="spellStart"/>
      <w:r w:rsidRPr="007C37FB">
        <w:t>Kuester</w:t>
      </w:r>
      <w:proofErr w:type="spellEnd"/>
      <w:r w:rsidRPr="007C37FB">
        <w:t>, S. (2018).</w:t>
      </w:r>
      <w:proofErr w:type="gramEnd"/>
      <w:r w:rsidRPr="007C37FB">
        <w:t xml:space="preserve"> How Pricing Teams Develop Effective Pricing Strategies for New Products. </w:t>
      </w:r>
      <w:r w:rsidRPr="007C37FB">
        <w:rPr>
          <w:i/>
          <w:iCs/>
        </w:rPr>
        <w:t xml:space="preserve">Journal </w:t>
      </w:r>
      <w:proofErr w:type="gramStart"/>
      <w:r w:rsidRPr="007C37FB">
        <w:rPr>
          <w:i/>
          <w:iCs/>
        </w:rPr>
        <w:t>Of</w:t>
      </w:r>
      <w:proofErr w:type="gramEnd"/>
      <w:r w:rsidRPr="007C37FB">
        <w:rPr>
          <w:i/>
          <w:iCs/>
        </w:rPr>
        <w:t xml:space="preserve"> Product Innovation Management</w:t>
      </w:r>
      <w:r w:rsidRPr="007C37FB">
        <w:t>, </w:t>
      </w:r>
      <w:r w:rsidRPr="007C37FB">
        <w:rPr>
          <w:i/>
          <w:iCs/>
        </w:rPr>
        <w:t>36</w:t>
      </w:r>
      <w:r w:rsidRPr="007C37FB">
        <w:t>(1), 66-86. https://doi.org/10.1111/jpim.12444</w:t>
      </w:r>
    </w:p>
    <w:p w:rsidR="007C37FB" w:rsidRPr="007C37FB" w:rsidRDefault="007C37FB" w:rsidP="007C37FB">
      <w:pPr>
        <w:ind w:left="720" w:hanging="720"/>
      </w:pPr>
      <w:proofErr w:type="spellStart"/>
      <w:r w:rsidRPr="007C37FB">
        <w:t>Hinterhuber</w:t>
      </w:r>
      <w:proofErr w:type="spellEnd"/>
      <w:r w:rsidRPr="007C37FB">
        <w:t xml:space="preserve">, A. (2017). </w:t>
      </w:r>
      <w:proofErr w:type="gramStart"/>
      <w:r w:rsidRPr="007C37FB">
        <w:t>Implementing pricing strategies.</w:t>
      </w:r>
      <w:proofErr w:type="gramEnd"/>
      <w:r w:rsidRPr="007C37FB">
        <w:t> </w:t>
      </w:r>
      <w:r w:rsidRPr="007C37FB">
        <w:rPr>
          <w:i/>
          <w:iCs/>
        </w:rPr>
        <w:t xml:space="preserve">Journal </w:t>
      </w:r>
      <w:proofErr w:type="gramStart"/>
      <w:r w:rsidRPr="007C37FB">
        <w:rPr>
          <w:i/>
          <w:iCs/>
        </w:rPr>
        <w:t>Of</w:t>
      </w:r>
      <w:proofErr w:type="gramEnd"/>
      <w:r w:rsidRPr="007C37FB">
        <w:rPr>
          <w:i/>
          <w:iCs/>
        </w:rPr>
        <w:t xml:space="preserve"> Revenue And Pricing Management</w:t>
      </w:r>
      <w:r w:rsidRPr="007C37FB">
        <w:t>, </w:t>
      </w:r>
      <w:r w:rsidRPr="007C37FB">
        <w:rPr>
          <w:i/>
          <w:iCs/>
        </w:rPr>
        <w:t>17</w:t>
      </w:r>
      <w:r w:rsidRPr="007C37FB">
        <w:t>(1), 1-2. https://doi.org/10.1057/s41272-017-0129-6</w:t>
      </w:r>
    </w:p>
    <w:p w:rsidR="007C37FB" w:rsidRPr="007C37FB" w:rsidRDefault="007C37FB" w:rsidP="007C37FB">
      <w:pPr>
        <w:ind w:left="720" w:hanging="720"/>
      </w:pPr>
      <w:proofErr w:type="spellStart"/>
      <w:proofErr w:type="gramStart"/>
      <w:r w:rsidRPr="007C37FB">
        <w:t>Khanlarzade</w:t>
      </w:r>
      <w:proofErr w:type="spellEnd"/>
      <w:r w:rsidRPr="007C37FB">
        <w:t xml:space="preserve">, N., </w:t>
      </w:r>
      <w:proofErr w:type="spellStart"/>
      <w:r w:rsidRPr="007C37FB">
        <w:t>zegordi</w:t>
      </w:r>
      <w:proofErr w:type="spellEnd"/>
      <w:r w:rsidRPr="007C37FB">
        <w:t xml:space="preserve">, s., &amp; </w:t>
      </w:r>
      <w:proofErr w:type="spellStart"/>
      <w:r w:rsidRPr="007C37FB">
        <w:t>Nakhai</w:t>
      </w:r>
      <w:proofErr w:type="spellEnd"/>
      <w:r w:rsidRPr="007C37FB">
        <w:t xml:space="preserve"> </w:t>
      </w:r>
      <w:proofErr w:type="spellStart"/>
      <w:r w:rsidRPr="007C37FB">
        <w:t>Kamalabadi</w:t>
      </w:r>
      <w:proofErr w:type="spellEnd"/>
      <w:r w:rsidRPr="007C37FB">
        <w:t>, I. (2019).</w:t>
      </w:r>
      <w:proofErr w:type="gramEnd"/>
      <w:r w:rsidRPr="007C37FB">
        <w:t xml:space="preserve"> </w:t>
      </w:r>
      <w:proofErr w:type="gramStart"/>
      <w:r w:rsidRPr="007C37FB">
        <w:t>Pricing in Two Competing Supply Chains Based on Market Power and Market Size under Centralized and Decentralized Structures.</w:t>
      </w:r>
      <w:proofErr w:type="gramEnd"/>
      <w:r w:rsidRPr="007C37FB">
        <w:t> </w:t>
      </w:r>
      <w:proofErr w:type="spellStart"/>
      <w:proofErr w:type="gramStart"/>
      <w:r w:rsidRPr="007C37FB">
        <w:rPr>
          <w:i/>
          <w:iCs/>
        </w:rPr>
        <w:t>Scientia</w:t>
      </w:r>
      <w:proofErr w:type="spellEnd"/>
      <w:r w:rsidRPr="007C37FB">
        <w:rPr>
          <w:i/>
          <w:iCs/>
        </w:rPr>
        <w:t xml:space="preserve"> </w:t>
      </w:r>
      <w:proofErr w:type="spellStart"/>
      <w:r w:rsidRPr="007C37FB">
        <w:rPr>
          <w:i/>
          <w:iCs/>
        </w:rPr>
        <w:t>Iranica</w:t>
      </w:r>
      <w:proofErr w:type="spellEnd"/>
      <w:r w:rsidRPr="007C37FB">
        <w:t>, </w:t>
      </w:r>
      <w:r w:rsidRPr="007C37FB">
        <w:rPr>
          <w:i/>
          <w:iCs/>
        </w:rPr>
        <w:t>0</w:t>
      </w:r>
      <w:r w:rsidRPr="007C37FB">
        <w:t>(0), 0-0.</w:t>
      </w:r>
      <w:proofErr w:type="gramEnd"/>
      <w:r w:rsidRPr="007C37FB">
        <w:t xml:space="preserve"> https://doi.org/10.24200/sci.2019.50740.1845</w:t>
      </w:r>
    </w:p>
    <w:p w:rsidR="007C37FB" w:rsidRPr="007C37FB" w:rsidRDefault="007C37FB" w:rsidP="007C37FB">
      <w:pPr>
        <w:ind w:left="720" w:hanging="720"/>
      </w:pPr>
      <w:proofErr w:type="gramStart"/>
      <w:r w:rsidRPr="007C37FB">
        <w:t>Lee, T., &amp; Han, J. (2016).</w:t>
      </w:r>
      <w:proofErr w:type="gramEnd"/>
      <w:r w:rsidRPr="007C37FB">
        <w:t xml:space="preserve"> </w:t>
      </w:r>
      <w:proofErr w:type="gramStart"/>
      <w:r w:rsidRPr="007C37FB">
        <w:t>Global Carriers’ Governance and Business Scope.</w:t>
      </w:r>
      <w:proofErr w:type="gramEnd"/>
      <w:r w:rsidRPr="007C37FB">
        <w:t> </w:t>
      </w:r>
      <w:r w:rsidRPr="007C37FB">
        <w:rPr>
          <w:i/>
          <w:iCs/>
        </w:rPr>
        <w:t xml:space="preserve">The Asian Journal </w:t>
      </w:r>
      <w:proofErr w:type="gramStart"/>
      <w:r w:rsidRPr="007C37FB">
        <w:rPr>
          <w:i/>
          <w:iCs/>
        </w:rPr>
        <w:t>Of</w:t>
      </w:r>
      <w:proofErr w:type="gramEnd"/>
      <w:r w:rsidRPr="007C37FB">
        <w:rPr>
          <w:i/>
          <w:iCs/>
        </w:rPr>
        <w:t xml:space="preserve"> Shipping And Logistics</w:t>
      </w:r>
      <w:r w:rsidRPr="007C37FB">
        <w:t>, </w:t>
      </w:r>
      <w:r w:rsidRPr="007C37FB">
        <w:rPr>
          <w:i/>
          <w:iCs/>
        </w:rPr>
        <w:t>32</w:t>
      </w:r>
      <w:r w:rsidRPr="007C37FB">
        <w:t>(3), 173-178. https://doi.org/10.1016/j.ajsl.2016.09.006</w:t>
      </w:r>
    </w:p>
    <w:p w:rsidR="007C37FB" w:rsidRPr="007C37FB" w:rsidRDefault="007C37FB" w:rsidP="007C37FB">
      <w:pPr>
        <w:ind w:left="720" w:hanging="720"/>
      </w:pPr>
      <w:proofErr w:type="gramStart"/>
      <w:r w:rsidRPr="007C37FB">
        <w:t>Lim, K., &amp; Lim, M. (2020).</w:t>
      </w:r>
      <w:proofErr w:type="gramEnd"/>
      <w:r w:rsidRPr="007C37FB">
        <w:t xml:space="preserve"> </w:t>
      </w:r>
      <w:proofErr w:type="gramStart"/>
      <w:r w:rsidRPr="007C37FB">
        <w:t>Financial performance of shipping firms that increase LNG carriers and the support of eco-innovation.</w:t>
      </w:r>
      <w:proofErr w:type="gramEnd"/>
      <w:r w:rsidRPr="007C37FB">
        <w:t> </w:t>
      </w:r>
      <w:r w:rsidRPr="007C37FB">
        <w:rPr>
          <w:i/>
          <w:iCs/>
        </w:rPr>
        <w:t xml:space="preserve">Journal </w:t>
      </w:r>
      <w:proofErr w:type="gramStart"/>
      <w:r w:rsidRPr="007C37FB">
        <w:rPr>
          <w:i/>
          <w:iCs/>
        </w:rPr>
        <w:t>Of</w:t>
      </w:r>
      <w:proofErr w:type="gramEnd"/>
      <w:r w:rsidRPr="007C37FB">
        <w:rPr>
          <w:i/>
          <w:iCs/>
        </w:rPr>
        <w:t xml:space="preserve"> Shipping And Trade</w:t>
      </w:r>
      <w:r w:rsidRPr="007C37FB">
        <w:t>, </w:t>
      </w:r>
      <w:r w:rsidRPr="007C37FB">
        <w:rPr>
          <w:i/>
          <w:iCs/>
        </w:rPr>
        <w:t>5</w:t>
      </w:r>
      <w:r w:rsidRPr="007C37FB">
        <w:t>(1). https://doi.org/10.1186/s41072-020-00080-0</w:t>
      </w:r>
    </w:p>
    <w:p w:rsidR="007C37FB" w:rsidRPr="007C37FB" w:rsidRDefault="007C37FB" w:rsidP="007C37FB">
      <w:pPr>
        <w:ind w:left="720" w:hanging="720"/>
      </w:pPr>
      <w:r w:rsidRPr="007C37FB">
        <w:t>Liu, Y. (2017). The effects of competitors on new product launch and market expansion in the hybrid car market. </w:t>
      </w:r>
      <w:r w:rsidRPr="007C37FB">
        <w:rPr>
          <w:i/>
          <w:iCs/>
        </w:rPr>
        <w:t>Empirical Economics</w:t>
      </w:r>
      <w:r w:rsidRPr="007C37FB">
        <w:t>, </w:t>
      </w:r>
      <w:r w:rsidRPr="007C37FB">
        <w:rPr>
          <w:i/>
          <w:iCs/>
        </w:rPr>
        <w:t>55</w:t>
      </w:r>
      <w:r w:rsidRPr="007C37FB">
        <w:t>(4), 1849-1868. https://doi.org/10.1007/s00181-017-1342-2</w:t>
      </w:r>
    </w:p>
    <w:p w:rsidR="007C37FB" w:rsidRPr="007C37FB" w:rsidRDefault="007C37FB" w:rsidP="007C37FB">
      <w:pPr>
        <w:ind w:left="720" w:hanging="720"/>
      </w:pPr>
      <w:proofErr w:type="spellStart"/>
      <w:proofErr w:type="gramStart"/>
      <w:r w:rsidRPr="007C37FB">
        <w:t>Mandal</w:t>
      </w:r>
      <w:proofErr w:type="spellEnd"/>
      <w:r w:rsidRPr="007C37FB">
        <w:t>, P. (2020).</w:t>
      </w:r>
      <w:proofErr w:type="gramEnd"/>
      <w:r w:rsidRPr="007C37FB">
        <w:t xml:space="preserve"> </w:t>
      </w:r>
      <w:proofErr w:type="gramStart"/>
      <w:r w:rsidRPr="007C37FB">
        <w:t>Pricing Strategies of Multinationals for Global Markets – Considerations and Initiatives.</w:t>
      </w:r>
      <w:proofErr w:type="gramEnd"/>
      <w:r w:rsidRPr="007C37FB">
        <w:t> </w:t>
      </w:r>
      <w:r w:rsidRPr="007C37FB">
        <w:rPr>
          <w:i/>
          <w:iCs/>
        </w:rPr>
        <w:t xml:space="preserve">International Journal </w:t>
      </w:r>
      <w:proofErr w:type="gramStart"/>
      <w:r w:rsidRPr="007C37FB">
        <w:rPr>
          <w:i/>
          <w:iCs/>
        </w:rPr>
        <w:t>Of</w:t>
      </w:r>
      <w:proofErr w:type="gramEnd"/>
      <w:r w:rsidRPr="007C37FB">
        <w:rPr>
          <w:i/>
          <w:iCs/>
        </w:rPr>
        <w:t xml:space="preserve"> Business Strategy And Automation</w:t>
      </w:r>
      <w:r w:rsidRPr="007C37FB">
        <w:t>, </w:t>
      </w:r>
      <w:r w:rsidRPr="007C37FB">
        <w:rPr>
          <w:i/>
          <w:iCs/>
        </w:rPr>
        <w:t>1</w:t>
      </w:r>
      <w:r w:rsidRPr="007C37FB">
        <w:t>(1), 24-36. https://doi.org/10.4018/ijbsa.2020010102</w:t>
      </w:r>
    </w:p>
    <w:p w:rsidR="007C37FB" w:rsidRPr="007C37FB" w:rsidRDefault="007C37FB" w:rsidP="007C37FB">
      <w:pPr>
        <w:ind w:left="720" w:hanging="720"/>
      </w:pPr>
      <w:proofErr w:type="spellStart"/>
      <w:proofErr w:type="gramStart"/>
      <w:r w:rsidRPr="007C37FB">
        <w:lastRenderedPageBreak/>
        <w:t>Wiedmer</w:t>
      </w:r>
      <w:proofErr w:type="spellEnd"/>
      <w:r w:rsidRPr="007C37FB">
        <w:t xml:space="preserve">, R., &amp; </w:t>
      </w:r>
      <w:proofErr w:type="spellStart"/>
      <w:r w:rsidRPr="007C37FB">
        <w:t>Paraskevas</w:t>
      </w:r>
      <w:proofErr w:type="spellEnd"/>
      <w:r w:rsidRPr="007C37FB">
        <w:t>, J. (2020).</w:t>
      </w:r>
      <w:proofErr w:type="gramEnd"/>
      <w:r w:rsidRPr="007C37FB">
        <w:t xml:space="preserve"> The Effect of Tariffs on Inventory Performance: The Moderating Role of Supply Base Characteristics. </w:t>
      </w:r>
      <w:proofErr w:type="gramStart"/>
      <w:r w:rsidRPr="007C37FB">
        <w:rPr>
          <w:i/>
          <w:iCs/>
        </w:rPr>
        <w:t>Academy Of Management Proceedings</w:t>
      </w:r>
      <w:r w:rsidRPr="007C37FB">
        <w:t>, </w:t>
      </w:r>
      <w:r w:rsidRPr="007C37FB">
        <w:rPr>
          <w:i/>
          <w:iCs/>
        </w:rPr>
        <w:t>2020</w:t>
      </w:r>
      <w:r w:rsidRPr="007C37FB">
        <w:t>(1), 20944.</w:t>
      </w:r>
      <w:proofErr w:type="gramEnd"/>
      <w:r w:rsidRPr="007C37FB">
        <w:t xml:space="preserve"> https://doi.org/10.5465/ambpp.2020.206</w:t>
      </w:r>
    </w:p>
    <w:p w:rsidR="008E3D19" w:rsidRDefault="000C4A21" w:rsidP="007C37FB">
      <w:r>
        <w:t xml:space="preserve"> </w:t>
      </w:r>
    </w:p>
    <w:sectPr w:rsidR="008E3D1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C83" w:rsidRDefault="00552C83" w:rsidP="00A55296">
      <w:pPr>
        <w:spacing w:line="240" w:lineRule="auto"/>
      </w:pPr>
      <w:r>
        <w:separator/>
      </w:r>
    </w:p>
  </w:endnote>
  <w:endnote w:type="continuationSeparator" w:id="0">
    <w:p w:rsidR="00552C83" w:rsidRDefault="00552C83" w:rsidP="00A552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296" w:rsidRDefault="00A5529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296" w:rsidRDefault="00A5529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296" w:rsidRDefault="00A552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C83" w:rsidRDefault="00552C83" w:rsidP="00A55296">
      <w:pPr>
        <w:spacing w:line="240" w:lineRule="auto"/>
      </w:pPr>
      <w:r>
        <w:separator/>
      </w:r>
    </w:p>
  </w:footnote>
  <w:footnote w:type="continuationSeparator" w:id="0">
    <w:p w:rsidR="00552C83" w:rsidRDefault="00552C83" w:rsidP="00A5529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296" w:rsidRDefault="00A552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0976977"/>
      <w:docPartObj>
        <w:docPartGallery w:val="Page Numbers (Top of Page)"/>
        <w:docPartUnique/>
      </w:docPartObj>
    </w:sdtPr>
    <w:sdtEndPr>
      <w:rPr>
        <w:noProof/>
      </w:rPr>
    </w:sdtEndPr>
    <w:sdtContent>
      <w:p w:rsidR="00A55296" w:rsidRDefault="00A55296">
        <w:pPr>
          <w:pStyle w:val="Header"/>
          <w:jc w:val="right"/>
        </w:pPr>
        <w:r>
          <w:fldChar w:fldCharType="begin"/>
        </w:r>
        <w:r>
          <w:instrText xml:space="preserve"> PAGE   \* MERGEFORMAT </w:instrText>
        </w:r>
        <w:r>
          <w:fldChar w:fldCharType="separate"/>
        </w:r>
        <w:r w:rsidR="007C37FB">
          <w:rPr>
            <w:noProof/>
          </w:rPr>
          <w:t>5</w:t>
        </w:r>
        <w:r>
          <w:rPr>
            <w:noProof/>
          </w:rPr>
          <w:fldChar w:fldCharType="end"/>
        </w:r>
      </w:p>
    </w:sdtContent>
  </w:sdt>
  <w:p w:rsidR="00A55296" w:rsidRDefault="00A5529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296" w:rsidRDefault="00A5529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KxtDA0tTCwMDcxtbRU0lEKTi0uzszPAykwqgUAY42+eywAAAA="/>
  </w:docVars>
  <w:rsids>
    <w:rsidRoot w:val="00893F16"/>
    <w:rsid w:val="00036103"/>
    <w:rsid w:val="000458C1"/>
    <w:rsid w:val="000C4A21"/>
    <w:rsid w:val="001037D0"/>
    <w:rsid w:val="00182F35"/>
    <w:rsid w:val="00190962"/>
    <w:rsid w:val="0022775C"/>
    <w:rsid w:val="0026225B"/>
    <w:rsid w:val="002972FB"/>
    <w:rsid w:val="00340E6C"/>
    <w:rsid w:val="00372B6A"/>
    <w:rsid w:val="003D32F7"/>
    <w:rsid w:val="0041576A"/>
    <w:rsid w:val="004332E4"/>
    <w:rsid w:val="004B4CBB"/>
    <w:rsid w:val="00511CF6"/>
    <w:rsid w:val="0054049C"/>
    <w:rsid w:val="00552C83"/>
    <w:rsid w:val="005A0422"/>
    <w:rsid w:val="006D62F9"/>
    <w:rsid w:val="006F0632"/>
    <w:rsid w:val="00726871"/>
    <w:rsid w:val="0073348C"/>
    <w:rsid w:val="007C37FB"/>
    <w:rsid w:val="00826665"/>
    <w:rsid w:val="00893F16"/>
    <w:rsid w:val="008D4119"/>
    <w:rsid w:val="008E3D19"/>
    <w:rsid w:val="009076C7"/>
    <w:rsid w:val="009720BB"/>
    <w:rsid w:val="009D1C4A"/>
    <w:rsid w:val="009D4AEB"/>
    <w:rsid w:val="00A27DD8"/>
    <w:rsid w:val="00A55296"/>
    <w:rsid w:val="00B85EE2"/>
    <w:rsid w:val="00BD2811"/>
    <w:rsid w:val="00C50D2F"/>
    <w:rsid w:val="00CD601A"/>
    <w:rsid w:val="00D03E8E"/>
    <w:rsid w:val="00DF0769"/>
    <w:rsid w:val="00E6538D"/>
    <w:rsid w:val="00E843C6"/>
    <w:rsid w:val="00F65C18"/>
    <w:rsid w:val="00FA0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296"/>
    <w:pPr>
      <w:tabs>
        <w:tab w:val="center" w:pos="4680"/>
        <w:tab w:val="right" w:pos="9360"/>
      </w:tabs>
      <w:spacing w:line="240" w:lineRule="auto"/>
    </w:pPr>
  </w:style>
  <w:style w:type="character" w:customStyle="1" w:styleId="HeaderChar">
    <w:name w:val="Header Char"/>
    <w:basedOn w:val="DefaultParagraphFont"/>
    <w:link w:val="Header"/>
    <w:uiPriority w:val="99"/>
    <w:rsid w:val="00A55296"/>
  </w:style>
  <w:style w:type="paragraph" w:styleId="Footer">
    <w:name w:val="footer"/>
    <w:basedOn w:val="Normal"/>
    <w:link w:val="FooterChar"/>
    <w:uiPriority w:val="99"/>
    <w:unhideWhenUsed/>
    <w:rsid w:val="00A55296"/>
    <w:pPr>
      <w:tabs>
        <w:tab w:val="center" w:pos="4680"/>
        <w:tab w:val="right" w:pos="9360"/>
      </w:tabs>
      <w:spacing w:line="240" w:lineRule="auto"/>
    </w:pPr>
  </w:style>
  <w:style w:type="character" w:customStyle="1" w:styleId="FooterChar">
    <w:name w:val="Footer Char"/>
    <w:basedOn w:val="DefaultParagraphFont"/>
    <w:link w:val="Footer"/>
    <w:uiPriority w:val="99"/>
    <w:rsid w:val="00A552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296"/>
    <w:pPr>
      <w:tabs>
        <w:tab w:val="center" w:pos="4680"/>
        <w:tab w:val="right" w:pos="9360"/>
      </w:tabs>
      <w:spacing w:line="240" w:lineRule="auto"/>
    </w:pPr>
  </w:style>
  <w:style w:type="character" w:customStyle="1" w:styleId="HeaderChar">
    <w:name w:val="Header Char"/>
    <w:basedOn w:val="DefaultParagraphFont"/>
    <w:link w:val="Header"/>
    <w:uiPriority w:val="99"/>
    <w:rsid w:val="00A55296"/>
  </w:style>
  <w:style w:type="paragraph" w:styleId="Footer">
    <w:name w:val="footer"/>
    <w:basedOn w:val="Normal"/>
    <w:link w:val="FooterChar"/>
    <w:uiPriority w:val="99"/>
    <w:unhideWhenUsed/>
    <w:rsid w:val="00A55296"/>
    <w:pPr>
      <w:tabs>
        <w:tab w:val="center" w:pos="4680"/>
        <w:tab w:val="right" w:pos="9360"/>
      </w:tabs>
      <w:spacing w:line="240" w:lineRule="auto"/>
    </w:pPr>
  </w:style>
  <w:style w:type="character" w:customStyle="1" w:styleId="FooterChar">
    <w:name w:val="Footer Char"/>
    <w:basedOn w:val="DefaultParagraphFont"/>
    <w:link w:val="Footer"/>
    <w:uiPriority w:val="99"/>
    <w:rsid w:val="00A55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5528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6</Pages>
  <Words>1080</Words>
  <Characters>6160</Characters>
  <Application>Microsoft Office Word</Application>
  <DocSecurity>0</DocSecurity>
  <Lines>51</Lines>
  <Paragraphs>14</Paragraphs>
  <ScaleCrop>false</ScaleCrop>
  <Company/>
  <LinksUpToDate>false</LinksUpToDate>
  <CharactersWithSpaces>7226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47</cp:revision>
  <dcterms:created xsi:type="dcterms:W3CDTF">2021-08-03T20:35:00Z</dcterms:created>
  <dcterms:modified xsi:type="dcterms:W3CDTF">2021-08-03T22:46:00Z</dcterms:modified>
</cp:coreProperties>
</file>