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Antimicrobials</w:t>
      </w:r>
      <w:r>
        <w:rPr>
          <w:b/>
          <w:bCs/>
        </w:rPr>
        <w:t xml:space="preserve"> Agents</w:t>
      </w:r>
      <w:r>
        <w:rPr>
          <w:b/>
          <w:bCs/>
        </w:rPr>
        <w:t xml:space="preserve">: </w:t>
      </w:r>
      <w:r>
        <w:rPr>
          <w:b/>
          <w:bCs/>
        </w:rPr>
        <w:t xml:space="preserve">Sulfadiazine 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Student’s Name</w:t>
      </w:r>
    </w:p>
    <w:p>
      <w:pPr>
        <w:pStyle w:val="style0"/>
        <w:jc w:val="center"/>
        <w:rPr/>
      </w:pPr>
      <w:r>
        <w:t>Institution</w:t>
      </w:r>
    </w:p>
    <w:p>
      <w:pPr>
        <w:pStyle w:val="style0"/>
        <w:jc w:val="center"/>
        <w:rPr/>
      </w:pPr>
      <w:r>
        <w:t>Course Name and Number</w:t>
      </w:r>
    </w:p>
    <w:p>
      <w:pPr>
        <w:pStyle w:val="style0"/>
        <w:jc w:val="center"/>
        <w:rPr/>
      </w:pPr>
      <w:r>
        <w:t>Instructor’s Name</w:t>
      </w:r>
    </w:p>
    <w:p>
      <w:pPr>
        <w:pStyle w:val="style0"/>
        <w:jc w:val="center"/>
        <w:rPr/>
      </w:pPr>
      <w:r>
        <w:t xml:space="preserve">Date 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Antimicrobials</w:t>
      </w:r>
      <w:r>
        <w:rPr>
          <w:b/>
          <w:bCs/>
        </w:rPr>
        <w:t xml:space="preserve"> Agents</w:t>
      </w:r>
      <w:r>
        <w:rPr>
          <w:b/>
          <w:bCs/>
        </w:rPr>
        <w:t>: Sulf</w:t>
      </w:r>
      <w:r>
        <w:rPr>
          <w:b/>
          <w:bCs/>
        </w:rPr>
        <w:t xml:space="preserve">adiazine </w:t>
      </w:r>
    </w:p>
    <w:p>
      <w:pPr>
        <w:pStyle w:val="style0"/>
        <w:ind w:firstLine="720"/>
        <w:rPr/>
      </w:pPr>
      <w:r>
        <w:t xml:space="preserve">Antimicrobial agents are chemical substances that kills microorganisms or stop their growth and spread. They are primarily used to combat bacteria and fungi. Antibiotics are a type of antimicrobial used against bacteria, while antifungals are specialized against fungi. Sulfonamides are a group of synthetic drugs that contain the sulfonamide chemical group and are specialized against bacteria. </w:t>
      </w:r>
      <w:r>
        <w:t>However, while they can be used as antibiotics against bacterial infections, they can also be used as non-antibiotic drugs to deal with diseases such as diabetes, and for pain relief.</w:t>
      </w:r>
      <w:r>
        <w:t xml:space="preserve"> Sulfadiazine is one of the most common and popular types of sulfonamide antibiotics in use, and is specialized to deal with bacteria and treat bacterial infections</w:t>
      </w:r>
      <w:r>
        <w:t xml:space="preserve"> </w:t>
      </w:r>
      <w:r>
        <w:t>(Drugs.com, 2021)</w:t>
      </w:r>
      <w:r>
        <w:t xml:space="preserve">. </w:t>
      </w:r>
    </w:p>
    <w:p>
      <w:pPr>
        <w:pStyle w:val="style0"/>
        <w:rPr>
          <w:b/>
          <w:bCs/>
        </w:rPr>
      </w:pPr>
      <w:r>
        <w:rPr>
          <w:b/>
          <w:bCs/>
        </w:rPr>
        <w:t>Method of Action</w:t>
      </w:r>
    </w:p>
    <w:p>
      <w:pPr>
        <w:pStyle w:val="style0"/>
        <w:ind w:firstLine="720"/>
        <w:rPr/>
      </w:pPr>
      <w:r>
        <w:t>Sulfadiazine is an inhibitor. Its mechanism of action entails the inhibition of the bacterial enzyme dihydropteroate synthetase</w:t>
      </w:r>
      <w:r>
        <w:t xml:space="preserve"> preventing the formation of tetrahydrofolic acid from para-aminobenzoic acid</w:t>
      </w:r>
      <w:r>
        <w:t>. The enzyme is crucial for the synthesis of folic acid in bacteria</w:t>
      </w:r>
      <w:r>
        <w:t xml:space="preserve"> which is required for their growth</w:t>
      </w:r>
      <w:r>
        <w:t>.</w:t>
      </w:r>
      <w:r>
        <w:t xml:space="preserve"> Sulfadiazine’s inhibition of folic acid synthesis stops the growth of the bacteria, and their reproduction. </w:t>
      </w:r>
      <w:r>
        <w:t xml:space="preserve"> </w:t>
      </w:r>
      <w:r>
        <w:t xml:space="preserve"> </w:t>
      </w:r>
    </w:p>
    <w:p>
      <w:pPr>
        <w:pStyle w:val="style0"/>
        <w:rPr>
          <w:b/>
          <w:bCs/>
        </w:rPr>
      </w:pPr>
      <w:r>
        <w:rPr>
          <w:b/>
          <w:bCs/>
        </w:rPr>
        <w:t>Side Effects</w:t>
      </w:r>
    </w:p>
    <w:p>
      <w:pPr>
        <w:pStyle w:val="style0"/>
        <w:ind w:firstLine="720"/>
        <w:rPr/>
      </w:pPr>
      <w:r>
        <w:t xml:space="preserve">The common side-effects of sulfadiazine include; Nausea, vomiting, stomach pain, diarrhea, loss of appetite, recurring headaches, ringing in the ears, dizziness, loss of balance and coordination resulting in a spinning sensation, tingling, numbness or burning pain on the feet or hands, insomnia and moodiness. There are also more serious side-effects which warrant a visit to </w:t>
      </w:r>
      <w:r>
        <w:t xml:space="preserve">the doctor, such as; Hallucinations, seizures, liver-problems, jaundice, dark-urine, pale skin, shortness of breath, sudden weakness, fever, chills, or sore throat, unusual bleeding, and purplish or reddish spots under the skin. These </w:t>
      </w:r>
      <w:r>
        <w:t>symptoms</w:t>
      </w:r>
      <w:r>
        <w:t xml:space="preserve"> indicate an adverse reaction to the drug. </w:t>
      </w:r>
      <w:r>
        <w:t>Apart from the side-effects there are also situations where taking sulfadiazine is not advised. These include; during late pregnancy, when breast-feeding, when one is allergic to the drug, on young children less than two months old, and when there is a preexisting disease</w:t>
      </w:r>
      <w:r>
        <w:t xml:space="preserve"> </w:t>
      </w:r>
      <w:r>
        <w:t>(Drugs.com, 2021)</w:t>
      </w:r>
      <w:r>
        <w:t xml:space="preserve">. </w:t>
      </w:r>
    </w:p>
    <w:p>
      <w:pPr>
        <w:pStyle w:val="style0"/>
        <w:rPr>
          <w:b/>
          <w:bCs/>
        </w:rPr>
      </w:pPr>
      <w:r>
        <w:rPr>
          <w:b/>
          <w:bCs/>
        </w:rPr>
        <w:t xml:space="preserve">Treatment Regimen </w:t>
      </w:r>
    </w:p>
    <w:p>
      <w:pPr>
        <w:pStyle w:val="style0"/>
        <w:ind w:firstLine="720"/>
        <w:rPr/>
      </w:pPr>
      <w:r>
        <w:t xml:space="preserve">Sulfadiazine is taken orally in the form of a 500 mg tablet. </w:t>
      </w:r>
      <w:r>
        <w:t xml:space="preserve">The doses vary depending on the age of the person taking the antibiotic, the type and extent of the infection or disease being treated, and the preexisting health </w:t>
      </w:r>
      <w:r>
        <w:t>status</w:t>
      </w:r>
      <w:r>
        <w:t xml:space="preserve"> and reaction of the person to the medicine. </w:t>
      </w: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ind w:firstLine="72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Reference</w:t>
      </w:r>
    </w:p>
    <w:p>
      <w:pPr>
        <w:pStyle w:val="style0"/>
        <w:ind w:left="720" w:hanging="720"/>
        <w:rPr/>
      </w:pPr>
      <w:r>
        <w:t>Drugs.com.</w:t>
      </w:r>
      <w:r>
        <w:t xml:space="preserve"> (2021). </w:t>
      </w:r>
      <w:r>
        <w:t>Sulfadiazine.</w:t>
      </w:r>
      <w:r>
        <w:t xml:space="preserve"> Retrieved from </w:t>
      </w:r>
      <w:r>
        <w:t>Drugs.com:</w:t>
      </w:r>
      <w:r>
        <w:t xml:space="preserve"> https://www.drugs.com/mtm/sulfadiazine.html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ind w:firstLine="720"/>
        <w:rPr/>
      </w:pPr>
    </w:p>
    <w:sectPr>
      <w:headerReference w:type="default" r:id="rId2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right"/>
      <w:rPr/>
    </w:pP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</w:rPr>
      <w:t>2</w:t>
    </w:r>
    <w:r>
      <w:rPr>
        <w:noProof/>
      </w:rPr>
      <w:fldChar w:fldCharType="end"/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Calibri" w:hAnsi="Times New Roman"/>
        <w:sz w:val="24"/>
        <w:szCs w:val="24"/>
        <w:lang w:val="en-US" w:bidi="ar-SA" w:eastAsia="en-US"/>
      </w:rPr>
    </w:rPrDefault>
    <w:pPrDefault>
      <w:pPr>
        <w:spacing w:before="240" w:lineRule="auto" w:line="480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outlineLvl w:val="0"/>
    </w:pPr>
    <w:rPr>
      <w:rFonts w:cs="宋体" w:eastAsia="宋体"/>
      <w:b/>
      <w:sz w:val="28"/>
      <w:szCs w:val="32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40"/>
      <w:ind w:left="720" w:firstLine="720"/>
      <w:outlineLvl w:val="1"/>
    </w:pPr>
    <w:rPr>
      <w:rFonts w:cs="宋体" w:eastAsia="宋体"/>
      <w:b/>
      <w:color w:val="000000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c3d2f474-d39f-46aa-88a5-b2fa36a764ac"/>
    <w:basedOn w:val="style65"/>
    <w:next w:val="style4097"/>
    <w:link w:val="style1"/>
    <w:uiPriority w:val="9"/>
    <w:rPr>
      <w:rFonts w:cs="宋体" w:eastAsia="宋体"/>
      <w:b/>
      <w:sz w:val="28"/>
      <w:szCs w:val="32"/>
    </w:rPr>
  </w:style>
  <w:style w:type="character" w:customStyle="1" w:styleId="style4098">
    <w:name w:val="Heading 2 Char_e4163f4c-9d20-4271-b481-fbd8a354eee6"/>
    <w:basedOn w:val="style65"/>
    <w:next w:val="style4098"/>
    <w:link w:val="style2"/>
    <w:uiPriority w:val="9"/>
    <w:rPr>
      <w:rFonts w:cs="宋体" w:eastAsia="宋体"/>
      <w:b/>
      <w:color w:val="000000"/>
      <w:sz w:val="26"/>
      <w:szCs w:val="26"/>
    </w:rPr>
  </w:style>
  <w:style w:type="paragraph" w:styleId="style62">
    <w:name w:val="Title"/>
    <w:basedOn w:val="style0"/>
    <w:next w:val="style0"/>
    <w:link w:val="style4099"/>
    <w:qFormat/>
    <w:uiPriority w:val="10"/>
    <w:pPr>
      <w:contextualSpacing/>
    </w:pPr>
    <w:rPr>
      <w:rFonts w:cs="宋体" w:eastAsia="宋体"/>
      <w:b/>
      <w:spacing w:val="-10"/>
      <w:kern w:val="28"/>
      <w:sz w:val="32"/>
      <w:szCs w:val="56"/>
    </w:rPr>
  </w:style>
  <w:style w:type="character" w:customStyle="1" w:styleId="style4099">
    <w:name w:val="Title Char_33307939-7fee-46a7-8a7e-994903464ba8"/>
    <w:basedOn w:val="style65"/>
    <w:next w:val="style4099"/>
    <w:link w:val="style62"/>
    <w:uiPriority w:val="10"/>
    <w:rPr>
      <w:rFonts w:cs="宋体" w:eastAsia="宋体"/>
      <w:b/>
      <w:spacing w:val="-10"/>
      <w:kern w:val="28"/>
      <w:sz w:val="32"/>
      <w:szCs w:val="56"/>
    </w:rPr>
  </w:style>
  <w:style w:type="paragraph" w:styleId="style31">
    <w:name w:val="header"/>
    <w:basedOn w:val="style0"/>
    <w:next w:val="style31"/>
    <w:link w:val="style4100"/>
    <w:uiPriority w:val="99"/>
    <w:pPr>
      <w:tabs>
        <w:tab w:val="center" w:leader="none" w:pos="4680"/>
        <w:tab w:val="right" w:leader="none" w:pos="9360"/>
      </w:tabs>
      <w:spacing w:before="0" w:lineRule="auto" w:line="240"/>
    </w:pPr>
    <w:rPr/>
  </w:style>
  <w:style w:type="character" w:customStyle="1" w:styleId="style4100">
    <w:name w:val="Header Char_f0183cfb-e01e-42c8-b194-6642c38b5685"/>
    <w:basedOn w:val="style65"/>
    <w:next w:val="style4100"/>
    <w:link w:val="style31"/>
    <w:uiPriority w:val="99"/>
  </w:style>
  <w:style w:type="paragraph" w:styleId="style32">
    <w:name w:val="footer"/>
    <w:basedOn w:val="style0"/>
    <w:next w:val="style32"/>
    <w:link w:val="style4101"/>
    <w:uiPriority w:val="99"/>
    <w:pPr>
      <w:tabs>
        <w:tab w:val="center" w:leader="none" w:pos="4680"/>
        <w:tab w:val="right" w:leader="none" w:pos="9360"/>
      </w:tabs>
      <w:spacing w:before="0" w:lineRule="auto" w:line="240"/>
    </w:pPr>
    <w:rPr/>
  </w:style>
  <w:style w:type="character" w:customStyle="1" w:styleId="style4101">
    <w:name w:val="Footer Char_52e57dd6-ed9e-4e2b-9d9e-936a218b59be"/>
    <w:basedOn w:val="style65"/>
    <w:next w:val="style4101"/>
    <w:link w:val="style32"/>
    <w:uiPriority w:val="99"/>
  </w:style>
  <w:style w:type="paragraph" w:styleId="style265">
    <w:name w:val="Bibliography"/>
    <w:basedOn w:val="style0"/>
    <w:next w:val="style0"/>
    <w:uiPriority w:val="3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Dru21</b:Tag>
    <b:SourceType>InternetSite</b:SourceType>
    <b:Guid>{6EF5DC78-7646-45B4-9FEE-67B6D4BE5303}</b:Guid>
    <b:Author>
      <b:Author>
        <b:Corporate>Drugs.com </b:Corporate>
      </b:Author>
    </b:Author>
    <b:Title>Sulfadiazine </b:Title>
    <b:InternetSiteTitle>Drugs.com </b:InternetSiteTitle>
    <b:Year>2021</b:Year>
    <b:URL>https://www.drugs.com/mtm/sulfadiazine.html</b:URL>
    <b:RefOrder>1</b:RefOrder>
  </b:Source>
</b:Sources>
</file>

<file path=customXml/itemProps1.xml><?xml version="1.0" encoding="utf-8"?>
<ds:datastoreItem xmlns:ds="http://schemas.openxmlformats.org/officeDocument/2006/customXml" ds:itemID="{DCCB69A0-3850-4CF4-955B-8DE620BBF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394</Words>
  <Pages>4</Pages>
  <Characters>2323</Characters>
  <Application>WPS Office</Application>
  <DocSecurity>0</DocSecurity>
  <Paragraphs>42</Paragraphs>
  <ScaleCrop>false</ScaleCrop>
  <LinksUpToDate>false</LinksUpToDate>
  <CharactersWithSpaces>2710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2021-08-04T08:24:17Z</dcterms:created>
  <dc:creator>Samuel wasike</dc:creator>
  <lastModifiedBy>CPH2083</lastModifiedBy>
  <dcterms:modified xsi:type="dcterms:W3CDTF">2021-08-04T08:24:17Z</dcterms:modified>
  <revision>21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d3745c0e247443428db66a9fd99dc081</vt:lpwstr>
  </property>
</Properties>
</file>