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5299" w:rsidRDefault="00C75299" w:rsidP="004E59CA">
      <w:pPr>
        <w:jc w:val="center"/>
      </w:pPr>
    </w:p>
    <w:p w:rsidR="00C75299" w:rsidRDefault="00C75299" w:rsidP="004E59CA">
      <w:pPr>
        <w:jc w:val="center"/>
      </w:pPr>
    </w:p>
    <w:p w:rsidR="00C75299" w:rsidRDefault="00C75299" w:rsidP="004E59CA">
      <w:pPr>
        <w:jc w:val="center"/>
      </w:pPr>
    </w:p>
    <w:p w:rsidR="00C75299" w:rsidRDefault="00C75299" w:rsidP="004E59CA">
      <w:pPr>
        <w:jc w:val="center"/>
      </w:pPr>
    </w:p>
    <w:p w:rsidR="00C75299" w:rsidRDefault="00C75299" w:rsidP="004E59CA">
      <w:pPr>
        <w:jc w:val="center"/>
      </w:pPr>
      <w:r w:rsidRPr="00C75299">
        <w:t>HIS 200 Historical Analysis Essay Progress Check 2</w:t>
      </w:r>
    </w:p>
    <w:p w:rsidR="00C75299" w:rsidRDefault="00C75299" w:rsidP="004E59CA">
      <w:pPr>
        <w:jc w:val="center"/>
      </w:pPr>
      <w:r>
        <w:t>Name</w:t>
      </w:r>
    </w:p>
    <w:p w:rsidR="00C75299" w:rsidRDefault="00C75299" w:rsidP="004E59CA">
      <w:pPr>
        <w:jc w:val="center"/>
      </w:pPr>
      <w:r>
        <w:t>Institution</w:t>
      </w:r>
    </w:p>
    <w:p w:rsidR="00C75299" w:rsidRDefault="00C75299" w:rsidP="004E59CA">
      <w:pPr>
        <w:jc w:val="center"/>
      </w:pPr>
      <w:r>
        <w:t>Class</w:t>
      </w:r>
    </w:p>
    <w:p w:rsidR="00C75299" w:rsidRDefault="00C75299" w:rsidP="004E59CA">
      <w:pPr>
        <w:jc w:val="center"/>
      </w:pPr>
      <w:r>
        <w:t>Professor</w:t>
      </w:r>
    </w:p>
    <w:p w:rsidR="00C75299" w:rsidRDefault="00C75299" w:rsidP="004E59CA">
      <w:pPr>
        <w:jc w:val="center"/>
      </w:pPr>
      <w:r>
        <w:t>Date</w:t>
      </w:r>
    </w:p>
    <w:p w:rsidR="00C75299" w:rsidRDefault="00C75299">
      <w:r>
        <w:br w:type="page"/>
      </w:r>
    </w:p>
    <w:p w:rsidR="002F7CEE" w:rsidRDefault="004E59CA" w:rsidP="004E59CA">
      <w:pPr>
        <w:jc w:val="center"/>
      </w:pPr>
      <w:r w:rsidRPr="004E59CA">
        <w:lastRenderedPageBreak/>
        <w:t>HIS 200 Historical Analysis Essay Progress Check 2</w:t>
      </w:r>
    </w:p>
    <w:p w:rsidR="00CA66B7" w:rsidRPr="00CA66B7" w:rsidRDefault="00CA66B7" w:rsidP="00E8787E">
      <w:pPr>
        <w:jc w:val="center"/>
        <w:rPr>
          <w:b/>
        </w:rPr>
      </w:pPr>
      <w:r>
        <w:rPr>
          <w:b/>
        </w:rPr>
        <w:t>Body</w:t>
      </w:r>
    </w:p>
    <w:p w:rsidR="00CA66B7" w:rsidRPr="00CA66B7" w:rsidRDefault="003A5296" w:rsidP="00CA66B7">
      <w:r w:rsidRPr="003A5296">
        <w:rPr>
          <w:b/>
        </w:rPr>
        <w:t>Causes:</w:t>
      </w:r>
      <w:r>
        <w:t xml:space="preserve"> </w:t>
      </w:r>
      <w:r w:rsidR="00CA66B7" w:rsidRPr="00CA66B7">
        <w:t>The historical events that contributed to the passage of the Voting Rights Act of 1965 were the arrest and imprisonment of Martin Luther King Junior, Bloody Sunday, and MLK’s letter while in jail</w:t>
      </w:r>
      <w:r w:rsidR="00D92EE7">
        <w:t xml:space="preserve"> </w:t>
      </w:r>
      <w:r w:rsidR="00D92EE7" w:rsidRPr="00D92EE7">
        <w:t>(Flippen, 2014; Laney, 2011)</w:t>
      </w:r>
      <w:r w:rsidR="00CA66B7" w:rsidRPr="00CA66B7">
        <w:t>. Additionally, the series of civil rights movements and protests pushed for equal treatment of all citizens. For example, the brutal torture and tear-gassing of peaceful protestors during the historical Bloody Sunday pushed for quick enactment of the Act. MLK’s letter in jail piled pressure on the government to pass the Act and grant the Blacks voting right</w:t>
      </w:r>
      <w:r w:rsidR="00DA4903">
        <w:t xml:space="preserve"> </w:t>
      </w:r>
      <w:r w:rsidR="00DA4903" w:rsidRPr="00DA4903">
        <w:t>(Flippen, 2014; Laney, 2011)</w:t>
      </w:r>
      <w:r w:rsidR="00CA66B7" w:rsidRPr="00CA66B7">
        <w:t>. The passage of the Civil Rights Act of 1964 also facilitated the enactment of the Voting Rights Act. The civil rights act addressed the discrimination of African Americans in public accommodations and institutions, thereby pushing for equal voting rights for all Americans.</w:t>
      </w:r>
    </w:p>
    <w:p w:rsidR="00CA66B7" w:rsidRPr="00CA66B7" w:rsidRDefault="00CA66B7" w:rsidP="00CA66B7">
      <w:r w:rsidRPr="00CA66B7">
        <w:rPr>
          <w:b/>
          <w:bCs/>
        </w:rPr>
        <w:t>Course:</w:t>
      </w:r>
      <w:r w:rsidRPr="00CA66B7">
        <w:t> The struggle for civil rights continued after the American Civil War to liberate African Americans and grant them voting right. The high rate of Black discrimination and segregation in the Southern states pushed resulted in a series of civil rights movements and protests. Congress eventually passed the Civil Rights Act in 1964, and it reduced the discrimination rate of Blacks in accommodation places and public places</w:t>
      </w:r>
      <w:r w:rsidR="004E4A2D">
        <w:t xml:space="preserve"> </w:t>
      </w:r>
      <w:r w:rsidR="004E4A2D" w:rsidRPr="004E4A2D">
        <w:t>(Flippen, 2014)</w:t>
      </w:r>
      <w:r w:rsidRPr="00CA66B7">
        <w:t>. However, the Civil Rights Act failed to address the voting rights, and more movements and protests followed to push for the enactment of the Voting Rights Act to eliminate the special policies that deterred the Blacks from voting or participating in politics.</w:t>
      </w:r>
    </w:p>
    <w:p w:rsidR="00CA66B7" w:rsidRPr="00CA66B7" w:rsidRDefault="00CA66B7" w:rsidP="00CA66B7">
      <w:r w:rsidRPr="00CA66B7">
        <w:t xml:space="preserve">The key participants were Martin Luther King Junior, President Lyndon Johnson, and civil rights groups and leaders. They led civil rights campaigns and movements, delivered landmark </w:t>
      </w:r>
      <w:r w:rsidRPr="00CA66B7">
        <w:lastRenderedPageBreak/>
        <w:t>liberation speeches, and approved the Act. For example, MLK’s speech, “Give Us the Ballot,” and letter while in jail, “there are more Blacks with me here in jail than in voting centers,” pushed for quick enactment of the Voting Rights Act</w:t>
      </w:r>
      <w:r w:rsidR="00C048A8">
        <w:t xml:space="preserve"> </w:t>
      </w:r>
      <w:r w:rsidR="00C048A8" w:rsidRPr="00C048A8">
        <w:t>(Flippen, 2014)</w:t>
      </w:r>
      <w:r w:rsidRPr="00CA66B7">
        <w:t>. President Lyndon Johnson urged Congress in his speech to pass the Act with immediate effect. The civil leaders led series of protests and movements to push for the Act’s passage. The key stakeholders had a similar perspective based on equal voting rights for all American citizens.</w:t>
      </w:r>
    </w:p>
    <w:p w:rsidR="00465ABF" w:rsidRDefault="00CA66B7" w:rsidP="00CA66B7">
      <w:r w:rsidRPr="00CA66B7">
        <w:rPr>
          <w:b/>
          <w:bCs/>
        </w:rPr>
        <w:t>Consequences:</w:t>
      </w:r>
      <w:r w:rsidRPr="00CA66B7">
        <w:t xml:space="preserve"> After enacting the Civil Rights Act of 1965, African Americans’ representation increased in Congress, state legislatures, and public offices. </w:t>
      </w:r>
      <w:r w:rsidR="00712158" w:rsidRPr="00712158">
        <w:t>For example, only five Blacks served in Congress in 1964, but the number increased to 48 by 2018. Additionally, the number of Black state legislators from the eleven Southern states increased from three in 1965 to 176 in 1985</w:t>
      </w:r>
      <w:r w:rsidR="00234F63">
        <w:t xml:space="preserve"> </w:t>
      </w:r>
      <w:r w:rsidR="007A7832">
        <w:t>(</w:t>
      </w:r>
      <w:r w:rsidR="007A7832" w:rsidRPr="007A7832">
        <w:t>Finkelman</w:t>
      </w:r>
      <w:bookmarkStart w:id="0" w:name="_GoBack"/>
      <w:bookmarkEnd w:id="0"/>
      <w:r w:rsidR="007A7832">
        <w:t>, 2015</w:t>
      </w:r>
      <w:r w:rsidR="00234F63" w:rsidRPr="00234F63">
        <w:t xml:space="preserve">; </w:t>
      </w:r>
      <w:r w:rsidR="007D3F0A" w:rsidRPr="007D3F0A">
        <w:t>Davidson &amp; Grofman, 2021</w:t>
      </w:r>
      <w:r w:rsidR="00234F63" w:rsidRPr="00234F63">
        <w:t>)</w:t>
      </w:r>
      <w:r w:rsidR="00712158">
        <w:t xml:space="preserve">. </w:t>
      </w:r>
      <w:r w:rsidRPr="00CA66B7">
        <w:t>The number of registered Black voters increased across all American states. African American voter turnout also increased, especially in Southern states where Blacks were denied voting rights. For instance, Mississippi’s African American voter registration quickly increased from 6.7 percent i</w:t>
      </w:r>
      <w:r w:rsidR="00465ABF">
        <w:t>n 1964 to 59.8 percent in 1967</w:t>
      </w:r>
      <w:r w:rsidR="00C10369">
        <w:t xml:space="preserve"> </w:t>
      </w:r>
      <w:r w:rsidR="00C10369" w:rsidRPr="00C10369">
        <w:t>(Grofman &amp; Handley, 1991)</w:t>
      </w:r>
      <w:r w:rsidR="00465ABF">
        <w:t>.</w:t>
      </w:r>
    </w:p>
    <w:p w:rsidR="00E527A6" w:rsidRDefault="00CA66B7" w:rsidP="00CA66B7">
      <w:r w:rsidRPr="00CA66B7">
        <w:t>The Act quickly increased the political power of the Blacks by allowing them to vote and run for political seats. The Act also removed the “special provisions” in states that denied the Blacks voting rights and prevented any changes to be made on the voting rights unless approved by the Justice Department of the Federal Court</w:t>
      </w:r>
      <w:r w:rsidR="00C6357C">
        <w:t xml:space="preserve"> </w:t>
      </w:r>
      <w:r w:rsidR="00C6357C" w:rsidRPr="00C6357C">
        <w:t>(U.S. Commission on Civil Rights, 2001)</w:t>
      </w:r>
      <w:r w:rsidRPr="00CA66B7">
        <w:t>. It reduced the impacts of racial gerrymandering by redrawing the Congressional and legislative boundaries.</w:t>
      </w:r>
    </w:p>
    <w:p w:rsidR="00C14BAF" w:rsidRDefault="00C14BAF">
      <w:r>
        <w:br w:type="page"/>
      </w:r>
    </w:p>
    <w:p w:rsidR="00C14BAF" w:rsidRDefault="00C14BAF" w:rsidP="00C14BAF">
      <w:pPr>
        <w:jc w:val="center"/>
      </w:pPr>
      <w:r>
        <w:lastRenderedPageBreak/>
        <w:t>References</w:t>
      </w:r>
    </w:p>
    <w:p w:rsidR="007A7832" w:rsidRPr="007A7832" w:rsidRDefault="007A7832" w:rsidP="007A7832">
      <w:pPr>
        <w:ind w:left="720" w:hanging="720"/>
      </w:pPr>
      <w:r w:rsidRPr="007A7832">
        <w:t>Davidson, C., &amp; Grofman, B. (Eds.). (2021). </w:t>
      </w:r>
      <w:r w:rsidRPr="007A7832">
        <w:rPr>
          <w:i/>
          <w:iCs/>
        </w:rPr>
        <w:t>Quiet revolution in the South: The impact of the Voting Rights Act, 1965-1990</w:t>
      </w:r>
      <w:r w:rsidRPr="007A7832">
        <w:t xml:space="preserve">. Princeton University Press. </w:t>
      </w:r>
    </w:p>
    <w:p w:rsidR="007A7832" w:rsidRPr="007A7832" w:rsidRDefault="007A7832" w:rsidP="007A7832">
      <w:pPr>
        <w:ind w:left="720" w:hanging="720"/>
      </w:pPr>
      <w:r w:rsidRPr="007A7832">
        <w:t>Finkelman, P. (2015). The Necessity of the Voting Rights Act of 1965 and the Difficulty of Overcoming Almost a Century of Voting Discrimination. </w:t>
      </w:r>
      <w:r w:rsidRPr="007A7832">
        <w:rPr>
          <w:i/>
          <w:iCs/>
        </w:rPr>
        <w:t>La. L. Rev.</w:t>
      </w:r>
      <w:r w:rsidRPr="007A7832">
        <w:t>, </w:t>
      </w:r>
      <w:r w:rsidRPr="007A7832">
        <w:rPr>
          <w:i/>
          <w:iCs/>
        </w:rPr>
        <w:t>76</w:t>
      </w:r>
      <w:r w:rsidRPr="007A7832">
        <w:t xml:space="preserve">, 181. </w:t>
      </w:r>
    </w:p>
    <w:p w:rsidR="007A7832" w:rsidRPr="007A7832" w:rsidRDefault="007A7832" w:rsidP="007A7832">
      <w:pPr>
        <w:ind w:left="720" w:hanging="720"/>
      </w:pPr>
      <w:r w:rsidRPr="007A7832">
        <w:t xml:space="preserve">Flippen, A. (2014). "Black Turnout in 1964 and Beyond." The New York Times, October 12, 2021. Retrieved from </w:t>
      </w:r>
      <w:hyperlink r:id="rId6" w:history="1">
        <w:r w:rsidRPr="007A7832">
          <w:rPr>
            <w:rStyle w:val="Hyperlink"/>
          </w:rPr>
          <w:t>https://www.nytimes.com/2014/10/17/upshot/black-turnout-in-1964-and-beyond.html</w:t>
        </w:r>
      </w:hyperlink>
      <w:r w:rsidRPr="007A7832">
        <w:t xml:space="preserve"> </w:t>
      </w:r>
    </w:p>
    <w:p w:rsidR="007A7832" w:rsidRPr="007A7832" w:rsidRDefault="007A7832" w:rsidP="007A7832">
      <w:pPr>
        <w:ind w:left="720" w:hanging="720"/>
      </w:pPr>
      <w:r w:rsidRPr="007A7832">
        <w:t xml:space="preserve">Grofman, B. and Handley, L. (1991). "The Impact of the Voting Rights Act on Black Representation in Southern State Legislatures." Legislative Studies Quarterly, Vol. 16, No. 1 (February, 1991), 111­128. </w:t>
      </w:r>
    </w:p>
    <w:p w:rsidR="007A7832" w:rsidRPr="007A7832" w:rsidRDefault="007A7832" w:rsidP="007A7832">
      <w:pPr>
        <w:ind w:left="720" w:hanging="720"/>
      </w:pPr>
      <w:r w:rsidRPr="007A7832">
        <w:t xml:space="preserve">Laney, G. (2011). The Voting Rights Act of 1965: Historical Background and Current Issues. New York: Nova Science Publishers. </w:t>
      </w:r>
    </w:p>
    <w:p w:rsidR="00C14BAF" w:rsidRPr="003A5296" w:rsidRDefault="007A7832" w:rsidP="007A7832">
      <w:pPr>
        <w:ind w:left="720" w:hanging="720"/>
      </w:pPr>
      <w:r w:rsidRPr="007A7832">
        <w:t>U.S. Commission on Civil Rights (2001). Racial and Ethnic Tensions in American Communities: Poverty, Inequality, and Discrimination—Volume VII: The Mississippi Delta Report. Washington, DC: U.S. Commission on Civil Rights.</w:t>
      </w:r>
    </w:p>
    <w:sectPr w:rsidR="00C14BAF" w:rsidRPr="003A529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00CDF" w:rsidRDefault="00C00CDF" w:rsidP="006B5E64">
      <w:pPr>
        <w:spacing w:after="0" w:line="240" w:lineRule="auto"/>
      </w:pPr>
      <w:r>
        <w:separator/>
      </w:r>
    </w:p>
  </w:endnote>
  <w:endnote w:type="continuationSeparator" w:id="0">
    <w:p w:rsidR="00C00CDF" w:rsidRDefault="00C00CDF" w:rsidP="006B5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00CDF" w:rsidRDefault="00C00CDF" w:rsidP="006B5E64">
      <w:pPr>
        <w:spacing w:after="0" w:line="240" w:lineRule="auto"/>
      </w:pPr>
      <w:r>
        <w:separator/>
      </w:r>
    </w:p>
  </w:footnote>
  <w:footnote w:type="continuationSeparator" w:id="0">
    <w:p w:rsidR="00C00CDF" w:rsidRDefault="00C00CDF" w:rsidP="006B5E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9480185"/>
      <w:docPartObj>
        <w:docPartGallery w:val="Page Numbers (Top of Page)"/>
        <w:docPartUnique/>
      </w:docPartObj>
    </w:sdtPr>
    <w:sdtEndPr>
      <w:rPr>
        <w:noProof/>
      </w:rPr>
    </w:sdtEndPr>
    <w:sdtContent>
      <w:p w:rsidR="006B5E64" w:rsidRDefault="006B5E64">
        <w:pPr>
          <w:pStyle w:val="Header"/>
        </w:pPr>
        <w:r w:rsidRPr="006B5E64">
          <w:t>HISTORICAL ANALYSIS ESSAY PROGRESS CHECK 2</w:t>
        </w:r>
        <w:r>
          <w:tab/>
        </w:r>
        <w:r>
          <w:fldChar w:fldCharType="begin"/>
        </w:r>
        <w:r>
          <w:instrText xml:space="preserve"> PAGE   \* MERGEFORMAT </w:instrText>
        </w:r>
        <w:r>
          <w:fldChar w:fldCharType="separate"/>
        </w:r>
        <w:r w:rsidR="007A7832">
          <w:rPr>
            <w:noProof/>
          </w:rPr>
          <w:t>3</w:t>
        </w:r>
        <w:r>
          <w:rPr>
            <w:noProof/>
          </w:rPr>
          <w:fldChar w:fldCharType="end"/>
        </w:r>
      </w:p>
    </w:sdtContent>
  </w:sdt>
  <w:p w:rsidR="006B5E64" w:rsidRDefault="006B5E6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57C5"/>
    <w:rsid w:val="00142CA2"/>
    <w:rsid w:val="00160B06"/>
    <w:rsid w:val="00187321"/>
    <w:rsid w:val="001B2727"/>
    <w:rsid w:val="00221D43"/>
    <w:rsid w:val="00223507"/>
    <w:rsid w:val="00234F63"/>
    <w:rsid w:val="00257CC5"/>
    <w:rsid w:val="00277649"/>
    <w:rsid w:val="002F7CEE"/>
    <w:rsid w:val="003013F2"/>
    <w:rsid w:val="003A5296"/>
    <w:rsid w:val="00436927"/>
    <w:rsid w:val="00465ABF"/>
    <w:rsid w:val="004E4A2D"/>
    <w:rsid w:val="004E59CA"/>
    <w:rsid w:val="00520651"/>
    <w:rsid w:val="00533572"/>
    <w:rsid w:val="00571A23"/>
    <w:rsid w:val="00623AC7"/>
    <w:rsid w:val="00653586"/>
    <w:rsid w:val="00665623"/>
    <w:rsid w:val="00676109"/>
    <w:rsid w:val="006B5E64"/>
    <w:rsid w:val="006F4ACB"/>
    <w:rsid w:val="00712158"/>
    <w:rsid w:val="0072088E"/>
    <w:rsid w:val="00754784"/>
    <w:rsid w:val="007A7832"/>
    <w:rsid w:val="007D3F0A"/>
    <w:rsid w:val="00822C0D"/>
    <w:rsid w:val="008811A6"/>
    <w:rsid w:val="008C6DFA"/>
    <w:rsid w:val="009134AE"/>
    <w:rsid w:val="00930243"/>
    <w:rsid w:val="00941CF9"/>
    <w:rsid w:val="009D1D8F"/>
    <w:rsid w:val="009D2E12"/>
    <w:rsid w:val="00B56530"/>
    <w:rsid w:val="00B86D41"/>
    <w:rsid w:val="00B94E85"/>
    <w:rsid w:val="00C00CDF"/>
    <w:rsid w:val="00C048A8"/>
    <w:rsid w:val="00C10369"/>
    <w:rsid w:val="00C14BAF"/>
    <w:rsid w:val="00C6357C"/>
    <w:rsid w:val="00C657C5"/>
    <w:rsid w:val="00C75299"/>
    <w:rsid w:val="00CA66B7"/>
    <w:rsid w:val="00CA7BC4"/>
    <w:rsid w:val="00CB5C78"/>
    <w:rsid w:val="00CC7898"/>
    <w:rsid w:val="00CF009F"/>
    <w:rsid w:val="00D92EE7"/>
    <w:rsid w:val="00DA30BE"/>
    <w:rsid w:val="00DA4903"/>
    <w:rsid w:val="00E527A6"/>
    <w:rsid w:val="00E64299"/>
    <w:rsid w:val="00E8787E"/>
    <w:rsid w:val="00E94F86"/>
    <w:rsid w:val="00EB6DC9"/>
    <w:rsid w:val="00F06E5E"/>
    <w:rsid w:val="00F21C34"/>
    <w:rsid w:val="00FA6018"/>
    <w:rsid w:val="00FB0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A88F00-ADA4-4DCB-BCCA-65B9D265B3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A66B7"/>
    <w:rPr>
      <w:rFonts w:cs="Times New Roman"/>
      <w:szCs w:val="24"/>
    </w:rPr>
  </w:style>
  <w:style w:type="paragraph" w:styleId="Header">
    <w:name w:val="header"/>
    <w:basedOn w:val="Normal"/>
    <w:link w:val="HeaderChar"/>
    <w:uiPriority w:val="99"/>
    <w:unhideWhenUsed/>
    <w:rsid w:val="006B5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E64"/>
  </w:style>
  <w:style w:type="paragraph" w:styleId="Footer">
    <w:name w:val="footer"/>
    <w:basedOn w:val="Normal"/>
    <w:link w:val="FooterChar"/>
    <w:uiPriority w:val="99"/>
    <w:unhideWhenUsed/>
    <w:rsid w:val="006B5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E64"/>
  </w:style>
  <w:style w:type="character" w:styleId="Hyperlink">
    <w:name w:val="Hyperlink"/>
    <w:basedOn w:val="DefaultParagraphFont"/>
    <w:uiPriority w:val="99"/>
    <w:unhideWhenUsed/>
    <w:rsid w:val="007A783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655160">
      <w:bodyDiv w:val="1"/>
      <w:marLeft w:val="0"/>
      <w:marRight w:val="0"/>
      <w:marTop w:val="0"/>
      <w:marBottom w:val="0"/>
      <w:divBdr>
        <w:top w:val="none" w:sz="0" w:space="0" w:color="auto"/>
        <w:left w:val="none" w:sz="0" w:space="0" w:color="auto"/>
        <w:bottom w:val="none" w:sz="0" w:space="0" w:color="auto"/>
        <w:right w:val="none" w:sz="0" w:space="0" w:color="auto"/>
      </w:divBdr>
    </w:div>
    <w:div w:id="1218276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ytimes.com/2014/10/17/upshot/black-turnout-in-1964-and-beyond.html"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TotalTime>
  <Pages>4</Pages>
  <Words>731</Words>
  <Characters>4170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63</cp:revision>
  <dcterms:created xsi:type="dcterms:W3CDTF">2021-10-16T16:52:00Z</dcterms:created>
  <dcterms:modified xsi:type="dcterms:W3CDTF">2021-10-17T07:27:00Z</dcterms:modified>
</cp:coreProperties>
</file>