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7279" w:rsidRDefault="00B67279" w:rsidP="000A67DA">
      <w:pPr>
        <w:jc w:val="center"/>
        <w:rPr>
          <w:b/>
        </w:rPr>
      </w:pPr>
    </w:p>
    <w:p w:rsidR="00B67279" w:rsidRDefault="00B67279" w:rsidP="000A67DA">
      <w:pPr>
        <w:jc w:val="center"/>
        <w:rPr>
          <w:b/>
        </w:rPr>
      </w:pPr>
    </w:p>
    <w:p w:rsidR="00B67279" w:rsidRDefault="00B67279" w:rsidP="000A67DA">
      <w:pPr>
        <w:jc w:val="center"/>
        <w:rPr>
          <w:b/>
        </w:rPr>
      </w:pPr>
    </w:p>
    <w:p w:rsidR="00B67279" w:rsidRDefault="00B67279" w:rsidP="000A67DA">
      <w:pPr>
        <w:jc w:val="center"/>
        <w:rPr>
          <w:b/>
        </w:rPr>
      </w:pPr>
    </w:p>
    <w:p w:rsidR="00B67279" w:rsidRDefault="00B67279" w:rsidP="000A67DA">
      <w:pPr>
        <w:jc w:val="center"/>
        <w:rPr>
          <w:b/>
        </w:rPr>
      </w:pPr>
    </w:p>
    <w:p w:rsidR="00B67279" w:rsidRPr="00471983" w:rsidRDefault="00B67279" w:rsidP="000A67DA">
      <w:pPr>
        <w:jc w:val="center"/>
      </w:pPr>
      <w:r w:rsidRPr="00471983">
        <w:t>How did the Greeks commemorate their dead from c. 900-480 B.C.?</w:t>
      </w:r>
    </w:p>
    <w:p w:rsidR="00B67279" w:rsidRPr="00471983" w:rsidRDefault="00B67279" w:rsidP="000A67DA">
      <w:pPr>
        <w:jc w:val="center"/>
      </w:pPr>
    </w:p>
    <w:p w:rsidR="00B67279" w:rsidRPr="00471983" w:rsidRDefault="00B67279" w:rsidP="000A67DA">
      <w:pPr>
        <w:jc w:val="center"/>
      </w:pPr>
      <w:r w:rsidRPr="00471983">
        <w:t>Name</w:t>
      </w:r>
    </w:p>
    <w:p w:rsidR="00B67279" w:rsidRPr="00471983" w:rsidRDefault="00B67279" w:rsidP="000A67DA">
      <w:pPr>
        <w:jc w:val="center"/>
      </w:pPr>
      <w:r w:rsidRPr="00471983">
        <w:t>Institution</w:t>
      </w:r>
    </w:p>
    <w:p w:rsidR="00B67279" w:rsidRPr="00471983" w:rsidRDefault="00B67279" w:rsidP="000A67DA">
      <w:pPr>
        <w:jc w:val="center"/>
      </w:pPr>
      <w:r w:rsidRPr="00471983">
        <w:t>Class</w:t>
      </w:r>
    </w:p>
    <w:p w:rsidR="00B67279" w:rsidRPr="00471983" w:rsidRDefault="00B67279" w:rsidP="000A67DA">
      <w:pPr>
        <w:jc w:val="center"/>
      </w:pPr>
      <w:r w:rsidRPr="00471983">
        <w:t>Professor</w:t>
      </w:r>
    </w:p>
    <w:p w:rsidR="00B67279" w:rsidRPr="00471983" w:rsidRDefault="00B67279" w:rsidP="000A67DA">
      <w:pPr>
        <w:jc w:val="center"/>
      </w:pPr>
      <w:r w:rsidRPr="00471983">
        <w:t>Date</w:t>
      </w:r>
    </w:p>
    <w:p w:rsidR="00B67279" w:rsidRDefault="00B67279">
      <w:pPr>
        <w:rPr>
          <w:b/>
        </w:rPr>
      </w:pPr>
      <w:r>
        <w:rPr>
          <w:b/>
        </w:rPr>
        <w:br w:type="page"/>
      </w:r>
    </w:p>
    <w:p w:rsidR="002F7CEE" w:rsidRDefault="000A67DA" w:rsidP="000A67DA">
      <w:pPr>
        <w:jc w:val="center"/>
        <w:rPr>
          <w:b/>
        </w:rPr>
      </w:pPr>
      <w:r w:rsidRPr="000A67DA">
        <w:rPr>
          <w:b/>
        </w:rPr>
        <w:lastRenderedPageBreak/>
        <w:t>How did the Greeks commemorate their dead from c. 900-480 B.C.?</w:t>
      </w:r>
    </w:p>
    <w:p w:rsidR="000026CD" w:rsidRDefault="000026CD" w:rsidP="000026CD">
      <w:pPr>
        <w:ind w:firstLine="720"/>
      </w:pPr>
      <w:r>
        <w:t>The ancient Greeks believed in life after death and conducted numerous afterlife ceremonies to commemorate their dead. The Greek concept of the afterlife existed as early as the sixth century B.C., and the practice was carried on to subsequent generations. The commemoration ceremonies were meant to show respect and appreciate the person’s life after death. The Greeks believed that the spirits of people departed them at the moment of death (psyche) in the form of wind, and the bodies were buried without the spirits (Rawson, 2010; Ogden, 2010). Proper burial was a cultural practice among the Greeks because it was the last respect given to the deceased. Women relatives of the deceased primarily did the burial in three main phases: prothesis (laying out of the body), the ekphora (funeral procession), and body interment/cremation (Rawson, 2010; Ogden, 2010). The commemoration was also meant to appease the spirits of the dead and bring good luck and fortune to society. This exploratory paper seeks to describe the ways used by the Greeks to commemorate their dead from c. 900-480 B.C.</w:t>
      </w:r>
    </w:p>
    <w:p w:rsidR="000026CD" w:rsidRDefault="000026CD" w:rsidP="000026CD">
      <w:pPr>
        <w:ind w:firstLine="720"/>
      </w:pPr>
      <w:r>
        <w:t>In ancient Greece, the burial of the deceased took time and underwent numerous processes, unlike in contemporary society, where it takes a very short time. Based on historical records, the burial ceremony was lengthy and challenging because it had to pass through three main processes (Mikalson et al., 2022). The women relatives of the deceased prepared the body and made special funeral arrangements to lament, pay last respect and celebrate the deceased’s life (Bellis, 2018; Eidinow &amp; Kindt, 2015). A commemorative funerary monument was also put in place to mark the burial plot. The families of the dead were expected to take proper care of the dead in facilitating a successful transition between death and the afterlife.</w:t>
      </w:r>
    </w:p>
    <w:p w:rsidR="00FA0FAE" w:rsidRDefault="000026CD" w:rsidP="000026CD">
      <w:pPr>
        <w:ind w:firstLine="720"/>
      </w:pPr>
      <w:r>
        <w:t xml:space="preserve">The ancient Greeks’ concept of the afterlife held that the moment the soul left the body (psyche) was just the beginning of death. Joining the dead required the dead to pass all three </w:t>
      </w:r>
      <w:r>
        <w:lastRenderedPageBreak/>
        <w:t>steps (Bellis, 2018; Eidinow &amp; Kindt, 2015). The Greeks believed that Hades only accepted to the underworld the individuals who executed all three steps. The three funerary scenes decorated and honored the monuments, thereby commemorating the whole burial process. Prothesis, ekphora, and body interment/burial were the three elaborate funerary steps carried out (Bellis, 2018; Eidinow &amp; Kindt, 2015) by the ancient Greeks to honor and commemorate their dead. The ancient Greek vases showed the three steps in order, using artistic decorations.</w:t>
      </w:r>
    </w:p>
    <w:p w:rsidR="007A425D" w:rsidRDefault="007A425D" w:rsidP="0083565D">
      <w:pPr>
        <w:jc w:val="center"/>
        <w:rPr>
          <w:b/>
        </w:rPr>
      </w:pPr>
      <w:r>
        <w:rPr>
          <w:b/>
        </w:rPr>
        <w:t>Prothesis</w:t>
      </w:r>
    </w:p>
    <w:p w:rsidR="00786BAC" w:rsidRPr="00786BAC" w:rsidRDefault="00786BAC" w:rsidP="00786BAC">
      <w:pPr>
        <w:ind w:firstLine="720"/>
      </w:pPr>
      <w:r w:rsidRPr="00786BAC">
        <w:t>The prothesis was the first step that entailed laying out the body at home to allow the relatives and friends to view the body (Bellis, 2018; Eidinow &amp; Kindt, 2015). Immediately after dying, the closest relative of the deceased closed the mouth and eyes. In other instances, a coin was placed inside the mouth to pay Charon (underworld ferryman) to take the deceased across the River Styx. Women played a major role in the prothesis phase because they washed and dressed the body (Bellis, 2018; Eidinow &amp; Kindt, 2015). They also anointed the body with oil and laid it on the bed or bier. The bier/bed was primarily covered with blankets and pillows to evoke the association between death and sleep. The deceased were dressed based on their former social status when alive. For example, the married were dressed in wedding linen, and the poor were dressed in ordinary garments while the rich were dressed in gold crowns and silver garments.</w:t>
      </w:r>
    </w:p>
    <w:p w:rsidR="00786BAC" w:rsidRPr="00786BAC" w:rsidRDefault="00786BAC" w:rsidP="00786BAC">
      <w:pPr>
        <w:ind w:firstLine="720"/>
      </w:pPr>
      <w:r w:rsidRPr="00786BAC">
        <w:t xml:space="preserve">After the body placement on the bed/bier was displayed to the deceased’s relatives and friends to show their last respect and tributes to the body as they mourned. The ancient Greeks hanged a lock of hair or cypress branch on the door to show that there was a dead body inside (Bellis, 2018; Eidinow &amp; Kindt, 2015). They also placed a bowl full of water just outside the door for purification of the body. The body was covered well and left lying on the funeral </w:t>
      </w:r>
      <w:r w:rsidRPr="00786BAC">
        <w:lastRenderedPageBreak/>
        <w:t>bier/bed within the house. The body was laid in a defined position inside the house, with the legs pointing towards the door and the head pointed away from the door. Some branches and oil jars were placed around the body and left for about three days as people continued to mourn and pay last respect.</w:t>
      </w:r>
    </w:p>
    <w:p w:rsidR="00786BAC" w:rsidRPr="00786BAC" w:rsidRDefault="00786BAC" w:rsidP="00786BAC">
      <w:pPr>
        <w:ind w:firstLine="720"/>
      </w:pPr>
      <w:r w:rsidRPr="00786BAC">
        <w:t>The mourning began silently during prothesis, with men and women differing in their ways of mourning. Men showed no emotion while mourning and rather displayed a formal and detached behavior to show the loss of the loved one (Bellis, 2018). As portrayed by the ancient Greek artwork (vase), the men who were also the head of the family waited at a distance from the body to greet the visitors. The women mourned through wailing, loud gestures and stayed close to the body (Eidinow &amp; Kindt, 2015). The mother or wife of the deceased was expected to lead the mourning and often stayed close to the body throughout the mourning period. The ekphora step succeeded in the prothesis and formal mourning periods.</w:t>
      </w:r>
    </w:p>
    <w:p w:rsidR="00786BAC" w:rsidRPr="00786BAC" w:rsidRDefault="00786BAC" w:rsidP="004A0457">
      <w:pPr>
        <w:jc w:val="center"/>
      </w:pPr>
      <w:r w:rsidRPr="00786BAC">
        <w:rPr>
          <w:b/>
          <w:bCs/>
        </w:rPr>
        <w:t>The Ekphora</w:t>
      </w:r>
    </w:p>
    <w:p w:rsidR="00786BAC" w:rsidRPr="00786BAC" w:rsidRDefault="00786BAC" w:rsidP="00786BAC">
      <w:pPr>
        <w:ind w:firstLine="720"/>
      </w:pPr>
      <w:r w:rsidRPr="00786BAC">
        <w:t>Ekphora was the second step that followed the prothesis, in which the body was carried to the specific point of interment/burial in a funerary procession by the mourners (Eidinow &amp; Kindt, 2015). The Greeks conducted the funerary procession at night, particularly just before dawn, with no stops or lamentations made along the way until the body reached the burial site. The body was transported by a chariot, cart, or individuals walking on foot. Maintaining silence was a cultural practice during the processions to avoid disturbing the deceased, who was believed to be asleep. The mourners in the funerary processions comprised the deceased’s family members who carried the body from the house. They were later joined along the way by professional mourners and performers, who carried the body to the place of burial.</w:t>
      </w:r>
    </w:p>
    <w:p w:rsidR="00786BAC" w:rsidRPr="00786BAC" w:rsidRDefault="00786BAC" w:rsidP="00786BAC">
      <w:pPr>
        <w:ind w:firstLine="720"/>
      </w:pPr>
      <w:r w:rsidRPr="00786BAC">
        <w:lastRenderedPageBreak/>
        <w:t>The men walked in front of the corpse during the procession while the women walked behind the cart carrying the body. The music players led the way, playing their flutes in front of men to celebrate the deceased’s life and show the last respect to the individual (Smith &amp; Plantzos, 2018; Shapiro, 1991). Generally, the women were not allowed to be part of the procession except for the very close relatives of the deceased or those above 60 years. The women danced while holding hands and moved behind the cart to accompany the deceased to the final place of rest (burial site). The funerary amphora showed the men behind the flute music players, with the women following on the opposite side (Shapiro, 1991). The vessel also contained the scenes of men in horse-drawn chariots with armed soldiers riding them to represent the special funerary games that were played to honor the deceased for the last time. The music performance and other funerary games were conducted to create a ceremonial procession to appease the deceased and make them go in peace.</w:t>
      </w:r>
    </w:p>
    <w:p w:rsidR="00786BAC" w:rsidRPr="00786BAC" w:rsidRDefault="00786BAC" w:rsidP="004A0457">
      <w:pPr>
        <w:jc w:val="center"/>
      </w:pPr>
      <w:r w:rsidRPr="00786BAC">
        <w:rPr>
          <w:b/>
          <w:bCs/>
        </w:rPr>
        <w:t>The Interment (Burial)</w:t>
      </w:r>
    </w:p>
    <w:p w:rsidR="00786BAC" w:rsidRPr="00786BAC" w:rsidRDefault="00786BAC" w:rsidP="00786BAC">
      <w:pPr>
        <w:ind w:firstLine="720"/>
      </w:pPr>
      <w:r w:rsidRPr="00786BAC">
        <w:t>The interment was the third and final step in the preparation and burial of the body. The ancient Greeks practiced both the burial and cremation of the body. Practically, the Greeks spent nine days gathering wood, and just before the dawn of the tenth day, the body was set ready for cremation, which was the most common form of interment in Greece during the period (Eidinow &amp; Kindt, 2015). The collected wood was used to make a pyre in which the deceased’s body was laid and set on fire on the tenth day. The corpse was burnt, and bones were collected and stored in the large funerary urns for burial. The Greeks practiced cremation to purify the deceased to prepare them for the new life in the underworld (Shapiro, 1991). Mourning was allowed in this phase, and the friends and relatives of the deceased shed tears to show their love for the lost one.</w:t>
      </w:r>
    </w:p>
    <w:p w:rsidR="00786BAC" w:rsidRPr="00786BAC" w:rsidRDefault="00786BAC" w:rsidP="00786BAC">
      <w:pPr>
        <w:ind w:firstLine="720"/>
      </w:pPr>
      <w:r w:rsidRPr="00786BAC">
        <w:lastRenderedPageBreak/>
        <w:t>The mourners were also allowed and encouraged to cry loudly, wail, and express grief as a way of saying goodbye to the fallen member. It was proof of love to the deceased by both the family members and the community. The collected bones were put in a golden casket and covered with soft purple robes, ready for burial (Eidinow &amp; Kindt, 2015). The casket was laid in a hollow grave for a burial, and few personal items of the deceased were also put in the grave to be buried with the corpse. The wealth materials placed buried with the body were meant to sustain the deceased in the next world. Boulders covered the tombs, and statues or monumental objects were erected on the graves to mark them (Avramidou &amp; Demetriou, 2014). Grave marking was a Greek practice for ensuring that the deceased was never forgotten in society. The afterlife meant that there was an end to life, and the Greeks relied on grave marking to remember their fallen descendants.</w:t>
      </w:r>
    </w:p>
    <w:p w:rsidR="00786BAC" w:rsidRPr="00786BAC" w:rsidRDefault="00786BAC" w:rsidP="00786BAC">
      <w:pPr>
        <w:ind w:firstLine="720"/>
      </w:pPr>
      <w:r w:rsidRPr="00786BAC">
        <w:t>The family members delivered eulogies in the form of literal speeches to praise and defend the deceased before the final send-off. Since the deceased had no way of apologizing to people they wronged while still alive, the family members apologized on their behalf while delivering the eulogy (Shapiro, 1991). They also defended the deceased for possible actions or behavior that they exhibited while alive to make them go in peace, owing nobody any apology. The invited guests and the dead were offered wine at the funeral to honor the visitors and the dead in the form of the last joint drinking ceremony (Eidinow &amp; Kindt, 2015). After the burial, the friends and relatives of the deceased had a meal (perideipnon) at the deceased’s home to celebrate the life of the fallen loved one. The meal brought the relatives and friends together, showing the strong bond linking them with the deceased. It also creates a sense of love, peace, and harmony, making the deceased go in peace.</w:t>
      </w:r>
    </w:p>
    <w:p w:rsidR="00786BAC" w:rsidRPr="00786BAC" w:rsidRDefault="00786BAC" w:rsidP="00786BAC">
      <w:pPr>
        <w:ind w:firstLine="720"/>
      </w:pPr>
      <w:r w:rsidRPr="00786BAC">
        <w:lastRenderedPageBreak/>
        <w:t>The Greeks used the vases to mark the final steps of interment of the corpses. The vases were used as grave markers to mark the graves of the deceased to create the memory of the fallen loved one. The large size of the vases and their decorative attributes further enhanced their functions as funerary monuments (Eidinow &amp; Kindt, 2015). However, the humble background families could not afford the vases and were mostly used by the wealthy families. They placed decorative vases on the graveside to show the elite status of the deceased in society.</w:t>
      </w:r>
    </w:p>
    <w:p w:rsidR="00786BAC" w:rsidRPr="00786BAC" w:rsidRDefault="00786BAC" w:rsidP="00786BAC">
      <w:pPr>
        <w:ind w:firstLine="720"/>
      </w:pPr>
      <w:r w:rsidRPr="00786BAC">
        <w:t>After the burial, the Greeks visited the tomb on the third, ninth, and thirteenth days after burial. During these visits, the tomb visitors prayed for the deceased and wished them a happy life in the underworld because they believed in the afterlife (Mikalson et al., 2022). The visitors also carried with them libation honey, milk, or olive oil to offer to the buried loved ones as a way of appeasing them (Eidinow &amp; Kindt, 2015). They sang lamentation songs by the graveside to express their grief for losing the deceased. This was a way of showing the pain of losing the deceased, and it was meant to make the deceased pleased and feel loved and missed by the community (Shapiro, 1991). The women regularly visited the graves and offered the deceased offerings such as food and libations. The libations were meant to please the dead and bring good fortune to society.</w:t>
      </w:r>
    </w:p>
    <w:p w:rsidR="00786BAC" w:rsidRPr="00786BAC" w:rsidRDefault="00786BAC" w:rsidP="004A0457">
      <w:pPr>
        <w:jc w:val="center"/>
      </w:pPr>
      <w:r w:rsidRPr="00786BAC">
        <w:rPr>
          <w:b/>
          <w:bCs/>
        </w:rPr>
        <w:t>The Commemoration</w:t>
      </w:r>
    </w:p>
    <w:p w:rsidR="00786BAC" w:rsidRPr="00786BAC" w:rsidRDefault="00786BAC" w:rsidP="00786BAC">
      <w:pPr>
        <w:ind w:firstLine="720"/>
      </w:pPr>
      <w:r w:rsidRPr="00786BAC">
        <w:t xml:space="preserve">The Greek concept of the afterlife held that everybody was expected to complete all the stages marked on the vases to pass to the afterlife successfully. According to the Greeks, Hades only accepted to the underworld those that completed all the stages of death as marked on the vases (Eidinow &amp; Kindt, 2015). The underworld was believed to be categorized into various inhabits, in which the dead that were remembered by the living lived in good places and had great pleasure enjoying the sun of Elysium (Department of Greek and Roman Art, 2003). </w:t>
      </w:r>
      <w:r w:rsidRPr="00786BAC">
        <w:lastRenderedPageBreak/>
        <w:t>However, the wicked individuals who were forgotten by the living lived in pain and misery in the dark pits of Tartarus or eternally wandered in the underworld.</w:t>
      </w:r>
    </w:p>
    <w:p w:rsidR="00786BAC" w:rsidRPr="00786BAC" w:rsidRDefault="00786BAC" w:rsidP="00786BAC">
      <w:pPr>
        <w:ind w:firstLine="720"/>
      </w:pPr>
      <w:r w:rsidRPr="00786BAC">
        <w:t>The Greeks commemorated their dead ones through the funerary scenes and used the monuments to commemorate the dead. They erected monuments with special inscriptions on them to create lasting memories in the minds of the community. The commemoration monuments signified that the deceased had successfully transitioned from the living to the dead and finally to the underworld (Eidinow &amp; Kindt, 2015). The memories were passed to the next generations to preserve the memory of the deceased on the minds of future generations. Some of the most expensive Greek funerary monuments date back to the sixth century B.C. at the time of the aristocratic families of Attica (Arabantinos &amp; Museio, 2010; Department of Greek and Roman Art, 2003). The Greek included phrase inscriptions of the name and main achievements of the deceased to establish a long-lasting of the deceased in the society.</w:t>
      </w:r>
    </w:p>
    <w:p w:rsidR="00786BAC" w:rsidRPr="00786BAC" w:rsidRDefault="00786BAC" w:rsidP="00786BAC">
      <w:pPr>
        <w:ind w:firstLine="720"/>
      </w:pPr>
      <w:r w:rsidRPr="00786BAC">
        <w:t>In some instances, the Greeks included the reliefs that provided a visual perception of the deceased to evoke the general life of the individual. The near-visual representation kept the memory of the deceased on the people’s minds and made it easy for future generations to visualize the deceased’s life when they existed. The Greeks also commemorated the dead by naming the children after the death, and naming the children after the dead family members helped to keep the memory of the lost one alive and passed to the next generation. They believed that the spirit of the dead rested upon the children named after them. This way, the deceased’s spirit continued to live in the new body, thereby symbolizing the rebirth of individuals.</w:t>
      </w:r>
    </w:p>
    <w:p w:rsidR="00786BAC" w:rsidRPr="00786BAC" w:rsidRDefault="00786BAC" w:rsidP="00786BAC">
      <w:pPr>
        <w:ind w:firstLine="720"/>
      </w:pPr>
      <w:r w:rsidRPr="00786BAC">
        <w:t xml:space="preserve">The Greeks also erected the marble sculptures and funerary statutes on the graces of the deceased to create a lasting memory about the deceased. Some of the marble sculptures and funerary statues stand to date and have kept the memories of the ancient Greeks (Shapiro, 1991). </w:t>
      </w:r>
      <w:r w:rsidRPr="00786BAC">
        <w:lastRenderedPageBreak/>
        <w:t>The Greeks also commemorated the dead using geometric arts such as vases. Excellent examples of the geometric arts used by the Greeks to commemorate the deceased are the funerary amphora with scenes of mourning and the gravestone of Pollis (Knigge, 1991). These geometric art tools contained graphics that represented the events and practices that occurred in ancient Greek society. The visual geometric arts contained information about the dead, which were transferred to subsequent generations.</w:t>
      </w:r>
    </w:p>
    <w:p w:rsidR="00697842" w:rsidRDefault="00786BAC" w:rsidP="00786BAC">
      <w:pPr>
        <w:ind w:firstLine="720"/>
      </w:pPr>
      <w:r w:rsidRPr="00786BAC">
        <w:t>In conclusion, the Greeks commemorated their dead through funerary scenes, grave monuments, funerary sculptures, and geometric arts. The families, relatives, and friends of the deceased mourned their dead loved ones and paid last respect in various ways to appease the deceased’s spirit and make them rest in peace. The deceased completed all the funerary scenes for them to get accepted by Hades into the underworld. The bodies of the deceased were laid out in the prothesis scene, washed, and anointed with the oil to wait the day of the final send-off. The deceased’s body was transported to the grave in a funerary procession to mark the completion of the ekphora step. The funerary procession was done silently just before dawn, and mourners were allowed to lament at the graveside. The corpse was cremated to purify it, and bones were collected and put in a golden casket for burial. The interment was done to and sculptures erected on the grave to mark it.</w:t>
      </w:r>
    </w:p>
    <w:p w:rsidR="003465B8" w:rsidRDefault="003465B8">
      <w:r>
        <w:br w:type="page"/>
      </w:r>
    </w:p>
    <w:p w:rsidR="003465B8" w:rsidRDefault="003465B8" w:rsidP="003465B8">
      <w:pPr>
        <w:ind w:left="720" w:hanging="720"/>
        <w:jc w:val="center"/>
      </w:pPr>
      <w:r>
        <w:lastRenderedPageBreak/>
        <w:t>References</w:t>
      </w:r>
    </w:p>
    <w:p w:rsidR="004849DA" w:rsidRDefault="004849DA" w:rsidP="00C90852">
      <w:pPr>
        <w:ind w:left="720" w:hanging="720"/>
      </w:pPr>
      <w:r w:rsidRPr="00470ED2">
        <w:t>Arabantinos, B., &amp; Museio, T. A. (2010). </w:t>
      </w:r>
      <w:r w:rsidRPr="00470ED2">
        <w:rPr>
          <w:i/>
          <w:iCs/>
        </w:rPr>
        <w:t>The Archaeological Museum of Thebes</w:t>
      </w:r>
      <w:r w:rsidRPr="00470ED2">
        <w:t>. John S. Latsis Public Benefit Foundation.</w:t>
      </w:r>
      <w:r>
        <w:t xml:space="preserve"> </w:t>
      </w:r>
      <w:hyperlink r:id="rId6" w:history="1">
        <w:r w:rsidRPr="003D65D4">
          <w:rPr>
            <w:rStyle w:val="Hyperlink"/>
          </w:rPr>
          <w:t>https://www.latsisfoundation.org/content/elib/book_17/thiba_en.pdf</w:t>
        </w:r>
      </w:hyperlink>
      <w:r>
        <w:t xml:space="preserve"> [October 8, 2021] </w:t>
      </w:r>
    </w:p>
    <w:p w:rsidR="004849DA" w:rsidRDefault="004849DA" w:rsidP="00C90852">
      <w:pPr>
        <w:ind w:left="720" w:hanging="720"/>
      </w:pPr>
      <w:r w:rsidRPr="00DE244B">
        <w:t>Avramidou, A., &amp; Demetriou, D. (2014). Approaching the Ancient Artifact.</w:t>
      </w:r>
      <w:r>
        <w:t xml:space="preserve"> </w:t>
      </w:r>
      <w:hyperlink r:id="rId7" w:history="1">
        <w:r w:rsidRPr="003D65D4">
          <w:rPr>
            <w:rStyle w:val="Hyperlink"/>
          </w:rPr>
          <w:t>https://www.latsis-foundation.org/content/elib/book_2/kerameikos_en.pdf</w:t>
        </w:r>
      </w:hyperlink>
      <w:r>
        <w:t xml:space="preserve"> [October 8, 2021] </w:t>
      </w:r>
    </w:p>
    <w:p w:rsidR="004849DA" w:rsidRPr="00427FFC" w:rsidRDefault="004849DA" w:rsidP="00C03A83">
      <w:pPr>
        <w:ind w:left="720" w:hanging="720"/>
      </w:pPr>
      <w:r>
        <w:t xml:space="preserve">Bellis, A. (April 19, 2018). </w:t>
      </w:r>
      <w:r w:rsidRPr="00C03A83">
        <w:t xml:space="preserve">Commemorating the </w:t>
      </w:r>
      <w:r>
        <w:t>d</w:t>
      </w:r>
      <w:r w:rsidRPr="00C03A83">
        <w:t xml:space="preserve">ead in Greek </w:t>
      </w:r>
      <w:r>
        <w:t>g</w:t>
      </w:r>
      <w:r w:rsidRPr="00C03A83">
        <w:t xml:space="preserve">eometric </w:t>
      </w:r>
      <w:r>
        <w:t>a</w:t>
      </w:r>
      <w:r w:rsidRPr="00C03A83">
        <w:t>rt</w:t>
      </w:r>
      <w:r>
        <w:t xml:space="preserve">. </w:t>
      </w:r>
      <w:r>
        <w:rPr>
          <w:i/>
        </w:rPr>
        <w:t xml:space="preserve">Iris blog. </w:t>
      </w:r>
      <w:hyperlink r:id="rId8" w:history="1">
        <w:r w:rsidRPr="003D65D4">
          <w:rPr>
            <w:rStyle w:val="Hyperlink"/>
          </w:rPr>
          <w:t>https://blogs.getty.edu/iris/commemorating-the-dead-in-greek-geometric-art/</w:t>
        </w:r>
      </w:hyperlink>
      <w:r>
        <w:t xml:space="preserve"> [October 8, 2021] </w:t>
      </w:r>
    </w:p>
    <w:p w:rsidR="004849DA" w:rsidRDefault="004849DA" w:rsidP="00C90852">
      <w:pPr>
        <w:ind w:left="720" w:hanging="720"/>
      </w:pPr>
      <w:r w:rsidRPr="0037183D">
        <w:t>Department of Greek and Roman Art</w:t>
      </w:r>
      <w:r>
        <w:t xml:space="preserve"> (October 2003). </w:t>
      </w:r>
      <w:r>
        <w:rPr>
          <w:bCs/>
        </w:rPr>
        <w:t>D</w:t>
      </w:r>
      <w:r w:rsidRPr="00C90852">
        <w:rPr>
          <w:bCs/>
        </w:rPr>
        <w:t xml:space="preserve">eath, burial, and the afterlife in ancient </w:t>
      </w:r>
      <w:r>
        <w:rPr>
          <w:bCs/>
        </w:rPr>
        <w:t>G</w:t>
      </w:r>
      <w:r w:rsidRPr="00C90852">
        <w:rPr>
          <w:bCs/>
        </w:rPr>
        <w:t>reece</w:t>
      </w:r>
      <w:r>
        <w:rPr>
          <w:bCs/>
        </w:rPr>
        <w:t>.</w:t>
      </w:r>
      <w:r w:rsidRPr="00C90852">
        <w:rPr>
          <w:i/>
        </w:rPr>
        <w:t xml:space="preserve"> </w:t>
      </w:r>
      <w:r w:rsidRPr="0037183D">
        <w:rPr>
          <w:i/>
        </w:rPr>
        <w:t xml:space="preserve">The </w:t>
      </w:r>
      <w:r>
        <w:rPr>
          <w:i/>
        </w:rPr>
        <w:t>Met.</w:t>
      </w:r>
      <w:r>
        <w:t xml:space="preserve"> </w:t>
      </w:r>
      <w:hyperlink r:id="rId9" w:history="1">
        <w:r w:rsidRPr="003D65D4">
          <w:rPr>
            <w:rStyle w:val="Hyperlink"/>
          </w:rPr>
          <w:t>https://www.metmuseum.org/toah/hd/dbag/hd_dbag.htm</w:t>
        </w:r>
      </w:hyperlink>
      <w:r>
        <w:t xml:space="preserve"> </w:t>
      </w:r>
      <w:r w:rsidRPr="00505547">
        <w:t>[October 8, 2021]</w:t>
      </w:r>
      <w:r>
        <w:t xml:space="preserve"> </w:t>
      </w:r>
    </w:p>
    <w:p w:rsidR="004849DA" w:rsidRDefault="004849DA" w:rsidP="00C90852">
      <w:pPr>
        <w:ind w:left="720" w:hanging="720"/>
      </w:pPr>
      <w:r w:rsidRPr="004D4BF4">
        <w:t>Eidinow, E., &amp; Kindt, J. (Eds.). (2015). </w:t>
      </w:r>
      <w:r w:rsidRPr="004D4BF4">
        <w:rPr>
          <w:i/>
          <w:iCs/>
        </w:rPr>
        <w:t>The Oxford handbook of ancient Greek religion</w:t>
      </w:r>
      <w:r w:rsidRPr="004D4BF4">
        <w:t>. OUP Oxford.</w:t>
      </w:r>
      <w:r>
        <w:t xml:space="preserve"> </w:t>
      </w:r>
    </w:p>
    <w:p w:rsidR="004849DA" w:rsidRDefault="004849DA" w:rsidP="00C90852">
      <w:pPr>
        <w:ind w:left="720" w:hanging="720"/>
      </w:pPr>
      <w:r w:rsidRPr="002D6945">
        <w:t>Knigge, U. (1991). The Athenian Kerameikos: History, Monuments, Excavations, trans. </w:t>
      </w:r>
      <w:r w:rsidRPr="002D6945">
        <w:rPr>
          <w:i/>
          <w:iCs/>
        </w:rPr>
        <w:t>J. Binder, Athens</w:t>
      </w:r>
      <w:r w:rsidRPr="002D6945">
        <w:t>.</w:t>
      </w:r>
      <w:r>
        <w:t xml:space="preserve"> </w:t>
      </w:r>
    </w:p>
    <w:p w:rsidR="004849DA" w:rsidRDefault="004849DA" w:rsidP="00C90852">
      <w:pPr>
        <w:ind w:left="720" w:hanging="720"/>
      </w:pPr>
      <w:r w:rsidRPr="00345F71">
        <w:t>Mikalson, J. D., Petrovic, A., &amp; Petrovic, I. (2022). </w:t>
      </w:r>
      <w:r w:rsidRPr="00345F71">
        <w:rPr>
          <w:i/>
          <w:iCs/>
        </w:rPr>
        <w:t>Ancient Greek Religion</w:t>
      </w:r>
      <w:r w:rsidRPr="00345F71">
        <w:t>. John Wiley &amp; Sons.</w:t>
      </w:r>
      <w:r>
        <w:t xml:space="preserve"> </w:t>
      </w:r>
    </w:p>
    <w:p w:rsidR="004849DA" w:rsidRDefault="004849DA" w:rsidP="00C90852">
      <w:pPr>
        <w:ind w:left="720" w:hanging="720"/>
      </w:pPr>
      <w:r w:rsidRPr="00C34551">
        <w:t>Ogden, D. (Ed.). (2010). </w:t>
      </w:r>
      <w:r w:rsidRPr="00C34551">
        <w:rPr>
          <w:i/>
          <w:iCs/>
        </w:rPr>
        <w:t>A companion to Greek religion</w:t>
      </w:r>
      <w:r w:rsidRPr="00C34551">
        <w:t>. John Wiley &amp; Sons.</w:t>
      </w:r>
      <w:r>
        <w:t xml:space="preserve"> </w:t>
      </w:r>
    </w:p>
    <w:p w:rsidR="004849DA" w:rsidRDefault="004849DA" w:rsidP="00C90852">
      <w:pPr>
        <w:ind w:left="720" w:hanging="720"/>
      </w:pPr>
      <w:r w:rsidRPr="00C34551">
        <w:t>Rawson, B. (Ed.). (2010). </w:t>
      </w:r>
      <w:r w:rsidRPr="00C34551">
        <w:rPr>
          <w:i/>
          <w:iCs/>
        </w:rPr>
        <w:t>A companion to families in the Greek and Roman worlds</w:t>
      </w:r>
      <w:r w:rsidRPr="00C34551">
        <w:t>. John Wiley &amp; Sons.</w:t>
      </w:r>
      <w:r>
        <w:t xml:space="preserve"> </w:t>
      </w:r>
    </w:p>
    <w:p w:rsidR="004849DA" w:rsidRDefault="004849DA" w:rsidP="00C90852">
      <w:pPr>
        <w:ind w:left="720" w:hanging="720"/>
      </w:pPr>
      <w:r w:rsidRPr="007D5007">
        <w:lastRenderedPageBreak/>
        <w:t>Shapiro, H. A. (1991). The iconography of mourning in Athenian art. </w:t>
      </w:r>
      <w:r w:rsidRPr="007D5007">
        <w:rPr>
          <w:i/>
          <w:iCs/>
        </w:rPr>
        <w:t>American Journal of Archaeology</w:t>
      </w:r>
      <w:r w:rsidRPr="007D5007">
        <w:t>, 629-656.</w:t>
      </w:r>
      <w:r>
        <w:t xml:space="preserve"> </w:t>
      </w:r>
    </w:p>
    <w:p w:rsidR="004849DA" w:rsidRPr="00733AFD" w:rsidRDefault="004849DA" w:rsidP="00C90852">
      <w:pPr>
        <w:ind w:left="720" w:hanging="720"/>
      </w:pPr>
      <w:r w:rsidRPr="007D5007">
        <w:t>Smith, T. J., &amp; Plantzos, D. (Eds.). (2018). </w:t>
      </w:r>
      <w:r w:rsidRPr="007D5007">
        <w:rPr>
          <w:i/>
          <w:iCs/>
        </w:rPr>
        <w:t>A companion to Greek art</w:t>
      </w:r>
      <w:r w:rsidRPr="007D5007">
        <w:t>. John Wiley &amp; Sons.</w:t>
      </w:r>
      <w:r>
        <w:t xml:space="preserve"> </w:t>
      </w:r>
    </w:p>
    <w:sectPr w:rsidR="004849DA" w:rsidRPr="00733AFD">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13618" w:rsidRDefault="00F13618" w:rsidP="00BB73FB">
      <w:pPr>
        <w:spacing w:after="0" w:line="240" w:lineRule="auto"/>
      </w:pPr>
      <w:r>
        <w:separator/>
      </w:r>
    </w:p>
  </w:endnote>
  <w:endnote w:type="continuationSeparator" w:id="0">
    <w:p w:rsidR="00F13618" w:rsidRDefault="00F13618" w:rsidP="00BB7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2AD5" w:rsidRDefault="009C2AD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2AD5" w:rsidRDefault="009C2AD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2AD5" w:rsidRDefault="009C2AD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13618" w:rsidRDefault="00F13618" w:rsidP="00BB73FB">
      <w:pPr>
        <w:spacing w:after="0" w:line="240" w:lineRule="auto"/>
      </w:pPr>
      <w:r>
        <w:separator/>
      </w:r>
    </w:p>
  </w:footnote>
  <w:footnote w:type="continuationSeparator" w:id="0">
    <w:p w:rsidR="00F13618" w:rsidRDefault="00F13618" w:rsidP="00BB73F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2AD5" w:rsidRDefault="009C2AD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99522886"/>
      <w:docPartObj>
        <w:docPartGallery w:val="Page Numbers (Top of Page)"/>
        <w:docPartUnique/>
      </w:docPartObj>
    </w:sdtPr>
    <w:sdtEndPr>
      <w:rPr>
        <w:noProof/>
      </w:rPr>
    </w:sdtEndPr>
    <w:sdtContent>
      <w:p w:rsidR="00BB73FB" w:rsidRDefault="009C2AD5">
        <w:pPr>
          <w:pStyle w:val="Header"/>
        </w:pPr>
        <w:r>
          <w:t>GREEKS COMMEMORATION</w:t>
        </w:r>
        <w:r w:rsidR="00BB73FB" w:rsidRPr="00BB73FB">
          <w:t xml:space="preserve"> </w:t>
        </w:r>
        <w:r w:rsidR="00BB73FB">
          <w:t>OF</w:t>
        </w:r>
        <w:r w:rsidR="00BB73FB" w:rsidRPr="00BB73FB">
          <w:t xml:space="preserve"> </w:t>
        </w:r>
        <w:r w:rsidR="00BB73FB">
          <w:t xml:space="preserve">THE </w:t>
        </w:r>
        <w:r w:rsidR="00BB73FB" w:rsidRPr="00BB73FB">
          <w:t>DEAD</w:t>
        </w:r>
        <w:bookmarkStart w:id="0" w:name="_GoBack"/>
        <w:bookmarkEnd w:id="0"/>
        <w:r w:rsidR="00BB73FB">
          <w:tab/>
        </w:r>
        <w:r w:rsidR="00BB73FB">
          <w:fldChar w:fldCharType="begin"/>
        </w:r>
        <w:r w:rsidR="00BB73FB">
          <w:instrText xml:space="preserve"> PAGE   \* MERGEFORMAT </w:instrText>
        </w:r>
        <w:r w:rsidR="00BB73FB">
          <w:fldChar w:fldCharType="separate"/>
        </w:r>
        <w:r>
          <w:rPr>
            <w:noProof/>
          </w:rPr>
          <w:t>1</w:t>
        </w:r>
        <w:r w:rsidR="00BB73FB">
          <w:rPr>
            <w:noProof/>
          </w:rPr>
          <w:fldChar w:fldCharType="end"/>
        </w:r>
      </w:p>
    </w:sdtContent>
  </w:sdt>
  <w:p w:rsidR="00BB73FB" w:rsidRDefault="00BB73F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2AD5" w:rsidRDefault="009C2AD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0828"/>
    <w:rsid w:val="000026CD"/>
    <w:rsid w:val="00007909"/>
    <w:rsid w:val="00025AE6"/>
    <w:rsid w:val="00025E02"/>
    <w:rsid w:val="00026F5A"/>
    <w:rsid w:val="00031F3F"/>
    <w:rsid w:val="000364D4"/>
    <w:rsid w:val="00043061"/>
    <w:rsid w:val="00043B05"/>
    <w:rsid w:val="0004608F"/>
    <w:rsid w:val="00057800"/>
    <w:rsid w:val="000619EE"/>
    <w:rsid w:val="00066A2A"/>
    <w:rsid w:val="000670A3"/>
    <w:rsid w:val="00070E0B"/>
    <w:rsid w:val="00083316"/>
    <w:rsid w:val="000878C6"/>
    <w:rsid w:val="00093276"/>
    <w:rsid w:val="000A5374"/>
    <w:rsid w:val="000A559C"/>
    <w:rsid w:val="000A67DA"/>
    <w:rsid w:val="000A74E2"/>
    <w:rsid w:val="000B5053"/>
    <w:rsid w:val="000B5739"/>
    <w:rsid w:val="000C2B72"/>
    <w:rsid w:val="000C5C0F"/>
    <w:rsid w:val="000C7269"/>
    <w:rsid w:val="000D0609"/>
    <w:rsid w:val="000D13DA"/>
    <w:rsid w:val="000D6FD1"/>
    <w:rsid w:val="000D7470"/>
    <w:rsid w:val="000E457B"/>
    <w:rsid w:val="000E5FE2"/>
    <w:rsid w:val="000F0C73"/>
    <w:rsid w:val="000F610A"/>
    <w:rsid w:val="0010282B"/>
    <w:rsid w:val="00103C98"/>
    <w:rsid w:val="00114CE4"/>
    <w:rsid w:val="00114F60"/>
    <w:rsid w:val="00114F74"/>
    <w:rsid w:val="001210B9"/>
    <w:rsid w:val="00122F99"/>
    <w:rsid w:val="001260AE"/>
    <w:rsid w:val="00130828"/>
    <w:rsid w:val="001338AA"/>
    <w:rsid w:val="00141236"/>
    <w:rsid w:val="00171F67"/>
    <w:rsid w:val="001741BC"/>
    <w:rsid w:val="00185699"/>
    <w:rsid w:val="00186FF4"/>
    <w:rsid w:val="001A480C"/>
    <w:rsid w:val="001B1435"/>
    <w:rsid w:val="001B3FB3"/>
    <w:rsid w:val="001B6986"/>
    <w:rsid w:val="001F75FE"/>
    <w:rsid w:val="002036DD"/>
    <w:rsid w:val="002078BB"/>
    <w:rsid w:val="00222305"/>
    <w:rsid w:val="0023128D"/>
    <w:rsid w:val="00234EB6"/>
    <w:rsid w:val="0024246C"/>
    <w:rsid w:val="002425DE"/>
    <w:rsid w:val="002457B6"/>
    <w:rsid w:val="0025324D"/>
    <w:rsid w:val="002715D4"/>
    <w:rsid w:val="002760E8"/>
    <w:rsid w:val="002763C1"/>
    <w:rsid w:val="00283DAC"/>
    <w:rsid w:val="00291740"/>
    <w:rsid w:val="002B3BA6"/>
    <w:rsid w:val="002C088A"/>
    <w:rsid w:val="002C1466"/>
    <w:rsid w:val="002C5631"/>
    <w:rsid w:val="002C700F"/>
    <w:rsid w:val="002C73F8"/>
    <w:rsid w:val="002D6945"/>
    <w:rsid w:val="002F2EA4"/>
    <w:rsid w:val="002F7CEE"/>
    <w:rsid w:val="00303067"/>
    <w:rsid w:val="00303C7F"/>
    <w:rsid w:val="003046E3"/>
    <w:rsid w:val="00322D29"/>
    <w:rsid w:val="00330A35"/>
    <w:rsid w:val="00345F71"/>
    <w:rsid w:val="003465B8"/>
    <w:rsid w:val="00350D01"/>
    <w:rsid w:val="00355B1B"/>
    <w:rsid w:val="00361B3C"/>
    <w:rsid w:val="003654F4"/>
    <w:rsid w:val="0037183D"/>
    <w:rsid w:val="00376F54"/>
    <w:rsid w:val="00383EF2"/>
    <w:rsid w:val="0038502C"/>
    <w:rsid w:val="003905F3"/>
    <w:rsid w:val="003B069F"/>
    <w:rsid w:val="003D01B5"/>
    <w:rsid w:val="003D27D5"/>
    <w:rsid w:val="003E393B"/>
    <w:rsid w:val="003E423F"/>
    <w:rsid w:val="003F52C7"/>
    <w:rsid w:val="00404259"/>
    <w:rsid w:val="004103A7"/>
    <w:rsid w:val="00415A57"/>
    <w:rsid w:val="00427FFC"/>
    <w:rsid w:val="00432827"/>
    <w:rsid w:val="00451AD4"/>
    <w:rsid w:val="004539D6"/>
    <w:rsid w:val="00453B5B"/>
    <w:rsid w:val="00455C4A"/>
    <w:rsid w:val="00461E32"/>
    <w:rsid w:val="004638C2"/>
    <w:rsid w:val="00470ED2"/>
    <w:rsid w:val="00471983"/>
    <w:rsid w:val="004719CE"/>
    <w:rsid w:val="00473C6C"/>
    <w:rsid w:val="004849DA"/>
    <w:rsid w:val="00486030"/>
    <w:rsid w:val="004A0457"/>
    <w:rsid w:val="004A381F"/>
    <w:rsid w:val="004B021E"/>
    <w:rsid w:val="004B032A"/>
    <w:rsid w:val="004B1BF7"/>
    <w:rsid w:val="004B71E9"/>
    <w:rsid w:val="004C1E52"/>
    <w:rsid w:val="004D1D4E"/>
    <w:rsid w:val="004D41B5"/>
    <w:rsid w:val="004D4BF4"/>
    <w:rsid w:val="004F10F4"/>
    <w:rsid w:val="004F7EF8"/>
    <w:rsid w:val="00502682"/>
    <w:rsid w:val="00505547"/>
    <w:rsid w:val="0051527E"/>
    <w:rsid w:val="00516D49"/>
    <w:rsid w:val="00532D2D"/>
    <w:rsid w:val="00560A83"/>
    <w:rsid w:val="00566D7E"/>
    <w:rsid w:val="005778C3"/>
    <w:rsid w:val="005815BE"/>
    <w:rsid w:val="00587C32"/>
    <w:rsid w:val="005A5037"/>
    <w:rsid w:val="005B2A45"/>
    <w:rsid w:val="005C0B22"/>
    <w:rsid w:val="005C357E"/>
    <w:rsid w:val="005C5F00"/>
    <w:rsid w:val="005C74AA"/>
    <w:rsid w:val="005D171C"/>
    <w:rsid w:val="005D228C"/>
    <w:rsid w:val="005D3E4B"/>
    <w:rsid w:val="005E1CC1"/>
    <w:rsid w:val="005F3798"/>
    <w:rsid w:val="005F5F4A"/>
    <w:rsid w:val="00606E78"/>
    <w:rsid w:val="00613612"/>
    <w:rsid w:val="00623D98"/>
    <w:rsid w:val="006259AE"/>
    <w:rsid w:val="00626F01"/>
    <w:rsid w:val="0064516F"/>
    <w:rsid w:val="006702F9"/>
    <w:rsid w:val="00683AE4"/>
    <w:rsid w:val="00685172"/>
    <w:rsid w:val="00692771"/>
    <w:rsid w:val="00697842"/>
    <w:rsid w:val="006A3C18"/>
    <w:rsid w:val="006A7474"/>
    <w:rsid w:val="006B1BD4"/>
    <w:rsid w:val="006B4423"/>
    <w:rsid w:val="006C631F"/>
    <w:rsid w:val="006E03F2"/>
    <w:rsid w:val="006E33C1"/>
    <w:rsid w:val="006F1C8A"/>
    <w:rsid w:val="00717E8F"/>
    <w:rsid w:val="00721FC3"/>
    <w:rsid w:val="00722550"/>
    <w:rsid w:val="00733AFD"/>
    <w:rsid w:val="00751057"/>
    <w:rsid w:val="00752E2B"/>
    <w:rsid w:val="00767FBD"/>
    <w:rsid w:val="00774DB4"/>
    <w:rsid w:val="00785D15"/>
    <w:rsid w:val="00786BAC"/>
    <w:rsid w:val="00787D1F"/>
    <w:rsid w:val="00792EDC"/>
    <w:rsid w:val="00793A0D"/>
    <w:rsid w:val="007954DD"/>
    <w:rsid w:val="007A19E1"/>
    <w:rsid w:val="007A425D"/>
    <w:rsid w:val="007B482A"/>
    <w:rsid w:val="007B5700"/>
    <w:rsid w:val="007C1999"/>
    <w:rsid w:val="007C199C"/>
    <w:rsid w:val="007C49CD"/>
    <w:rsid w:val="007C7CA6"/>
    <w:rsid w:val="007D38C6"/>
    <w:rsid w:val="007D5007"/>
    <w:rsid w:val="007E096B"/>
    <w:rsid w:val="007F64A4"/>
    <w:rsid w:val="007F7F0E"/>
    <w:rsid w:val="00802A88"/>
    <w:rsid w:val="00811388"/>
    <w:rsid w:val="0083565D"/>
    <w:rsid w:val="0084113E"/>
    <w:rsid w:val="008427C0"/>
    <w:rsid w:val="00843BDC"/>
    <w:rsid w:val="008616F5"/>
    <w:rsid w:val="00871BE1"/>
    <w:rsid w:val="0087239F"/>
    <w:rsid w:val="0087601C"/>
    <w:rsid w:val="00891D11"/>
    <w:rsid w:val="00895BBC"/>
    <w:rsid w:val="00897C0A"/>
    <w:rsid w:val="008A047C"/>
    <w:rsid w:val="008A1862"/>
    <w:rsid w:val="008A65DB"/>
    <w:rsid w:val="008B2460"/>
    <w:rsid w:val="008B5BA5"/>
    <w:rsid w:val="008B6AEC"/>
    <w:rsid w:val="008C1C49"/>
    <w:rsid w:val="008C5B7B"/>
    <w:rsid w:val="008C644B"/>
    <w:rsid w:val="008D3088"/>
    <w:rsid w:val="008F4D49"/>
    <w:rsid w:val="00900715"/>
    <w:rsid w:val="00900A65"/>
    <w:rsid w:val="009016FB"/>
    <w:rsid w:val="00914102"/>
    <w:rsid w:val="00917595"/>
    <w:rsid w:val="00924ED4"/>
    <w:rsid w:val="00930265"/>
    <w:rsid w:val="00934662"/>
    <w:rsid w:val="00936005"/>
    <w:rsid w:val="0098188A"/>
    <w:rsid w:val="009863FA"/>
    <w:rsid w:val="00993012"/>
    <w:rsid w:val="00995265"/>
    <w:rsid w:val="00995AEA"/>
    <w:rsid w:val="009A34F8"/>
    <w:rsid w:val="009A45E3"/>
    <w:rsid w:val="009A641E"/>
    <w:rsid w:val="009A72B0"/>
    <w:rsid w:val="009B037A"/>
    <w:rsid w:val="009B163B"/>
    <w:rsid w:val="009B37F8"/>
    <w:rsid w:val="009C2AD5"/>
    <w:rsid w:val="009D64E8"/>
    <w:rsid w:val="009E250B"/>
    <w:rsid w:val="009E4FC3"/>
    <w:rsid w:val="009F012A"/>
    <w:rsid w:val="009F4FB6"/>
    <w:rsid w:val="00A018BC"/>
    <w:rsid w:val="00A01BBC"/>
    <w:rsid w:val="00A10EB8"/>
    <w:rsid w:val="00A14B1E"/>
    <w:rsid w:val="00A15D24"/>
    <w:rsid w:val="00A20FF9"/>
    <w:rsid w:val="00A24152"/>
    <w:rsid w:val="00A56E45"/>
    <w:rsid w:val="00A673EF"/>
    <w:rsid w:val="00A72C9D"/>
    <w:rsid w:val="00A73313"/>
    <w:rsid w:val="00A737DE"/>
    <w:rsid w:val="00A81E19"/>
    <w:rsid w:val="00A843B1"/>
    <w:rsid w:val="00A86200"/>
    <w:rsid w:val="00A91BF0"/>
    <w:rsid w:val="00A96002"/>
    <w:rsid w:val="00AA19C8"/>
    <w:rsid w:val="00AA67EE"/>
    <w:rsid w:val="00AB3E04"/>
    <w:rsid w:val="00AC3328"/>
    <w:rsid w:val="00AC78CE"/>
    <w:rsid w:val="00AD002F"/>
    <w:rsid w:val="00AD1AFF"/>
    <w:rsid w:val="00AD240A"/>
    <w:rsid w:val="00AD5C8F"/>
    <w:rsid w:val="00AE1E44"/>
    <w:rsid w:val="00AE48F0"/>
    <w:rsid w:val="00AF5940"/>
    <w:rsid w:val="00B02C62"/>
    <w:rsid w:val="00B14575"/>
    <w:rsid w:val="00B16592"/>
    <w:rsid w:val="00B31325"/>
    <w:rsid w:val="00B33E0E"/>
    <w:rsid w:val="00B3640B"/>
    <w:rsid w:val="00B458AC"/>
    <w:rsid w:val="00B45CC4"/>
    <w:rsid w:val="00B4600B"/>
    <w:rsid w:val="00B47150"/>
    <w:rsid w:val="00B67279"/>
    <w:rsid w:val="00B71770"/>
    <w:rsid w:val="00B7440A"/>
    <w:rsid w:val="00B752E8"/>
    <w:rsid w:val="00B829E0"/>
    <w:rsid w:val="00BA372D"/>
    <w:rsid w:val="00BB3DC2"/>
    <w:rsid w:val="00BB5859"/>
    <w:rsid w:val="00BB73FB"/>
    <w:rsid w:val="00BB7607"/>
    <w:rsid w:val="00BB7952"/>
    <w:rsid w:val="00BC7860"/>
    <w:rsid w:val="00BD178A"/>
    <w:rsid w:val="00BF6AE2"/>
    <w:rsid w:val="00C03A83"/>
    <w:rsid w:val="00C11214"/>
    <w:rsid w:val="00C1740B"/>
    <w:rsid w:val="00C27A31"/>
    <w:rsid w:val="00C3335B"/>
    <w:rsid w:val="00C34551"/>
    <w:rsid w:val="00C438A3"/>
    <w:rsid w:val="00C53EB8"/>
    <w:rsid w:val="00C7254F"/>
    <w:rsid w:val="00C77548"/>
    <w:rsid w:val="00C828E7"/>
    <w:rsid w:val="00C84A7B"/>
    <w:rsid w:val="00C90852"/>
    <w:rsid w:val="00C95884"/>
    <w:rsid w:val="00C96D89"/>
    <w:rsid w:val="00CB2973"/>
    <w:rsid w:val="00CC640B"/>
    <w:rsid w:val="00CC6FE2"/>
    <w:rsid w:val="00CD113C"/>
    <w:rsid w:val="00CD14CA"/>
    <w:rsid w:val="00CE5040"/>
    <w:rsid w:val="00CF567B"/>
    <w:rsid w:val="00D12521"/>
    <w:rsid w:val="00D16DA3"/>
    <w:rsid w:val="00D23708"/>
    <w:rsid w:val="00D31D90"/>
    <w:rsid w:val="00D523CF"/>
    <w:rsid w:val="00D548BC"/>
    <w:rsid w:val="00D54D28"/>
    <w:rsid w:val="00D56306"/>
    <w:rsid w:val="00D5687C"/>
    <w:rsid w:val="00D74B52"/>
    <w:rsid w:val="00D846BB"/>
    <w:rsid w:val="00D87A86"/>
    <w:rsid w:val="00D9496B"/>
    <w:rsid w:val="00DA4E4B"/>
    <w:rsid w:val="00DA52C8"/>
    <w:rsid w:val="00DB0C34"/>
    <w:rsid w:val="00DB4037"/>
    <w:rsid w:val="00DC0AB8"/>
    <w:rsid w:val="00DC375F"/>
    <w:rsid w:val="00DC4733"/>
    <w:rsid w:val="00DC7BF1"/>
    <w:rsid w:val="00DD1A9E"/>
    <w:rsid w:val="00DE244B"/>
    <w:rsid w:val="00DE5F80"/>
    <w:rsid w:val="00DE76C5"/>
    <w:rsid w:val="00E04AF2"/>
    <w:rsid w:val="00E07DBA"/>
    <w:rsid w:val="00E16D82"/>
    <w:rsid w:val="00E26C4B"/>
    <w:rsid w:val="00E30DB7"/>
    <w:rsid w:val="00E30E4A"/>
    <w:rsid w:val="00E56B79"/>
    <w:rsid w:val="00E60D27"/>
    <w:rsid w:val="00E74B31"/>
    <w:rsid w:val="00E83EC9"/>
    <w:rsid w:val="00E84665"/>
    <w:rsid w:val="00E91016"/>
    <w:rsid w:val="00E9170D"/>
    <w:rsid w:val="00E941B2"/>
    <w:rsid w:val="00EA6FA1"/>
    <w:rsid w:val="00EB29B2"/>
    <w:rsid w:val="00EC2C95"/>
    <w:rsid w:val="00ED4B7A"/>
    <w:rsid w:val="00ED5421"/>
    <w:rsid w:val="00ED5B01"/>
    <w:rsid w:val="00EE5CE0"/>
    <w:rsid w:val="00EE75F3"/>
    <w:rsid w:val="00EF11A9"/>
    <w:rsid w:val="00F127BC"/>
    <w:rsid w:val="00F13618"/>
    <w:rsid w:val="00F32B42"/>
    <w:rsid w:val="00F34209"/>
    <w:rsid w:val="00F435C8"/>
    <w:rsid w:val="00F53129"/>
    <w:rsid w:val="00F54C4D"/>
    <w:rsid w:val="00F629AF"/>
    <w:rsid w:val="00F8146C"/>
    <w:rsid w:val="00F82328"/>
    <w:rsid w:val="00F85A0D"/>
    <w:rsid w:val="00F919CF"/>
    <w:rsid w:val="00FA0FAE"/>
    <w:rsid w:val="00FA22E2"/>
    <w:rsid w:val="00FA7BBD"/>
    <w:rsid w:val="00FB0C4A"/>
    <w:rsid w:val="00FB3975"/>
    <w:rsid w:val="00FC1A85"/>
    <w:rsid w:val="00FD550A"/>
    <w:rsid w:val="00FF5D91"/>
    <w:rsid w:val="00FF7C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C189A30-FC87-4F35-BB11-46344A9572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C9085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0852"/>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unhideWhenUsed/>
    <w:rsid w:val="00FC1A85"/>
    <w:rPr>
      <w:color w:val="0563C1" w:themeColor="hyperlink"/>
      <w:u w:val="single"/>
    </w:rPr>
  </w:style>
  <w:style w:type="paragraph" w:styleId="Header">
    <w:name w:val="header"/>
    <w:basedOn w:val="Normal"/>
    <w:link w:val="HeaderChar"/>
    <w:uiPriority w:val="99"/>
    <w:unhideWhenUsed/>
    <w:rsid w:val="00BB73FB"/>
    <w:pPr>
      <w:tabs>
        <w:tab w:val="center" w:pos="4680"/>
        <w:tab w:val="right" w:pos="9360"/>
      </w:tabs>
      <w:spacing w:after="0" w:line="240" w:lineRule="auto"/>
    </w:pPr>
  </w:style>
  <w:style w:type="character" w:customStyle="1" w:styleId="HeaderChar">
    <w:name w:val="Header Char"/>
    <w:basedOn w:val="DefaultParagraphFont"/>
    <w:link w:val="Header"/>
    <w:uiPriority w:val="99"/>
    <w:rsid w:val="00BB73FB"/>
  </w:style>
  <w:style w:type="paragraph" w:styleId="Footer">
    <w:name w:val="footer"/>
    <w:basedOn w:val="Normal"/>
    <w:link w:val="FooterChar"/>
    <w:uiPriority w:val="99"/>
    <w:unhideWhenUsed/>
    <w:rsid w:val="00BB73FB"/>
    <w:pPr>
      <w:tabs>
        <w:tab w:val="center" w:pos="4680"/>
        <w:tab w:val="right" w:pos="9360"/>
      </w:tabs>
      <w:spacing w:after="0" w:line="240" w:lineRule="auto"/>
    </w:pPr>
  </w:style>
  <w:style w:type="character" w:customStyle="1" w:styleId="FooterChar">
    <w:name w:val="Footer Char"/>
    <w:basedOn w:val="DefaultParagraphFont"/>
    <w:link w:val="Footer"/>
    <w:uiPriority w:val="99"/>
    <w:rsid w:val="00BB73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69656">
      <w:bodyDiv w:val="1"/>
      <w:marLeft w:val="0"/>
      <w:marRight w:val="0"/>
      <w:marTop w:val="0"/>
      <w:marBottom w:val="0"/>
      <w:divBdr>
        <w:top w:val="none" w:sz="0" w:space="0" w:color="auto"/>
        <w:left w:val="none" w:sz="0" w:space="0" w:color="auto"/>
        <w:bottom w:val="none" w:sz="0" w:space="0" w:color="auto"/>
        <w:right w:val="none" w:sz="0" w:space="0" w:color="auto"/>
      </w:divBdr>
    </w:div>
    <w:div w:id="297145931">
      <w:bodyDiv w:val="1"/>
      <w:marLeft w:val="0"/>
      <w:marRight w:val="0"/>
      <w:marTop w:val="0"/>
      <w:marBottom w:val="0"/>
      <w:divBdr>
        <w:top w:val="none" w:sz="0" w:space="0" w:color="auto"/>
        <w:left w:val="none" w:sz="0" w:space="0" w:color="auto"/>
        <w:bottom w:val="none" w:sz="0" w:space="0" w:color="auto"/>
        <w:right w:val="none" w:sz="0" w:space="0" w:color="auto"/>
      </w:divBdr>
    </w:div>
    <w:div w:id="1018316166">
      <w:bodyDiv w:val="1"/>
      <w:marLeft w:val="0"/>
      <w:marRight w:val="0"/>
      <w:marTop w:val="0"/>
      <w:marBottom w:val="0"/>
      <w:divBdr>
        <w:top w:val="none" w:sz="0" w:space="0" w:color="auto"/>
        <w:left w:val="none" w:sz="0" w:space="0" w:color="auto"/>
        <w:bottom w:val="none" w:sz="0" w:space="0" w:color="auto"/>
        <w:right w:val="none" w:sz="0" w:space="0" w:color="auto"/>
      </w:divBdr>
    </w:div>
    <w:div w:id="1123303212">
      <w:bodyDiv w:val="1"/>
      <w:marLeft w:val="0"/>
      <w:marRight w:val="0"/>
      <w:marTop w:val="0"/>
      <w:marBottom w:val="0"/>
      <w:divBdr>
        <w:top w:val="none" w:sz="0" w:space="0" w:color="auto"/>
        <w:left w:val="none" w:sz="0" w:space="0" w:color="auto"/>
        <w:bottom w:val="none" w:sz="0" w:space="0" w:color="auto"/>
        <w:right w:val="none" w:sz="0" w:space="0" w:color="auto"/>
      </w:divBdr>
    </w:div>
    <w:div w:id="1440874826">
      <w:bodyDiv w:val="1"/>
      <w:marLeft w:val="0"/>
      <w:marRight w:val="0"/>
      <w:marTop w:val="0"/>
      <w:marBottom w:val="0"/>
      <w:divBdr>
        <w:top w:val="none" w:sz="0" w:space="0" w:color="auto"/>
        <w:left w:val="none" w:sz="0" w:space="0" w:color="auto"/>
        <w:bottom w:val="none" w:sz="0" w:space="0" w:color="auto"/>
        <w:right w:val="none" w:sz="0" w:space="0" w:color="auto"/>
      </w:divBdr>
    </w:div>
    <w:div w:id="1563710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logs.getty.edu/iris/commemorating-the-dead-in-greek-geometric-art/" TargetMode="External"/><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yperlink" Target="https://www.latsis-foundation.org/content/elib/book_2/kerameikos_en.pdf"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www.latsisfoundation.org/content/elib/book_17/thiba_en.pdf" TargetMode="External"/><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s://www.metmuseum.org/toah/hd/dbag/hd_dbag.htm"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1052</TotalTime>
  <Pages>11</Pages>
  <Words>2553</Words>
  <Characters>14553</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411</cp:revision>
  <dcterms:created xsi:type="dcterms:W3CDTF">2021-10-06T10:58:00Z</dcterms:created>
  <dcterms:modified xsi:type="dcterms:W3CDTF">2021-10-08T13:09:00Z</dcterms:modified>
</cp:coreProperties>
</file>