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76DC18" w14:textId="77777777" w:rsidR="00DA527D" w:rsidRPr="004063C5" w:rsidRDefault="00DA527D" w:rsidP="00DA527D">
      <w:pPr>
        <w:spacing w:after="0" w:line="480" w:lineRule="auto"/>
        <w:jc w:val="center"/>
        <w:rPr>
          <w:rFonts w:ascii="Times New Roman" w:hAnsi="Times New Roman" w:cs="Times New Roman"/>
          <w:sz w:val="24"/>
          <w:szCs w:val="24"/>
          <w:lang w:val="en-GB"/>
        </w:rPr>
      </w:pPr>
    </w:p>
    <w:p w14:paraId="5D89DCD3" w14:textId="77777777" w:rsidR="00DA527D" w:rsidRPr="004063C5" w:rsidRDefault="00DA527D" w:rsidP="00DA527D">
      <w:pPr>
        <w:spacing w:after="0" w:line="480" w:lineRule="auto"/>
        <w:jc w:val="center"/>
        <w:rPr>
          <w:rFonts w:ascii="Times New Roman" w:hAnsi="Times New Roman" w:cs="Times New Roman"/>
          <w:sz w:val="24"/>
          <w:szCs w:val="24"/>
          <w:lang w:val="en-GB"/>
        </w:rPr>
      </w:pPr>
    </w:p>
    <w:p w14:paraId="74B4D9EB" w14:textId="77777777" w:rsidR="00DA527D" w:rsidRPr="004063C5" w:rsidRDefault="00DA527D" w:rsidP="00DA527D">
      <w:pPr>
        <w:spacing w:after="0" w:line="480" w:lineRule="auto"/>
        <w:jc w:val="center"/>
        <w:rPr>
          <w:rFonts w:ascii="Times New Roman" w:hAnsi="Times New Roman" w:cs="Times New Roman"/>
          <w:sz w:val="24"/>
          <w:szCs w:val="24"/>
          <w:lang w:val="en-GB"/>
        </w:rPr>
      </w:pPr>
    </w:p>
    <w:p w14:paraId="3206E983" w14:textId="77777777" w:rsidR="00DA527D" w:rsidRPr="004063C5" w:rsidRDefault="00DA527D" w:rsidP="00DA527D">
      <w:pPr>
        <w:spacing w:after="0" w:line="480" w:lineRule="auto"/>
        <w:jc w:val="center"/>
        <w:rPr>
          <w:rFonts w:ascii="Times New Roman" w:hAnsi="Times New Roman" w:cs="Times New Roman"/>
          <w:sz w:val="24"/>
          <w:szCs w:val="24"/>
          <w:lang w:val="en-GB"/>
        </w:rPr>
      </w:pPr>
    </w:p>
    <w:p w14:paraId="7DC0EE9C" w14:textId="77777777" w:rsidR="00DA527D" w:rsidRPr="004063C5" w:rsidRDefault="00DA527D" w:rsidP="00DA527D">
      <w:pPr>
        <w:spacing w:after="0" w:line="480" w:lineRule="auto"/>
        <w:jc w:val="center"/>
        <w:rPr>
          <w:rFonts w:ascii="Times New Roman" w:hAnsi="Times New Roman" w:cs="Times New Roman"/>
          <w:sz w:val="24"/>
          <w:szCs w:val="24"/>
          <w:lang w:val="en-GB"/>
        </w:rPr>
      </w:pPr>
    </w:p>
    <w:p w14:paraId="1846EA32" w14:textId="77777777" w:rsidR="00DA527D" w:rsidRPr="004063C5" w:rsidRDefault="00DA527D" w:rsidP="00DA527D">
      <w:pPr>
        <w:spacing w:after="0" w:line="480" w:lineRule="auto"/>
        <w:jc w:val="center"/>
        <w:rPr>
          <w:rFonts w:ascii="Times New Roman" w:hAnsi="Times New Roman" w:cs="Times New Roman"/>
          <w:sz w:val="24"/>
          <w:szCs w:val="24"/>
          <w:lang w:val="en-GB"/>
        </w:rPr>
      </w:pPr>
    </w:p>
    <w:p w14:paraId="7386D159" w14:textId="77777777" w:rsidR="00DA527D" w:rsidRPr="004063C5" w:rsidRDefault="00DA527D" w:rsidP="00DA527D">
      <w:pPr>
        <w:spacing w:after="0" w:line="480" w:lineRule="auto"/>
        <w:jc w:val="center"/>
        <w:rPr>
          <w:rFonts w:ascii="Times New Roman" w:hAnsi="Times New Roman" w:cs="Times New Roman"/>
          <w:sz w:val="24"/>
          <w:szCs w:val="24"/>
          <w:lang w:val="en-GB"/>
        </w:rPr>
      </w:pPr>
    </w:p>
    <w:p w14:paraId="069847CC" w14:textId="77777777" w:rsidR="00DA527D" w:rsidRPr="004063C5" w:rsidRDefault="00DA527D" w:rsidP="00DA527D">
      <w:pPr>
        <w:spacing w:after="0" w:line="480" w:lineRule="auto"/>
        <w:jc w:val="center"/>
        <w:rPr>
          <w:rFonts w:ascii="Times New Roman" w:hAnsi="Times New Roman" w:cs="Times New Roman"/>
          <w:sz w:val="24"/>
          <w:szCs w:val="24"/>
          <w:lang w:val="en-GB"/>
        </w:rPr>
      </w:pPr>
    </w:p>
    <w:p w14:paraId="7BFC9AAA" w14:textId="77777777" w:rsidR="00DA527D" w:rsidRPr="004063C5" w:rsidRDefault="00DA527D" w:rsidP="00DA527D">
      <w:pPr>
        <w:spacing w:after="0" w:line="480" w:lineRule="auto"/>
        <w:jc w:val="center"/>
        <w:rPr>
          <w:rFonts w:ascii="Times New Roman" w:hAnsi="Times New Roman" w:cs="Times New Roman"/>
          <w:sz w:val="24"/>
          <w:szCs w:val="24"/>
          <w:lang w:val="en-GB"/>
        </w:rPr>
      </w:pPr>
    </w:p>
    <w:p w14:paraId="6C1CE30B" w14:textId="77777777" w:rsidR="00DA527D" w:rsidRPr="004063C5" w:rsidRDefault="00DA527D" w:rsidP="00DA527D">
      <w:pPr>
        <w:spacing w:after="0" w:line="480" w:lineRule="auto"/>
        <w:jc w:val="center"/>
        <w:rPr>
          <w:rFonts w:ascii="Times New Roman" w:hAnsi="Times New Roman" w:cs="Times New Roman"/>
          <w:sz w:val="24"/>
          <w:szCs w:val="24"/>
          <w:lang w:val="en-GB"/>
        </w:rPr>
      </w:pPr>
    </w:p>
    <w:p w14:paraId="5D197ABE" w14:textId="24C67255" w:rsidR="00175004" w:rsidRPr="004063C5" w:rsidRDefault="00175004" w:rsidP="00DA527D">
      <w:pPr>
        <w:spacing w:after="0" w:line="480" w:lineRule="auto"/>
        <w:jc w:val="center"/>
        <w:rPr>
          <w:rFonts w:ascii="Times New Roman" w:hAnsi="Times New Roman" w:cs="Times New Roman"/>
          <w:sz w:val="24"/>
          <w:szCs w:val="24"/>
          <w:lang w:val="en-GB"/>
        </w:rPr>
      </w:pPr>
      <w:r w:rsidRPr="004063C5">
        <w:rPr>
          <w:rFonts w:ascii="Times New Roman" w:hAnsi="Times New Roman" w:cs="Times New Roman"/>
          <w:sz w:val="24"/>
          <w:szCs w:val="24"/>
          <w:lang w:val="en-GB"/>
        </w:rPr>
        <w:t>Risk Management Using Derivative Instruments</w:t>
      </w:r>
    </w:p>
    <w:p w14:paraId="0E40AC7B" w14:textId="18253334" w:rsidR="00175004" w:rsidRPr="004063C5" w:rsidRDefault="00175004" w:rsidP="00DA527D">
      <w:pPr>
        <w:spacing w:after="0" w:line="480" w:lineRule="auto"/>
        <w:jc w:val="center"/>
        <w:rPr>
          <w:rFonts w:ascii="Times New Roman" w:hAnsi="Times New Roman" w:cs="Times New Roman"/>
          <w:sz w:val="24"/>
          <w:szCs w:val="24"/>
          <w:lang w:val="en-GB"/>
        </w:rPr>
      </w:pPr>
      <w:r w:rsidRPr="004063C5">
        <w:rPr>
          <w:rFonts w:ascii="Times New Roman" w:hAnsi="Times New Roman" w:cs="Times New Roman"/>
          <w:sz w:val="24"/>
          <w:szCs w:val="24"/>
          <w:lang w:val="en-GB"/>
        </w:rPr>
        <w:t>Student Name</w:t>
      </w:r>
    </w:p>
    <w:p w14:paraId="662A0451" w14:textId="2E46E7E3" w:rsidR="00175004" w:rsidRPr="004063C5" w:rsidRDefault="00175004" w:rsidP="00DA527D">
      <w:pPr>
        <w:spacing w:after="0" w:line="480" w:lineRule="auto"/>
        <w:jc w:val="center"/>
        <w:rPr>
          <w:rFonts w:ascii="Times New Roman" w:hAnsi="Times New Roman" w:cs="Times New Roman"/>
          <w:sz w:val="24"/>
          <w:szCs w:val="24"/>
          <w:lang w:val="en-GB"/>
        </w:rPr>
      </w:pPr>
      <w:r w:rsidRPr="004063C5">
        <w:rPr>
          <w:rFonts w:ascii="Times New Roman" w:hAnsi="Times New Roman" w:cs="Times New Roman"/>
          <w:sz w:val="24"/>
          <w:szCs w:val="24"/>
          <w:lang w:val="en-GB"/>
        </w:rPr>
        <w:t>Name of Institution</w:t>
      </w:r>
    </w:p>
    <w:p w14:paraId="5328BE4D" w14:textId="77777777" w:rsidR="00175004" w:rsidRPr="004063C5" w:rsidRDefault="00175004" w:rsidP="00DA527D">
      <w:pPr>
        <w:spacing w:after="0" w:line="480" w:lineRule="auto"/>
        <w:rPr>
          <w:rFonts w:ascii="Times New Roman" w:hAnsi="Times New Roman" w:cs="Times New Roman"/>
          <w:sz w:val="24"/>
          <w:szCs w:val="24"/>
          <w:lang w:val="en-GB"/>
        </w:rPr>
      </w:pPr>
      <w:r w:rsidRPr="004063C5">
        <w:rPr>
          <w:rFonts w:ascii="Times New Roman" w:hAnsi="Times New Roman" w:cs="Times New Roman"/>
          <w:sz w:val="24"/>
          <w:szCs w:val="24"/>
          <w:lang w:val="en-GB"/>
        </w:rPr>
        <w:br w:type="page"/>
      </w:r>
    </w:p>
    <w:p w14:paraId="6809D42B" w14:textId="5883CBA8" w:rsidR="00CB65F7" w:rsidRPr="004063C5" w:rsidRDefault="00C80F79" w:rsidP="00DA527D">
      <w:pPr>
        <w:spacing w:after="0" w:line="480" w:lineRule="auto"/>
        <w:jc w:val="center"/>
        <w:rPr>
          <w:rFonts w:ascii="Times New Roman" w:hAnsi="Times New Roman" w:cs="Times New Roman"/>
          <w:sz w:val="24"/>
          <w:szCs w:val="24"/>
          <w:lang w:val="en-GB"/>
        </w:rPr>
      </w:pPr>
      <w:r w:rsidRPr="004063C5">
        <w:rPr>
          <w:rFonts w:ascii="Times New Roman" w:hAnsi="Times New Roman" w:cs="Times New Roman"/>
          <w:sz w:val="24"/>
          <w:szCs w:val="24"/>
          <w:lang w:val="en-GB"/>
        </w:rPr>
        <w:lastRenderedPageBreak/>
        <w:t xml:space="preserve">Risk Management Using </w:t>
      </w:r>
      <w:r w:rsidR="008A380E" w:rsidRPr="004063C5">
        <w:rPr>
          <w:rFonts w:ascii="Times New Roman" w:hAnsi="Times New Roman" w:cs="Times New Roman"/>
          <w:sz w:val="24"/>
          <w:szCs w:val="24"/>
          <w:lang w:val="en-GB"/>
        </w:rPr>
        <w:t>Derivative Instruments</w:t>
      </w:r>
    </w:p>
    <w:p w14:paraId="695B1631" w14:textId="0A2C2D90" w:rsidR="00CB65F7" w:rsidRPr="004063C5" w:rsidRDefault="00CB65F7" w:rsidP="00DA527D">
      <w:pPr>
        <w:spacing w:after="0" w:line="480" w:lineRule="auto"/>
        <w:rPr>
          <w:rFonts w:ascii="Times New Roman" w:hAnsi="Times New Roman" w:cs="Times New Roman"/>
          <w:b/>
          <w:bCs/>
          <w:sz w:val="24"/>
          <w:szCs w:val="24"/>
          <w:lang w:val="en-GB"/>
        </w:rPr>
      </w:pPr>
      <w:r w:rsidRPr="004063C5">
        <w:rPr>
          <w:rFonts w:ascii="Times New Roman" w:hAnsi="Times New Roman" w:cs="Times New Roman"/>
          <w:b/>
          <w:bCs/>
          <w:sz w:val="24"/>
          <w:szCs w:val="24"/>
          <w:lang w:val="en-GB"/>
        </w:rPr>
        <w:t>Overview of Derivatives Markets and Tool</w:t>
      </w:r>
      <w:r w:rsidR="00BC2B3F" w:rsidRPr="004063C5">
        <w:rPr>
          <w:rFonts w:ascii="Times New Roman" w:hAnsi="Times New Roman" w:cs="Times New Roman"/>
          <w:b/>
          <w:bCs/>
          <w:sz w:val="24"/>
          <w:szCs w:val="24"/>
          <w:lang w:val="en-GB"/>
        </w:rPr>
        <w:t>s</w:t>
      </w:r>
    </w:p>
    <w:p w14:paraId="62921624" w14:textId="3C8CD179" w:rsidR="00DE3E66" w:rsidRPr="004063C5" w:rsidRDefault="00ED2CE6" w:rsidP="00DA527D">
      <w:pPr>
        <w:spacing w:after="0" w:line="480" w:lineRule="auto"/>
        <w:ind w:firstLine="720"/>
        <w:rPr>
          <w:rFonts w:ascii="Times New Roman" w:hAnsi="Times New Roman" w:cs="Times New Roman"/>
          <w:sz w:val="24"/>
          <w:szCs w:val="24"/>
          <w:lang w:val="en-GB"/>
        </w:rPr>
      </w:pPr>
      <w:r w:rsidRPr="004063C5">
        <w:rPr>
          <w:rFonts w:ascii="Times New Roman" w:hAnsi="Times New Roman" w:cs="Times New Roman"/>
          <w:sz w:val="24"/>
          <w:szCs w:val="24"/>
          <w:lang w:val="en-GB"/>
        </w:rPr>
        <w:t xml:space="preserve">Derivatives are financial instruments that derive their value from the </w:t>
      </w:r>
      <w:r w:rsidR="006E0C5D" w:rsidRPr="004063C5">
        <w:rPr>
          <w:rFonts w:ascii="Times New Roman" w:hAnsi="Times New Roman" w:cs="Times New Roman"/>
          <w:sz w:val="24"/>
          <w:szCs w:val="24"/>
          <w:lang w:val="en-GB"/>
        </w:rPr>
        <w:t>price of the underlying assets (Hull, 2018)</w:t>
      </w:r>
      <w:r w:rsidRPr="004063C5">
        <w:rPr>
          <w:rFonts w:ascii="Times New Roman" w:hAnsi="Times New Roman" w:cs="Times New Roman"/>
          <w:sz w:val="24"/>
          <w:szCs w:val="24"/>
          <w:lang w:val="en-GB"/>
        </w:rPr>
        <w:t xml:space="preserve">. </w:t>
      </w:r>
      <w:r w:rsidR="00511D4F" w:rsidRPr="004063C5">
        <w:rPr>
          <w:rFonts w:ascii="Times New Roman" w:hAnsi="Times New Roman" w:cs="Times New Roman"/>
          <w:sz w:val="24"/>
          <w:szCs w:val="24"/>
          <w:lang w:val="en-GB"/>
        </w:rPr>
        <w:t>The market for derivatives can be divided into organized exchanges and over-the-counter markets. Derivatives traded on o</w:t>
      </w:r>
      <w:r w:rsidR="006E0C5D" w:rsidRPr="004063C5">
        <w:rPr>
          <w:rFonts w:ascii="Times New Roman" w:hAnsi="Times New Roman" w:cs="Times New Roman"/>
          <w:sz w:val="24"/>
          <w:szCs w:val="24"/>
          <w:lang w:val="en-GB"/>
        </w:rPr>
        <w:t>rganized exchanges</w:t>
      </w:r>
      <w:r w:rsidR="00511D4F" w:rsidRPr="004063C5">
        <w:rPr>
          <w:rFonts w:ascii="Times New Roman" w:hAnsi="Times New Roman" w:cs="Times New Roman"/>
          <w:sz w:val="24"/>
          <w:szCs w:val="24"/>
          <w:lang w:val="en-GB"/>
        </w:rPr>
        <w:t xml:space="preserve"> – which include both open outcry systems and electronic trading although the latter is quickly replacing the former – are standardized with specified delivery and settlement terms. Over-the-counter (OTC) markets differ from organized exchanges in the customization of derivative instruments. Derivatives traded in OTC markets are customized to the entity’s risk management or risk-taking needs and have flexible settlement terms. </w:t>
      </w:r>
      <w:r w:rsidR="0091279A" w:rsidRPr="004063C5">
        <w:rPr>
          <w:rFonts w:ascii="Times New Roman" w:hAnsi="Times New Roman" w:cs="Times New Roman"/>
          <w:sz w:val="24"/>
          <w:szCs w:val="24"/>
          <w:lang w:val="en-GB"/>
        </w:rPr>
        <w:t xml:space="preserve">OTC trades are usually arranged between large fund managers, </w:t>
      </w:r>
      <w:r w:rsidR="00DE7949" w:rsidRPr="004063C5">
        <w:rPr>
          <w:rFonts w:ascii="Times New Roman" w:hAnsi="Times New Roman" w:cs="Times New Roman"/>
          <w:sz w:val="24"/>
          <w:szCs w:val="24"/>
          <w:lang w:val="en-GB"/>
        </w:rPr>
        <w:t>corporations, banks, or other financial institutions and can be cleared between the two parties to the trade or presented to a central counterparty, which takes the opposite position to both parties</w:t>
      </w:r>
      <w:r w:rsidR="00DE3E66" w:rsidRPr="004063C5">
        <w:rPr>
          <w:rFonts w:ascii="Times New Roman" w:hAnsi="Times New Roman" w:cs="Times New Roman"/>
          <w:sz w:val="24"/>
          <w:szCs w:val="24"/>
          <w:lang w:val="en-GB"/>
        </w:rPr>
        <w:t xml:space="preserve"> in the trade in exchange for a specified margin</w:t>
      </w:r>
      <w:r w:rsidR="00BC2B3F" w:rsidRPr="004063C5">
        <w:rPr>
          <w:rFonts w:ascii="Times New Roman" w:hAnsi="Times New Roman" w:cs="Times New Roman"/>
          <w:sz w:val="24"/>
          <w:szCs w:val="24"/>
          <w:lang w:val="en-GB"/>
        </w:rPr>
        <w:t xml:space="preserve"> (Hull, 2018)</w:t>
      </w:r>
      <w:r w:rsidR="00DE7949" w:rsidRPr="004063C5">
        <w:rPr>
          <w:rFonts w:ascii="Times New Roman" w:hAnsi="Times New Roman" w:cs="Times New Roman"/>
          <w:sz w:val="24"/>
          <w:szCs w:val="24"/>
          <w:lang w:val="en-GB"/>
        </w:rPr>
        <w:t>.</w:t>
      </w:r>
      <w:r w:rsidR="00DE3E66" w:rsidRPr="004063C5">
        <w:rPr>
          <w:rFonts w:ascii="Times New Roman" w:hAnsi="Times New Roman" w:cs="Times New Roman"/>
          <w:sz w:val="24"/>
          <w:szCs w:val="24"/>
          <w:lang w:val="en-GB"/>
        </w:rPr>
        <w:t xml:space="preserve"> OTC trades are preferable in most risk management scenarios as the entity can negotiate settlement terms that match its needs. For example, a company that expects to receive a foreign currency denominated payment in 25 days can hedge against its exposure to foreign exchange risk by taking a short position in a forward contract, which locks in the exchange rate at the current forward rate. </w:t>
      </w:r>
      <w:r w:rsidR="00DE7949" w:rsidRPr="004063C5">
        <w:rPr>
          <w:rFonts w:ascii="Times New Roman" w:hAnsi="Times New Roman" w:cs="Times New Roman"/>
          <w:sz w:val="24"/>
          <w:szCs w:val="24"/>
          <w:lang w:val="en-GB"/>
        </w:rPr>
        <w:t xml:space="preserve"> </w:t>
      </w:r>
    </w:p>
    <w:p w14:paraId="6AEEE8DC" w14:textId="5B87E4EC" w:rsidR="00CB65F7" w:rsidRPr="004063C5" w:rsidRDefault="00ED2CE6" w:rsidP="00DA527D">
      <w:pPr>
        <w:spacing w:after="0" w:line="480" w:lineRule="auto"/>
        <w:ind w:firstLine="720"/>
        <w:rPr>
          <w:rFonts w:ascii="Times New Roman" w:hAnsi="Times New Roman" w:cs="Times New Roman"/>
          <w:sz w:val="24"/>
          <w:szCs w:val="24"/>
          <w:lang w:val="en-GB"/>
        </w:rPr>
      </w:pPr>
      <w:r w:rsidRPr="004063C5">
        <w:rPr>
          <w:rFonts w:ascii="Times New Roman" w:hAnsi="Times New Roman" w:cs="Times New Roman"/>
          <w:sz w:val="24"/>
          <w:szCs w:val="24"/>
          <w:lang w:val="en-GB"/>
        </w:rPr>
        <w:t xml:space="preserve">Derivative tools can be </w:t>
      </w:r>
      <w:r w:rsidR="00207D3D" w:rsidRPr="004063C5">
        <w:rPr>
          <w:rFonts w:ascii="Times New Roman" w:hAnsi="Times New Roman" w:cs="Times New Roman"/>
          <w:sz w:val="24"/>
          <w:szCs w:val="24"/>
          <w:lang w:val="en-GB"/>
        </w:rPr>
        <w:t xml:space="preserve">divided into two categories – </w:t>
      </w:r>
      <w:r w:rsidRPr="004063C5">
        <w:rPr>
          <w:rFonts w:ascii="Times New Roman" w:hAnsi="Times New Roman" w:cs="Times New Roman"/>
          <w:sz w:val="24"/>
          <w:szCs w:val="24"/>
          <w:lang w:val="en-GB"/>
        </w:rPr>
        <w:t xml:space="preserve">forward commitments </w:t>
      </w:r>
      <w:r w:rsidR="00207D3D" w:rsidRPr="004063C5">
        <w:rPr>
          <w:rFonts w:ascii="Times New Roman" w:hAnsi="Times New Roman" w:cs="Times New Roman"/>
          <w:sz w:val="24"/>
          <w:szCs w:val="24"/>
          <w:lang w:val="en-GB"/>
        </w:rPr>
        <w:t>and</w:t>
      </w:r>
      <w:r w:rsidRPr="004063C5">
        <w:rPr>
          <w:rFonts w:ascii="Times New Roman" w:hAnsi="Times New Roman" w:cs="Times New Roman"/>
          <w:sz w:val="24"/>
          <w:szCs w:val="24"/>
          <w:lang w:val="en-GB"/>
        </w:rPr>
        <w:t xml:space="preserve"> contingent claims. </w:t>
      </w:r>
      <w:r w:rsidR="00207D3D" w:rsidRPr="004063C5">
        <w:rPr>
          <w:rFonts w:ascii="Times New Roman" w:hAnsi="Times New Roman" w:cs="Times New Roman"/>
          <w:sz w:val="24"/>
          <w:szCs w:val="24"/>
          <w:lang w:val="en-GB"/>
        </w:rPr>
        <w:t>Forward commitments refer to all instruments</w:t>
      </w:r>
      <w:r w:rsidRPr="004063C5">
        <w:rPr>
          <w:rFonts w:ascii="Times New Roman" w:hAnsi="Times New Roman" w:cs="Times New Roman"/>
          <w:sz w:val="24"/>
          <w:szCs w:val="24"/>
          <w:lang w:val="en-GB"/>
        </w:rPr>
        <w:t xml:space="preserve"> that create an obligation for the buyer/seller to purchase/sell the underlying asset</w:t>
      </w:r>
      <w:r w:rsidR="00207D3D" w:rsidRPr="004063C5">
        <w:rPr>
          <w:rFonts w:ascii="Times New Roman" w:hAnsi="Times New Roman" w:cs="Times New Roman"/>
          <w:sz w:val="24"/>
          <w:szCs w:val="24"/>
          <w:lang w:val="en-GB"/>
        </w:rPr>
        <w:t>. Plain futures</w:t>
      </w:r>
      <w:r w:rsidR="00424D17" w:rsidRPr="004063C5">
        <w:rPr>
          <w:rFonts w:ascii="Times New Roman" w:hAnsi="Times New Roman" w:cs="Times New Roman"/>
          <w:sz w:val="24"/>
          <w:szCs w:val="24"/>
          <w:lang w:val="en-GB"/>
        </w:rPr>
        <w:t>,</w:t>
      </w:r>
      <w:r w:rsidR="00207D3D" w:rsidRPr="004063C5">
        <w:rPr>
          <w:rFonts w:ascii="Times New Roman" w:hAnsi="Times New Roman" w:cs="Times New Roman"/>
          <w:sz w:val="24"/>
          <w:szCs w:val="24"/>
          <w:lang w:val="en-GB"/>
        </w:rPr>
        <w:t xml:space="preserve"> forward</w:t>
      </w:r>
      <w:r w:rsidR="00424D17" w:rsidRPr="004063C5">
        <w:rPr>
          <w:rFonts w:ascii="Times New Roman" w:hAnsi="Times New Roman" w:cs="Times New Roman"/>
          <w:sz w:val="24"/>
          <w:szCs w:val="24"/>
          <w:lang w:val="en-GB"/>
        </w:rPr>
        <w:t>, and swap</w:t>
      </w:r>
      <w:r w:rsidR="00207D3D" w:rsidRPr="004063C5">
        <w:rPr>
          <w:rFonts w:ascii="Times New Roman" w:hAnsi="Times New Roman" w:cs="Times New Roman"/>
          <w:sz w:val="24"/>
          <w:szCs w:val="24"/>
          <w:lang w:val="en-GB"/>
        </w:rPr>
        <w:t xml:space="preserve"> contracts are the most common type of forward commitments. In contrast, contingent claims create a right</w:t>
      </w:r>
      <w:r w:rsidRPr="004063C5">
        <w:rPr>
          <w:rFonts w:ascii="Times New Roman" w:hAnsi="Times New Roman" w:cs="Times New Roman"/>
          <w:sz w:val="24"/>
          <w:szCs w:val="24"/>
          <w:lang w:val="en-GB"/>
        </w:rPr>
        <w:t xml:space="preserve"> but not an obligation to purchase/sell the underlying asset</w:t>
      </w:r>
      <w:r w:rsidR="00207D3D" w:rsidRPr="004063C5">
        <w:rPr>
          <w:rFonts w:ascii="Times New Roman" w:hAnsi="Times New Roman" w:cs="Times New Roman"/>
          <w:sz w:val="24"/>
          <w:szCs w:val="24"/>
          <w:lang w:val="en-GB"/>
        </w:rPr>
        <w:t xml:space="preserve">: the exercise of these instruments is </w:t>
      </w:r>
      <w:r w:rsidRPr="004063C5">
        <w:rPr>
          <w:rFonts w:ascii="Times New Roman" w:hAnsi="Times New Roman" w:cs="Times New Roman"/>
          <w:sz w:val="24"/>
          <w:szCs w:val="24"/>
          <w:lang w:val="en-GB"/>
        </w:rPr>
        <w:t>contingent on the occurrence of a future event. Options are th</w:t>
      </w:r>
      <w:r w:rsidR="004520AE" w:rsidRPr="004063C5">
        <w:rPr>
          <w:rFonts w:ascii="Times New Roman" w:hAnsi="Times New Roman" w:cs="Times New Roman"/>
          <w:sz w:val="24"/>
          <w:szCs w:val="24"/>
          <w:lang w:val="en-GB"/>
        </w:rPr>
        <w:t xml:space="preserve">e most common type of contingent </w:t>
      </w:r>
      <w:r w:rsidR="004520AE" w:rsidRPr="004063C5">
        <w:rPr>
          <w:rFonts w:ascii="Times New Roman" w:hAnsi="Times New Roman" w:cs="Times New Roman"/>
          <w:sz w:val="24"/>
          <w:szCs w:val="24"/>
          <w:lang w:val="en-GB"/>
        </w:rPr>
        <w:lastRenderedPageBreak/>
        <w:t xml:space="preserve">claims although swaps and forwards can be modified to create a right rather than an obligation to participate in a transaction. The payoffs from forward commitments are linear with a constant change in the payoff from a unit change in the price of the underlying security. In contrast, contingent claims result in nonlinear payoffs with capped loss/profit when the price of the underlying asset reaches a certain point. </w:t>
      </w:r>
      <w:r w:rsidR="005672E4" w:rsidRPr="004063C5">
        <w:rPr>
          <w:rFonts w:ascii="Times New Roman" w:hAnsi="Times New Roman" w:cs="Times New Roman"/>
          <w:sz w:val="24"/>
          <w:szCs w:val="24"/>
          <w:lang w:val="en-GB"/>
        </w:rPr>
        <w:t>For this reason</w:t>
      </w:r>
      <w:r w:rsidR="00833977" w:rsidRPr="004063C5">
        <w:rPr>
          <w:rFonts w:ascii="Times New Roman" w:hAnsi="Times New Roman" w:cs="Times New Roman"/>
          <w:sz w:val="24"/>
          <w:szCs w:val="24"/>
          <w:lang w:val="en-GB"/>
        </w:rPr>
        <w:t xml:space="preserve"> and the ability to customize option hedge ratios to different states</w:t>
      </w:r>
      <w:r w:rsidR="005672E4" w:rsidRPr="004063C5">
        <w:rPr>
          <w:rFonts w:ascii="Times New Roman" w:hAnsi="Times New Roman" w:cs="Times New Roman"/>
          <w:sz w:val="24"/>
          <w:szCs w:val="24"/>
          <w:lang w:val="en-GB"/>
        </w:rPr>
        <w:t xml:space="preserve">, </w:t>
      </w:r>
      <w:r w:rsidR="00833977" w:rsidRPr="004063C5">
        <w:rPr>
          <w:rFonts w:ascii="Times New Roman" w:hAnsi="Times New Roman" w:cs="Times New Roman"/>
          <w:sz w:val="24"/>
          <w:szCs w:val="24"/>
          <w:lang w:val="en-GB"/>
        </w:rPr>
        <w:t>options will maximize value from a hedge when compared to forward commitments, which can add value but not to the same extent as options (</w:t>
      </w:r>
      <w:r w:rsidR="005C3D92" w:rsidRPr="004063C5">
        <w:rPr>
          <w:rFonts w:ascii="Times New Roman" w:hAnsi="Times New Roman" w:cs="Times New Roman"/>
          <w:sz w:val="24"/>
          <w:szCs w:val="24"/>
          <w:lang w:val="en-GB"/>
        </w:rPr>
        <w:t xml:space="preserve">Froot, </w:t>
      </w:r>
      <w:r w:rsidR="005C3D92" w:rsidRPr="004063C5">
        <w:rPr>
          <w:rFonts w:ascii="Times New Roman" w:eastAsia="Times New Roman" w:hAnsi="Times New Roman" w:cs="Times New Roman"/>
          <w:sz w:val="24"/>
          <w:szCs w:val="24"/>
          <w:lang w:val="en-GB"/>
        </w:rPr>
        <w:t>Scharfstein &amp; Stein, 1993).</w:t>
      </w:r>
    </w:p>
    <w:p w14:paraId="3B9F06E3" w14:textId="5B0F561F" w:rsidR="00CB65F7" w:rsidRPr="004063C5" w:rsidRDefault="00346588" w:rsidP="00DA527D">
      <w:pPr>
        <w:spacing w:after="0" w:line="480" w:lineRule="auto"/>
        <w:rPr>
          <w:rFonts w:ascii="Times New Roman" w:hAnsi="Times New Roman" w:cs="Times New Roman"/>
          <w:b/>
          <w:bCs/>
          <w:sz w:val="24"/>
          <w:szCs w:val="24"/>
          <w:lang w:val="en-GB"/>
        </w:rPr>
      </w:pPr>
      <w:r w:rsidRPr="004063C5">
        <w:rPr>
          <w:rFonts w:ascii="Times New Roman" w:hAnsi="Times New Roman" w:cs="Times New Roman"/>
          <w:b/>
          <w:bCs/>
          <w:sz w:val="24"/>
          <w:szCs w:val="24"/>
          <w:lang w:val="en-GB"/>
        </w:rPr>
        <w:t xml:space="preserve">Effective </w:t>
      </w:r>
      <w:r w:rsidR="00CB65F7" w:rsidRPr="004063C5">
        <w:rPr>
          <w:rFonts w:ascii="Times New Roman" w:hAnsi="Times New Roman" w:cs="Times New Roman"/>
          <w:b/>
          <w:bCs/>
          <w:sz w:val="24"/>
          <w:szCs w:val="24"/>
          <w:lang w:val="en-GB"/>
        </w:rPr>
        <w:t>Deployment of Derivative Instruments and Contingent Claims (</w:t>
      </w:r>
      <w:r w:rsidR="003A2CD4" w:rsidRPr="004063C5">
        <w:rPr>
          <w:rFonts w:ascii="Times New Roman" w:hAnsi="Times New Roman" w:cs="Times New Roman"/>
          <w:b/>
          <w:bCs/>
          <w:sz w:val="24"/>
          <w:szCs w:val="24"/>
          <w:lang w:val="en-GB"/>
        </w:rPr>
        <w:t>150</w:t>
      </w:r>
      <w:r w:rsidR="00CB65F7" w:rsidRPr="004063C5">
        <w:rPr>
          <w:rFonts w:ascii="Times New Roman" w:hAnsi="Times New Roman" w:cs="Times New Roman"/>
          <w:b/>
          <w:bCs/>
          <w:sz w:val="24"/>
          <w:szCs w:val="24"/>
          <w:lang w:val="en-GB"/>
        </w:rPr>
        <w:t xml:space="preserve"> words)</w:t>
      </w:r>
    </w:p>
    <w:p w14:paraId="08347482" w14:textId="448E7033" w:rsidR="00433D49" w:rsidRPr="004063C5" w:rsidRDefault="00C30567" w:rsidP="00DA527D">
      <w:pPr>
        <w:spacing w:after="0" w:line="480" w:lineRule="auto"/>
        <w:ind w:firstLine="720"/>
        <w:rPr>
          <w:rFonts w:ascii="Times New Roman" w:hAnsi="Times New Roman" w:cs="Times New Roman"/>
          <w:sz w:val="24"/>
          <w:szCs w:val="24"/>
          <w:lang w:val="en-GB"/>
        </w:rPr>
      </w:pPr>
      <w:r w:rsidRPr="004063C5">
        <w:rPr>
          <w:rFonts w:ascii="Times New Roman" w:hAnsi="Times New Roman" w:cs="Times New Roman"/>
          <w:sz w:val="24"/>
          <w:szCs w:val="24"/>
          <w:lang w:val="en-GB"/>
        </w:rPr>
        <w:t>Commodity buyers and sellers can hedge against price increases (decreases) using futures contracts on the same underlying asset</w:t>
      </w:r>
      <w:r w:rsidR="00C21299" w:rsidRPr="004063C5">
        <w:rPr>
          <w:rFonts w:ascii="Times New Roman" w:hAnsi="Times New Roman" w:cs="Times New Roman"/>
          <w:sz w:val="24"/>
          <w:szCs w:val="24"/>
          <w:lang w:val="en-GB"/>
        </w:rPr>
        <w:t>, or on an asset that most closely resembles the commodity to be hedged</w:t>
      </w:r>
      <w:r w:rsidRPr="004063C5">
        <w:rPr>
          <w:rFonts w:ascii="Times New Roman" w:hAnsi="Times New Roman" w:cs="Times New Roman"/>
          <w:sz w:val="24"/>
          <w:szCs w:val="24"/>
          <w:lang w:val="en-GB"/>
        </w:rPr>
        <w:t>.</w:t>
      </w:r>
      <w:r w:rsidR="002C4A3F" w:rsidRPr="004063C5">
        <w:rPr>
          <w:rFonts w:ascii="Times New Roman" w:hAnsi="Times New Roman" w:cs="Times New Roman"/>
          <w:sz w:val="24"/>
          <w:szCs w:val="24"/>
          <w:lang w:val="en-GB"/>
        </w:rPr>
        <w:t xml:space="preserve"> The</w:t>
      </w:r>
      <w:r w:rsidRPr="004063C5">
        <w:rPr>
          <w:rFonts w:ascii="Times New Roman" w:hAnsi="Times New Roman" w:cs="Times New Roman"/>
          <w:sz w:val="24"/>
          <w:szCs w:val="24"/>
          <w:lang w:val="en-GB"/>
        </w:rPr>
        <w:t xml:space="preserve"> </w:t>
      </w:r>
      <w:r w:rsidR="002C4A3F" w:rsidRPr="004063C5">
        <w:rPr>
          <w:rFonts w:ascii="Times New Roman" w:hAnsi="Times New Roman" w:cs="Times New Roman"/>
          <w:sz w:val="24"/>
          <w:szCs w:val="24"/>
          <w:lang w:val="en-GB"/>
        </w:rPr>
        <w:t xml:space="preserve">basis risk is lowest when the asset being hedged is the same as the asset underlying the forward commitment. A steel company could reduce its exposure to the risk of increasing iron ore prices by taking a long position in iron futures. </w:t>
      </w:r>
      <w:r w:rsidR="002D3AC0" w:rsidRPr="004063C5">
        <w:rPr>
          <w:rFonts w:ascii="Times New Roman" w:hAnsi="Times New Roman" w:cs="Times New Roman"/>
          <w:sz w:val="24"/>
          <w:szCs w:val="24"/>
          <w:lang w:val="en-GB"/>
        </w:rPr>
        <w:t xml:space="preserve">If the prevailing iron price at the delivery date is higher than the futures price when the company entered the contract, the higher cost of iron on delivery will be offset by the company’s gains on the futures contract. On the other hand, if the iron ore price falls below the future price for the agreed-upon delivery, the company will make a loss on closing out the future prices, which will offset the benefits from reduced iron ore purchasing price. Thus, </w:t>
      </w:r>
      <w:r w:rsidR="007A6682" w:rsidRPr="004063C5">
        <w:rPr>
          <w:rFonts w:ascii="Times New Roman" w:hAnsi="Times New Roman" w:cs="Times New Roman"/>
          <w:sz w:val="24"/>
          <w:szCs w:val="24"/>
          <w:lang w:val="en-GB"/>
        </w:rPr>
        <w:t xml:space="preserve">when used correctly to hedge for price movements of the same asset underlying the contact, forward commitments will lock in the price at the futures price on delivery. </w:t>
      </w:r>
      <w:r w:rsidR="001C18E2" w:rsidRPr="004063C5">
        <w:rPr>
          <w:rFonts w:ascii="Times New Roman" w:hAnsi="Times New Roman" w:cs="Times New Roman"/>
          <w:sz w:val="24"/>
          <w:szCs w:val="24"/>
          <w:lang w:val="en-GB"/>
        </w:rPr>
        <w:t xml:space="preserve">In many cases, managers must hedge against price movements of assets with no associated derivative instruments and/or for delivery of assets whose period to delivery does not match any derivatives offered in the organized exchange. In such scenarios, the basis risk can </w:t>
      </w:r>
      <w:r w:rsidR="001C18E2" w:rsidRPr="004063C5">
        <w:rPr>
          <w:rFonts w:ascii="Times New Roman" w:hAnsi="Times New Roman" w:cs="Times New Roman"/>
          <w:sz w:val="24"/>
          <w:szCs w:val="24"/>
          <w:lang w:val="en-GB"/>
        </w:rPr>
        <w:lastRenderedPageBreak/>
        <w:t xml:space="preserve">be minimized by cross-hedging on the futures of an asset that most closely resembles the asset to be hedged. The size of the futures position to be taken should be based on the hedge ratio that minimizes the variation in the hedge’s value (Hull, 2018). </w:t>
      </w:r>
    </w:p>
    <w:p w14:paraId="756E988B" w14:textId="77777777" w:rsidR="00CF608A" w:rsidRPr="004063C5" w:rsidRDefault="00F862FA" w:rsidP="00DA527D">
      <w:pPr>
        <w:spacing w:after="0" w:line="480" w:lineRule="auto"/>
        <w:ind w:firstLine="720"/>
        <w:rPr>
          <w:rFonts w:ascii="Times New Roman" w:hAnsi="Times New Roman" w:cs="Times New Roman"/>
          <w:sz w:val="24"/>
          <w:szCs w:val="24"/>
          <w:lang w:val="en-GB"/>
        </w:rPr>
      </w:pPr>
      <w:r w:rsidRPr="004063C5">
        <w:rPr>
          <w:rFonts w:ascii="Times New Roman" w:hAnsi="Times New Roman" w:cs="Times New Roman"/>
          <w:sz w:val="24"/>
          <w:szCs w:val="24"/>
          <w:lang w:val="en-GB"/>
        </w:rPr>
        <w:t xml:space="preserve">Both forward commitments and contingent claims can be deployed to reduce a multinational company’s exposure to exchange rate risk. </w:t>
      </w:r>
      <w:r w:rsidR="00C21299" w:rsidRPr="004063C5">
        <w:rPr>
          <w:rFonts w:ascii="Times New Roman" w:hAnsi="Times New Roman" w:cs="Times New Roman"/>
          <w:sz w:val="24"/>
          <w:szCs w:val="24"/>
          <w:lang w:val="en-GB"/>
        </w:rPr>
        <w:t>When the entity is fairly certain about the direction but not the extent of market movement, c</w:t>
      </w:r>
      <w:r w:rsidRPr="004063C5">
        <w:rPr>
          <w:rFonts w:ascii="Times New Roman" w:hAnsi="Times New Roman" w:cs="Times New Roman"/>
          <w:sz w:val="24"/>
          <w:szCs w:val="24"/>
          <w:lang w:val="en-GB"/>
        </w:rPr>
        <w:t>ontingent claims can</w:t>
      </w:r>
      <w:r w:rsidR="00C21299" w:rsidRPr="004063C5">
        <w:rPr>
          <w:rFonts w:ascii="Times New Roman" w:hAnsi="Times New Roman" w:cs="Times New Roman"/>
          <w:sz w:val="24"/>
          <w:szCs w:val="24"/>
          <w:lang w:val="en-GB"/>
        </w:rPr>
        <w:t xml:space="preserve"> be used to maximize the value of the hedge</w:t>
      </w:r>
      <w:r w:rsidR="00DA527D" w:rsidRPr="004063C5">
        <w:rPr>
          <w:rFonts w:ascii="Times New Roman" w:hAnsi="Times New Roman" w:cs="Times New Roman"/>
          <w:sz w:val="24"/>
          <w:szCs w:val="24"/>
          <w:lang w:val="en-GB"/>
        </w:rPr>
        <w:t>. For example, an investor anticipating</w:t>
      </w:r>
      <w:r w:rsidR="00476617" w:rsidRPr="004063C5">
        <w:rPr>
          <w:rFonts w:ascii="Times New Roman" w:hAnsi="Times New Roman" w:cs="Times New Roman"/>
          <w:sz w:val="24"/>
          <w:szCs w:val="24"/>
          <w:lang w:val="en-GB"/>
        </w:rPr>
        <w:t xml:space="preserve"> a decrease in the price of a stock in the short-term but intends to hold the stock for at least one year can protect their investment by either writing a covered call or </w:t>
      </w:r>
      <w:r w:rsidR="00850B7D" w:rsidRPr="004063C5">
        <w:rPr>
          <w:rFonts w:ascii="Times New Roman" w:hAnsi="Times New Roman" w:cs="Times New Roman"/>
          <w:sz w:val="24"/>
          <w:szCs w:val="24"/>
          <w:lang w:val="en-GB"/>
        </w:rPr>
        <w:t>establishing a protective put position using European options with one-year maturities</w:t>
      </w:r>
      <w:r w:rsidR="00476617" w:rsidRPr="004063C5">
        <w:rPr>
          <w:rFonts w:ascii="Times New Roman" w:hAnsi="Times New Roman" w:cs="Times New Roman"/>
          <w:sz w:val="24"/>
          <w:szCs w:val="24"/>
          <w:lang w:val="en-GB"/>
        </w:rPr>
        <w:t>.</w:t>
      </w:r>
      <w:r w:rsidR="00786260" w:rsidRPr="004063C5">
        <w:rPr>
          <w:rFonts w:ascii="Times New Roman" w:hAnsi="Times New Roman" w:cs="Times New Roman"/>
          <w:sz w:val="24"/>
          <w:szCs w:val="24"/>
          <w:lang w:val="en-GB"/>
        </w:rPr>
        <w:t xml:space="preserve"> For the covered call strategy, the call options will go unexercised if the stock price falls, providing the investor with an accelerated income stream from the premiums. Since the investor expects the share prices to increase in the long-term, he/she will benefit from the short-term price decrease while continuing to hold the stocks until prices recover. In contrast, if stock prices increase beyond the exercise price, the investor’s payoff is capped at the premium received. </w:t>
      </w:r>
    </w:p>
    <w:p w14:paraId="6C777B73" w14:textId="334A904D" w:rsidR="00786260" w:rsidRPr="004063C5" w:rsidRDefault="00786260" w:rsidP="00DA527D">
      <w:pPr>
        <w:spacing w:after="0" w:line="480" w:lineRule="auto"/>
        <w:ind w:firstLine="720"/>
        <w:rPr>
          <w:rFonts w:ascii="Times New Roman" w:hAnsi="Times New Roman" w:cs="Times New Roman"/>
          <w:sz w:val="24"/>
          <w:szCs w:val="24"/>
          <w:lang w:val="en-GB"/>
        </w:rPr>
      </w:pPr>
      <w:r w:rsidRPr="004063C5">
        <w:rPr>
          <w:rFonts w:ascii="Times New Roman" w:hAnsi="Times New Roman" w:cs="Times New Roman"/>
          <w:sz w:val="24"/>
          <w:szCs w:val="24"/>
          <w:lang w:val="en-GB"/>
        </w:rPr>
        <w:t xml:space="preserve">A protective put position provides a downside limit on losses to the investor but no upside limit to the potential gains. A protective put is preferable to a covered call when the investor is unsure of the stock’s performance in the long-term and their expectations for future prices is dependent on the closing price at </w:t>
      </w:r>
      <w:r w:rsidR="00CF608A" w:rsidRPr="004063C5">
        <w:rPr>
          <w:rFonts w:ascii="Times New Roman" w:hAnsi="Times New Roman" w:cs="Times New Roman"/>
          <w:sz w:val="24"/>
          <w:szCs w:val="24"/>
          <w:lang w:val="en-GB"/>
        </w:rPr>
        <w:t>maturity of the put option</w:t>
      </w:r>
      <w:r w:rsidRPr="004063C5">
        <w:rPr>
          <w:rFonts w:ascii="Times New Roman" w:hAnsi="Times New Roman" w:cs="Times New Roman"/>
          <w:sz w:val="24"/>
          <w:szCs w:val="24"/>
          <w:lang w:val="en-GB"/>
        </w:rPr>
        <w:t xml:space="preserve">. </w:t>
      </w:r>
      <w:r w:rsidR="00CF608A" w:rsidRPr="004063C5">
        <w:rPr>
          <w:rFonts w:ascii="Times New Roman" w:hAnsi="Times New Roman" w:cs="Times New Roman"/>
          <w:sz w:val="24"/>
          <w:szCs w:val="24"/>
          <w:lang w:val="en-GB"/>
        </w:rPr>
        <w:t>For example, an investor with shares in a company that is switching to</w:t>
      </w:r>
      <w:r w:rsidR="00CB7B75" w:rsidRPr="004063C5">
        <w:rPr>
          <w:rFonts w:ascii="Times New Roman" w:hAnsi="Times New Roman" w:cs="Times New Roman"/>
          <w:sz w:val="24"/>
          <w:szCs w:val="24"/>
          <w:lang w:val="en-GB"/>
        </w:rPr>
        <w:t xml:space="preserve"> novel</w:t>
      </w:r>
      <w:r w:rsidR="00CF608A" w:rsidRPr="004063C5">
        <w:rPr>
          <w:rFonts w:ascii="Times New Roman" w:hAnsi="Times New Roman" w:cs="Times New Roman"/>
          <w:sz w:val="24"/>
          <w:szCs w:val="24"/>
          <w:lang w:val="en-GB"/>
        </w:rPr>
        <w:t xml:space="preserve"> green technology could expect volatility in share prices in the short-run and an increase in the company’s value in the long-term if the technology is shown to be feasible. Since the feasibility of the technology in operations is unknown at present, he could assume that a decline in share prices past a certain level is </w:t>
      </w:r>
      <w:r w:rsidR="00CF608A" w:rsidRPr="004063C5">
        <w:rPr>
          <w:rFonts w:ascii="Times New Roman" w:hAnsi="Times New Roman" w:cs="Times New Roman"/>
          <w:sz w:val="24"/>
          <w:szCs w:val="24"/>
          <w:lang w:val="en-GB"/>
        </w:rPr>
        <w:lastRenderedPageBreak/>
        <w:t xml:space="preserve">indicative of infeasibility of the technology. He would then establish a protective put with strike price equal to the threshold price, which will cap his per share loss at the sum of the put option premium and difference between the strike and threshold price while providing </w:t>
      </w:r>
      <w:r w:rsidR="00CB7B75" w:rsidRPr="004063C5">
        <w:rPr>
          <w:rFonts w:ascii="Times New Roman" w:hAnsi="Times New Roman" w:cs="Times New Roman"/>
          <w:sz w:val="24"/>
          <w:szCs w:val="24"/>
          <w:lang w:val="en-GB"/>
        </w:rPr>
        <w:t>for unlimited potential for gains if the technology is shown to be feasible.</w:t>
      </w:r>
    </w:p>
    <w:p w14:paraId="45962B3D" w14:textId="08D76B5B" w:rsidR="003A2CD4" w:rsidRPr="004063C5" w:rsidRDefault="003A2CD4" w:rsidP="00DA527D">
      <w:pPr>
        <w:spacing w:after="0" w:line="480" w:lineRule="auto"/>
        <w:rPr>
          <w:rFonts w:ascii="Times New Roman" w:hAnsi="Times New Roman" w:cs="Times New Roman"/>
          <w:b/>
          <w:bCs/>
          <w:sz w:val="24"/>
          <w:szCs w:val="24"/>
          <w:lang w:val="en-GB"/>
        </w:rPr>
      </w:pPr>
      <w:r w:rsidRPr="004063C5">
        <w:rPr>
          <w:rFonts w:ascii="Times New Roman" w:hAnsi="Times New Roman" w:cs="Times New Roman"/>
          <w:b/>
          <w:bCs/>
          <w:sz w:val="24"/>
          <w:szCs w:val="24"/>
          <w:lang w:val="en-GB"/>
        </w:rPr>
        <w:t>Ineffective Deployment of Derivative Instruments and Contingent Claims</w:t>
      </w:r>
    </w:p>
    <w:p w14:paraId="5BFDDF47" w14:textId="08BF52BA" w:rsidR="00CB65F7" w:rsidRPr="004063C5" w:rsidRDefault="001C18E2" w:rsidP="00DA527D">
      <w:pPr>
        <w:spacing w:after="0" w:line="480" w:lineRule="auto"/>
        <w:ind w:firstLine="720"/>
        <w:rPr>
          <w:rFonts w:ascii="Times New Roman" w:hAnsi="Times New Roman" w:cs="Times New Roman"/>
          <w:sz w:val="24"/>
          <w:szCs w:val="24"/>
          <w:lang w:val="en-GB"/>
        </w:rPr>
      </w:pPr>
      <w:r w:rsidRPr="004063C5">
        <w:rPr>
          <w:rFonts w:ascii="Times New Roman" w:hAnsi="Times New Roman" w:cs="Times New Roman"/>
          <w:sz w:val="24"/>
          <w:szCs w:val="24"/>
          <w:lang w:val="en-GB"/>
        </w:rPr>
        <w:t>Froot et al. (1993) argue against the use of derivatives to hedge against price movements of a company’s main output</w:t>
      </w:r>
      <w:r w:rsidR="007B0935" w:rsidRPr="004063C5">
        <w:rPr>
          <w:rFonts w:ascii="Times New Roman" w:hAnsi="Times New Roman" w:cs="Times New Roman"/>
          <w:sz w:val="24"/>
          <w:szCs w:val="24"/>
          <w:lang w:val="en-GB"/>
        </w:rPr>
        <w:t xml:space="preserve">. For example, a company that produces iron ore as its only or main operation is better off exposed to the fluctuations in iron ore prices since a reduction in iron prices makes its investment opportunities unattractive. According to the authors, the main objective of hedging as to eliminate unnecessary fluctuations in the company’s investment spending or external financing needs, which arise from in fluctuating net cashflows (Froot et al., 1993). The iron ore producer does not require protection from decreasing net cashflows when iron prices decrease </w:t>
      </w:r>
      <w:r w:rsidR="00E91575" w:rsidRPr="004063C5">
        <w:rPr>
          <w:rFonts w:ascii="Times New Roman" w:hAnsi="Times New Roman" w:cs="Times New Roman"/>
          <w:sz w:val="24"/>
          <w:szCs w:val="24"/>
          <w:lang w:val="en-GB"/>
        </w:rPr>
        <w:t>as its investing needs will also decrease. Hedging against iron ore price decreases will have the effect of</w:t>
      </w:r>
      <w:r w:rsidR="003A2CD4" w:rsidRPr="004063C5">
        <w:rPr>
          <w:rFonts w:ascii="Times New Roman" w:hAnsi="Times New Roman" w:cs="Times New Roman"/>
          <w:sz w:val="24"/>
          <w:szCs w:val="24"/>
          <w:lang w:val="en-GB"/>
        </w:rPr>
        <w:t xml:space="preserve"> </w:t>
      </w:r>
      <w:r w:rsidR="00E91575" w:rsidRPr="004063C5">
        <w:rPr>
          <w:rFonts w:ascii="Times New Roman" w:hAnsi="Times New Roman" w:cs="Times New Roman"/>
          <w:sz w:val="24"/>
          <w:szCs w:val="24"/>
          <w:lang w:val="en-GB"/>
        </w:rPr>
        <w:t>reducing the company’s gains when the price of iron increases without increasing the company’s value when prices decrease (Froot et al., 1993).</w:t>
      </w:r>
    </w:p>
    <w:p w14:paraId="1FE0071E" w14:textId="20C19316" w:rsidR="00CB1A75" w:rsidRPr="004063C5" w:rsidRDefault="00CB7B75" w:rsidP="00CB7B75">
      <w:pPr>
        <w:spacing w:after="0" w:line="480" w:lineRule="auto"/>
        <w:ind w:firstLine="720"/>
        <w:rPr>
          <w:rFonts w:ascii="Times New Roman" w:hAnsi="Times New Roman" w:cs="Times New Roman"/>
          <w:sz w:val="24"/>
          <w:szCs w:val="24"/>
          <w:lang w:val="en-GB"/>
        </w:rPr>
      </w:pPr>
      <w:r w:rsidRPr="004063C5">
        <w:rPr>
          <w:rFonts w:ascii="Times New Roman" w:hAnsi="Times New Roman" w:cs="Times New Roman"/>
          <w:sz w:val="24"/>
          <w:szCs w:val="24"/>
          <w:lang w:val="en-GB"/>
        </w:rPr>
        <w:t xml:space="preserve">According to Froot et al. (1993) options can be deployed to </w:t>
      </w:r>
      <w:r w:rsidR="006F6C70" w:rsidRPr="004063C5">
        <w:rPr>
          <w:rFonts w:ascii="Times New Roman" w:hAnsi="Times New Roman" w:cs="Times New Roman"/>
          <w:sz w:val="24"/>
          <w:szCs w:val="24"/>
          <w:lang w:val="en-GB"/>
        </w:rPr>
        <w:t xml:space="preserve">protect against significant risks </w:t>
      </w:r>
      <w:r w:rsidRPr="004063C5">
        <w:rPr>
          <w:rFonts w:ascii="Times New Roman" w:hAnsi="Times New Roman" w:cs="Times New Roman"/>
          <w:sz w:val="24"/>
          <w:szCs w:val="24"/>
          <w:lang w:val="en-GB"/>
        </w:rPr>
        <w:t xml:space="preserve">to a company’s main output </w:t>
      </w:r>
      <w:r w:rsidR="006F6C70" w:rsidRPr="004063C5">
        <w:rPr>
          <w:rFonts w:ascii="Times New Roman" w:hAnsi="Times New Roman" w:cs="Times New Roman"/>
          <w:sz w:val="24"/>
          <w:szCs w:val="24"/>
          <w:lang w:val="en-GB"/>
        </w:rPr>
        <w:t>at lower cost than forward commitments. For example, in the case of the iron ore producer discussed previously, options can be used to hedge against massive decreases in the iron ore prices at an affordable cost and without hurting the company’s profits if prices increase (Froot et al., 1993).</w:t>
      </w:r>
      <w:r w:rsidR="00E611B0" w:rsidRPr="004063C5">
        <w:rPr>
          <w:rFonts w:ascii="Times New Roman" w:hAnsi="Times New Roman" w:cs="Times New Roman"/>
          <w:sz w:val="24"/>
          <w:szCs w:val="24"/>
          <w:lang w:val="en-GB"/>
        </w:rPr>
        <w:t xml:space="preserve"> The company can purchase deep out-of-the-money puts to hedge against price decreases beyond the strike price. </w:t>
      </w:r>
      <w:r w:rsidR="00601788" w:rsidRPr="004063C5">
        <w:rPr>
          <w:rFonts w:ascii="Times New Roman" w:hAnsi="Times New Roman" w:cs="Times New Roman"/>
          <w:sz w:val="24"/>
          <w:szCs w:val="24"/>
          <w:lang w:val="en-GB"/>
        </w:rPr>
        <w:t>From the</w:t>
      </w:r>
      <w:r w:rsidR="00E611B0" w:rsidRPr="004063C5">
        <w:rPr>
          <w:rFonts w:ascii="Times New Roman" w:hAnsi="Times New Roman" w:cs="Times New Roman"/>
          <w:sz w:val="24"/>
          <w:szCs w:val="24"/>
          <w:lang w:val="en-GB"/>
        </w:rPr>
        <w:t xml:space="preserve"> Black-Scholes</w:t>
      </w:r>
      <w:r w:rsidR="00601788" w:rsidRPr="004063C5">
        <w:rPr>
          <w:rFonts w:ascii="Times New Roman" w:hAnsi="Times New Roman" w:cs="Times New Roman"/>
          <w:sz w:val="24"/>
          <w:szCs w:val="24"/>
          <w:lang w:val="en-GB"/>
        </w:rPr>
        <w:t xml:space="preserve">-Merton formula, we expect the premium on these puts to be low, representing a low cost of establishing the </w:t>
      </w:r>
      <w:r w:rsidR="00601788" w:rsidRPr="004063C5">
        <w:rPr>
          <w:rFonts w:ascii="Times New Roman" w:hAnsi="Times New Roman" w:cs="Times New Roman"/>
          <w:sz w:val="24"/>
          <w:szCs w:val="24"/>
          <w:lang w:val="en-GB"/>
        </w:rPr>
        <w:lastRenderedPageBreak/>
        <w:t xml:space="preserve">position. The company </w:t>
      </w:r>
      <w:r w:rsidR="00CB1A75" w:rsidRPr="004063C5">
        <w:rPr>
          <w:rFonts w:ascii="Times New Roman" w:hAnsi="Times New Roman" w:cs="Times New Roman"/>
          <w:sz w:val="24"/>
          <w:szCs w:val="24"/>
          <w:lang w:val="en-GB"/>
        </w:rPr>
        <w:t xml:space="preserve">is not obligated to exercise these puts when oil prices are high, which does not cut into its </w:t>
      </w:r>
      <w:r w:rsidR="004063C5">
        <w:rPr>
          <w:rFonts w:ascii="Times New Roman" w:hAnsi="Times New Roman" w:cs="Times New Roman"/>
          <w:sz w:val="24"/>
          <w:szCs w:val="24"/>
          <w:lang w:val="en-GB"/>
        </w:rPr>
        <w:t>profits.</w:t>
      </w:r>
    </w:p>
    <w:p w14:paraId="3DD39847" w14:textId="0BF97477" w:rsidR="00CF7675" w:rsidRPr="004063C5" w:rsidRDefault="00CB7B75" w:rsidP="004063C5">
      <w:pPr>
        <w:spacing w:after="0" w:line="480" w:lineRule="auto"/>
        <w:ind w:firstLine="720"/>
        <w:rPr>
          <w:rFonts w:ascii="Times New Roman" w:hAnsi="Times New Roman" w:cs="Times New Roman"/>
          <w:sz w:val="24"/>
          <w:szCs w:val="24"/>
          <w:lang w:val="en-GB"/>
        </w:rPr>
      </w:pPr>
      <w:r w:rsidRPr="004063C5">
        <w:rPr>
          <w:rFonts w:ascii="Times New Roman" w:hAnsi="Times New Roman" w:cs="Times New Roman"/>
          <w:sz w:val="24"/>
          <w:szCs w:val="24"/>
          <w:lang w:val="en-GB"/>
        </w:rPr>
        <w:t xml:space="preserve">Using derivatives for speculative rather than hedging purposes in the business management context is dangerous and could result in large losses for the company. An example of </w:t>
      </w:r>
      <w:r w:rsidR="00DB03C4" w:rsidRPr="004063C5">
        <w:rPr>
          <w:rFonts w:ascii="Times New Roman" w:hAnsi="Times New Roman" w:cs="Times New Roman"/>
          <w:sz w:val="24"/>
          <w:szCs w:val="24"/>
          <w:lang w:val="en-GB"/>
        </w:rPr>
        <w:t>a loss occurring from speculation is SocGen’s 2008 loss of 4.9 billion euros from a trader’s speculation on the movement of equity indices</w:t>
      </w:r>
      <w:r w:rsidR="00BD0FB1" w:rsidRPr="004063C5">
        <w:rPr>
          <w:rFonts w:ascii="Times New Roman" w:hAnsi="Times New Roman" w:cs="Times New Roman"/>
          <w:sz w:val="24"/>
          <w:szCs w:val="24"/>
          <w:lang w:val="en-GB"/>
        </w:rPr>
        <w:t xml:space="preserve"> (Hull, 2018)</w:t>
      </w:r>
      <w:r w:rsidR="00DB03C4" w:rsidRPr="004063C5">
        <w:rPr>
          <w:rFonts w:ascii="Times New Roman" w:hAnsi="Times New Roman" w:cs="Times New Roman"/>
          <w:sz w:val="24"/>
          <w:szCs w:val="24"/>
          <w:lang w:val="en-GB"/>
        </w:rPr>
        <w:t xml:space="preserve">. A position of stock index future is speculative if it is designed to </w:t>
      </w:r>
      <w:r w:rsidR="00BD0FB1" w:rsidRPr="004063C5">
        <w:rPr>
          <w:rFonts w:ascii="Times New Roman" w:hAnsi="Times New Roman" w:cs="Times New Roman"/>
          <w:sz w:val="24"/>
          <w:szCs w:val="24"/>
          <w:lang w:val="en-GB"/>
        </w:rPr>
        <w:t>realize a profit from market movement in the anticipated direction but exposes the company to unmitigated losses if the market moves in the opposite direction.</w:t>
      </w:r>
      <w:r w:rsidR="00CD1F7F" w:rsidRPr="004063C5">
        <w:rPr>
          <w:rFonts w:ascii="Times New Roman" w:hAnsi="Times New Roman" w:cs="Times New Roman"/>
          <w:sz w:val="24"/>
          <w:szCs w:val="24"/>
          <w:lang w:val="en-GB"/>
        </w:rPr>
        <w:t xml:space="preserve"> </w:t>
      </w:r>
    </w:p>
    <w:p w14:paraId="17E0ED2F" w14:textId="6FA9665A" w:rsidR="00CF7675" w:rsidRPr="004063C5" w:rsidRDefault="00CF7675" w:rsidP="00DA527D">
      <w:pPr>
        <w:spacing w:after="0" w:line="480" w:lineRule="auto"/>
        <w:rPr>
          <w:rFonts w:ascii="Times New Roman" w:hAnsi="Times New Roman" w:cs="Times New Roman"/>
          <w:b/>
          <w:bCs/>
          <w:sz w:val="24"/>
          <w:szCs w:val="24"/>
          <w:lang w:val="en-GB"/>
        </w:rPr>
      </w:pPr>
      <w:r w:rsidRPr="004063C5">
        <w:rPr>
          <w:rFonts w:ascii="Times New Roman" w:hAnsi="Times New Roman" w:cs="Times New Roman"/>
          <w:b/>
          <w:bCs/>
          <w:sz w:val="24"/>
          <w:szCs w:val="24"/>
          <w:lang w:val="en-GB"/>
        </w:rPr>
        <w:t>Financial Risk Management Scenario for BHP</w:t>
      </w:r>
    </w:p>
    <w:p w14:paraId="4F1A5B06" w14:textId="0125BE46" w:rsidR="00855A11" w:rsidRPr="004063C5" w:rsidRDefault="00C21299" w:rsidP="00DA527D">
      <w:pPr>
        <w:spacing w:after="0" w:line="480" w:lineRule="auto"/>
        <w:ind w:firstLine="720"/>
        <w:rPr>
          <w:rFonts w:ascii="Times New Roman" w:hAnsi="Times New Roman" w:cs="Times New Roman"/>
          <w:sz w:val="24"/>
          <w:szCs w:val="24"/>
          <w:lang w:val="en-GB"/>
        </w:rPr>
      </w:pPr>
      <w:r w:rsidRPr="004063C5">
        <w:rPr>
          <w:rFonts w:ascii="Times New Roman" w:hAnsi="Times New Roman" w:cs="Times New Roman"/>
          <w:sz w:val="24"/>
          <w:szCs w:val="24"/>
          <w:lang w:val="en-GB"/>
        </w:rPr>
        <w:t>BHP’s proposed merger of its petroleum and fossil fuels division with Woodside’s to create a global energy company represents a move out of petrole</w:t>
      </w:r>
      <w:r w:rsidR="00AB132D" w:rsidRPr="004063C5">
        <w:rPr>
          <w:rFonts w:ascii="Times New Roman" w:hAnsi="Times New Roman" w:cs="Times New Roman"/>
          <w:sz w:val="24"/>
          <w:szCs w:val="24"/>
          <w:lang w:val="en-GB"/>
        </w:rPr>
        <w:t>um for BHP. The newly merged company will have a proposed ownership structure of 52% Woodside and 48% BHP shareholders. Petroleum was considered a countercyclical product for BHP, which provided a natural hedge against cyclical pressures on iron ore</w:t>
      </w:r>
      <w:r w:rsidR="00E03937" w:rsidRPr="004063C5">
        <w:rPr>
          <w:rFonts w:ascii="Times New Roman" w:hAnsi="Times New Roman" w:cs="Times New Roman"/>
          <w:sz w:val="24"/>
          <w:szCs w:val="24"/>
          <w:lang w:val="en-GB"/>
        </w:rPr>
        <w:t>, coal, and copper.</w:t>
      </w:r>
      <w:r w:rsidR="00AB132D" w:rsidRPr="004063C5">
        <w:rPr>
          <w:rFonts w:ascii="Times New Roman" w:hAnsi="Times New Roman" w:cs="Times New Roman"/>
          <w:sz w:val="24"/>
          <w:szCs w:val="24"/>
          <w:lang w:val="en-GB"/>
        </w:rPr>
        <w:t xml:space="preserve"> BHP</w:t>
      </w:r>
      <w:r w:rsidR="00E03937" w:rsidRPr="004063C5">
        <w:rPr>
          <w:rFonts w:ascii="Times New Roman" w:hAnsi="Times New Roman" w:cs="Times New Roman"/>
          <w:sz w:val="24"/>
          <w:szCs w:val="24"/>
          <w:lang w:val="en-GB"/>
        </w:rPr>
        <w:t xml:space="preserve"> also approved the first stage of the Jansen Potash project in Canada</w:t>
      </w:r>
      <w:r w:rsidRPr="004063C5">
        <w:rPr>
          <w:rFonts w:ascii="Times New Roman" w:hAnsi="Times New Roman" w:cs="Times New Roman"/>
          <w:sz w:val="24"/>
          <w:szCs w:val="24"/>
          <w:lang w:val="en-GB"/>
        </w:rPr>
        <w:t xml:space="preserve">, which </w:t>
      </w:r>
      <w:r w:rsidR="00AB132D" w:rsidRPr="004063C5">
        <w:rPr>
          <w:rFonts w:ascii="Times New Roman" w:hAnsi="Times New Roman" w:cs="Times New Roman"/>
          <w:sz w:val="24"/>
          <w:szCs w:val="24"/>
          <w:lang w:val="en-GB"/>
        </w:rPr>
        <w:t>represents an entirely new industry for the company</w:t>
      </w:r>
      <w:r w:rsidR="000C0111" w:rsidRPr="004063C5">
        <w:rPr>
          <w:rFonts w:ascii="Times New Roman" w:hAnsi="Times New Roman" w:cs="Times New Roman"/>
          <w:sz w:val="24"/>
          <w:szCs w:val="24"/>
          <w:lang w:val="en-GB"/>
        </w:rPr>
        <w:t xml:space="preserve"> (Thomson, 2021)</w:t>
      </w:r>
      <w:r w:rsidR="00AB132D" w:rsidRPr="004063C5">
        <w:rPr>
          <w:rFonts w:ascii="Times New Roman" w:hAnsi="Times New Roman" w:cs="Times New Roman"/>
          <w:sz w:val="24"/>
          <w:szCs w:val="24"/>
          <w:lang w:val="en-GB"/>
        </w:rPr>
        <w:t>.</w:t>
      </w:r>
      <w:r w:rsidR="000C0111" w:rsidRPr="004063C5">
        <w:rPr>
          <w:rFonts w:ascii="Times New Roman" w:hAnsi="Times New Roman" w:cs="Times New Roman"/>
          <w:sz w:val="24"/>
          <w:szCs w:val="24"/>
          <w:lang w:val="en-GB"/>
        </w:rPr>
        <w:t xml:space="preserve"> The investment in Potash was rationalized as a move towards future facing commodities for BHP. Potash has the potential of replacing </w:t>
      </w:r>
      <w:r w:rsidR="00855A11" w:rsidRPr="004063C5">
        <w:rPr>
          <w:rFonts w:ascii="Times New Roman" w:hAnsi="Times New Roman" w:cs="Times New Roman"/>
          <w:sz w:val="24"/>
          <w:szCs w:val="24"/>
          <w:lang w:val="en-GB"/>
        </w:rPr>
        <w:t xml:space="preserve">petroleum as BHP’s countercyclical play as its demand is expected to remain stable during recessionary periods due to every growing global demand for food. </w:t>
      </w:r>
    </w:p>
    <w:p w14:paraId="69B3E24A" w14:textId="18236DD1" w:rsidR="00C25DB9" w:rsidRPr="004063C5" w:rsidRDefault="00B2553F" w:rsidP="00DA527D">
      <w:pPr>
        <w:spacing w:after="0" w:line="480" w:lineRule="auto"/>
        <w:ind w:firstLine="720"/>
        <w:rPr>
          <w:rFonts w:ascii="Times New Roman" w:hAnsi="Times New Roman" w:cs="Times New Roman"/>
          <w:sz w:val="24"/>
          <w:szCs w:val="24"/>
          <w:lang w:val="en-GB"/>
        </w:rPr>
      </w:pPr>
      <w:r w:rsidRPr="004063C5">
        <w:rPr>
          <w:rFonts w:ascii="Times New Roman" w:hAnsi="Times New Roman" w:cs="Times New Roman"/>
          <w:sz w:val="24"/>
          <w:szCs w:val="24"/>
          <w:lang w:val="en-GB"/>
        </w:rPr>
        <w:t>The merger itself does not require the transfer of cash: instead, Woodside will acquire 100% of the ownership stake in BHP’s petroleum division and distribute 48% of shares in the Woodside-BHP petroleum company to BHP shareholders</w:t>
      </w:r>
      <w:r w:rsidRPr="004063C5">
        <w:rPr>
          <w:rFonts w:ascii="Times New Roman" w:hAnsi="Times New Roman" w:cs="Times New Roman"/>
          <w:sz w:val="24"/>
          <w:szCs w:val="24"/>
          <w:lang w:val="en-GB"/>
        </w:rPr>
        <w:t xml:space="preserve"> (BHP, 2021)</w:t>
      </w:r>
      <w:r w:rsidRPr="004063C5">
        <w:rPr>
          <w:rFonts w:ascii="Times New Roman" w:hAnsi="Times New Roman" w:cs="Times New Roman"/>
          <w:sz w:val="24"/>
          <w:szCs w:val="24"/>
          <w:lang w:val="en-GB"/>
        </w:rPr>
        <w:t xml:space="preserve">. </w:t>
      </w:r>
      <w:r w:rsidR="00855A11" w:rsidRPr="004063C5">
        <w:rPr>
          <w:rFonts w:ascii="Times New Roman" w:hAnsi="Times New Roman" w:cs="Times New Roman"/>
          <w:sz w:val="24"/>
          <w:szCs w:val="24"/>
          <w:lang w:val="en-GB"/>
        </w:rPr>
        <w:t xml:space="preserve">While BHP’s divestment of its petroleum business has positive long-term implications for its share prices as investors </w:t>
      </w:r>
      <w:r w:rsidR="00855A11" w:rsidRPr="004063C5">
        <w:rPr>
          <w:rFonts w:ascii="Times New Roman" w:hAnsi="Times New Roman" w:cs="Times New Roman"/>
          <w:sz w:val="24"/>
          <w:szCs w:val="24"/>
          <w:lang w:val="en-GB"/>
        </w:rPr>
        <w:lastRenderedPageBreak/>
        <w:t xml:space="preserve">move away from companies with high exposure to fossil fuels, the company’s risk exposure will change with the loss of its countercyclical product especially with the decreasing iron ore prices (McDonald-Smith &amp; Ker, 2021; Thomson, 2021). </w:t>
      </w:r>
      <w:r w:rsidRPr="004063C5">
        <w:rPr>
          <w:rFonts w:ascii="Times New Roman" w:hAnsi="Times New Roman" w:cs="Times New Roman"/>
          <w:sz w:val="24"/>
          <w:szCs w:val="24"/>
          <w:lang w:val="en-GB"/>
        </w:rPr>
        <w:t>A likely scenario is the decrease in iron ore prices will reduce the cash available to the company for investment in the Jensen Potash project</w:t>
      </w:r>
      <w:r w:rsidR="00560474" w:rsidRPr="004063C5">
        <w:rPr>
          <w:rFonts w:ascii="Times New Roman" w:hAnsi="Times New Roman" w:cs="Times New Roman"/>
          <w:sz w:val="24"/>
          <w:szCs w:val="24"/>
          <w:lang w:val="en-GB"/>
        </w:rPr>
        <w:t>. Over the next 12 months, I would advise management to hedge against movements in iron ore and copper using derivatives that provide similar protections a</w:t>
      </w:r>
      <w:r w:rsidR="004063C5">
        <w:rPr>
          <w:rFonts w:ascii="Times New Roman" w:hAnsi="Times New Roman" w:cs="Times New Roman"/>
          <w:sz w:val="24"/>
          <w:szCs w:val="24"/>
          <w:lang w:val="en-GB"/>
        </w:rPr>
        <w:t xml:space="preserve">s petroleum. </w:t>
      </w:r>
    </w:p>
    <w:p w14:paraId="6CD45163" w14:textId="161C1E55" w:rsidR="00285B6A" w:rsidRPr="004063C5" w:rsidRDefault="009C530B" w:rsidP="00DA527D">
      <w:pPr>
        <w:spacing w:after="0" w:line="480" w:lineRule="auto"/>
        <w:rPr>
          <w:rFonts w:ascii="Times New Roman" w:hAnsi="Times New Roman" w:cs="Times New Roman"/>
          <w:b/>
          <w:bCs/>
          <w:sz w:val="24"/>
          <w:szCs w:val="24"/>
          <w:lang w:val="en-GB"/>
        </w:rPr>
      </w:pPr>
      <w:r w:rsidRPr="004063C5">
        <w:rPr>
          <w:rFonts w:ascii="Times New Roman" w:hAnsi="Times New Roman" w:cs="Times New Roman"/>
          <w:b/>
          <w:bCs/>
          <w:sz w:val="24"/>
          <w:szCs w:val="24"/>
          <w:lang w:val="en-GB"/>
        </w:rPr>
        <w:t xml:space="preserve">Financial Risk Management for </w:t>
      </w:r>
      <w:r w:rsidR="00560474" w:rsidRPr="004063C5">
        <w:rPr>
          <w:rFonts w:ascii="Times New Roman" w:hAnsi="Times New Roman" w:cs="Times New Roman"/>
          <w:b/>
          <w:bCs/>
          <w:sz w:val="24"/>
          <w:szCs w:val="24"/>
          <w:lang w:val="en-GB"/>
        </w:rPr>
        <w:t xml:space="preserve">Vanguard </w:t>
      </w:r>
    </w:p>
    <w:p w14:paraId="642C281B" w14:textId="77777777" w:rsidR="00D044E6" w:rsidRPr="004063C5" w:rsidRDefault="00CB1A75" w:rsidP="00DA527D">
      <w:pPr>
        <w:spacing w:after="0" w:line="480" w:lineRule="auto"/>
        <w:ind w:firstLine="720"/>
        <w:rPr>
          <w:rFonts w:ascii="Times New Roman" w:hAnsi="Times New Roman" w:cs="Times New Roman"/>
          <w:sz w:val="24"/>
          <w:szCs w:val="24"/>
          <w:lang w:val="en-GB"/>
        </w:rPr>
      </w:pPr>
      <w:r w:rsidRPr="004063C5">
        <w:rPr>
          <w:rFonts w:ascii="Times New Roman" w:hAnsi="Times New Roman" w:cs="Times New Roman"/>
          <w:sz w:val="24"/>
          <w:szCs w:val="24"/>
          <w:lang w:val="en-GB"/>
        </w:rPr>
        <w:t>While the success of FMG’s hydrogen industries could be a source of competitive advantage that would increase its customer base and improve its cash generation potential, the shift towards green technology comes with significant risks that will can be passed on to the company’s investors (are significant risks to its shift towards green technology</w:t>
      </w:r>
      <w:r w:rsidR="00F862FA" w:rsidRPr="004063C5">
        <w:rPr>
          <w:rFonts w:ascii="Times New Roman" w:hAnsi="Times New Roman" w:cs="Times New Roman"/>
          <w:sz w:val="24"/>
          <w:szCs w:val="24"/>
          <w:lang w:val="en-GB"/>
        </w:rPr>
        <w:t xml:space="preserve"> (Gallagher &amp; Herman, 2021)</w:t>
      </w:r>
      <w:r w:rsidRPr="004063C5">
        <w:rPr>
          <w:rFonts w:ascii="Times New Roman" w:hAnsi="Times New Roman" w:cs="Times New Roman"/>
          <w:sz w:val="24"/>
          <w:szCs w:val="24"/>
          <w:lang w:val="en-GB"/>
        </w:rPr>
        <w:t xml:space="preserve">. FMG’s main competitive advantage is its low iron ore production costs, an advantage that is jeopardized in the adoption of </w:t>
      </w:r>
      <w:r w:rsidR="00F862FA" w:rsidRPr="004063C5">
        <w:rPr>
          <w:rFonts w:ascii="Times New Roman" w:hAnsi="Times New Roman" w:cs="Times New Roman"/>
          <w:sz w:val="24"/>
          <w:szCs w:val="24"/>
          <w:lang w:val="en-GB"/>
        </w:rPr>
        <w:t>green hydrogen</w:t>
      </w:r>
      <w:r w:rsidRPr="004063C5">
        <w:rPr>
          <w:rFonts w:ascii="Times New Roman" w:hAnsi="Times New Roman" w:cs="Times New Roman"/>
          <w:sz w:val="24"/>
          <w:szCs w:val="24"/>
          <w:lang w:val="en-GB"/>
        </w:rPr>
        <w:t xml:space="preserve">, which is substantially more expensive than the traditional </w:t>
      </w:r>
      <w:r w:rsidR="00F862FA" w:rsidRPr="004063C5">
        <w:rPr>
          <w:rFonts w:ascii="Times New Roman" w:hAnsi="Times New Roman" w:cs="Times New Roman"/>
          <w:sz w:val="24"/>
          <w:szCs w:val="24"/>
          <w:lang w:val="en-GB"/>
        </w:rPr>
        <w:t>technology (Boyd, 2021)</w:t>
      </w:r>
      <w:r w:rsidRPr="004063C5">
        <w:rPr>
          <w:rFonts w:ascii="Times New Roman" w:hAnsi="Times New Roman" w:cs="Times New Roman"/>
          <w:sz w:val="24"/>
          <w:szCs w:val="24"/>
          <w:lang w:val="en-GB"/>
        </w:rPr>
        <w:t xml:space="preserve">. </w:t>
      </w:r>
      <w:r w:rsidR="00F862FA" w:rsidRPr="004063C5">
        <w:rPr>
          <w:rFonts w:ascii="Times New Roman" w:hAnsi="Times New Roman" w:cs="Times New Roman"/>
          <w:sz w:val="24"/>
          <w:szCs w:val="24"/>
          <w:lang w:val="en-GB"/>
        </w:rPr>
        <w:t xml:space="preserve">The company’s </w:t>
      </w:r>
      <w:r w:rsidR="00D044E6" w:rsidRPr="004063C5">
        <w:rPr>
          <w:rFonts w:ascii="Times New Roman" w:hAnsi="Times New Roman" w:cs="Times New Roman"/>
          <w:sz w:val="24"/>
          <w:szCs w:val="24"/>
          <w:lang w:val="en-GB"/>
        </w:rPr>
        <w:t>market share</w:t>
      </w:r>
      <w:r w:rsidRPr="004063C5">
        <w:rPr>
          <w:rFonts w:ascii="Times New Roman" w:hAnsi="Times New Roman" w:cs="Times New Roman"/>
          <w:sz w:val="24"/>
          <w:szCs w:val="24"/>
          <w:lang w:val="en-GB"/>
        </w:rPr>
        <w:t xml:space="preserve"> could decrease especially without</w:t>
      </w:r>
      <w:r w:rsidR="00D044E6" w:rsidRPr="004063C5">
        <w:rPr>
          <w:rFonts w:ascii="Times New Roman" w:hAnsi="Times New Roman" w:cs="Times New Roman"/>
          <w:sz w:val="24"/>
          <w:szCs w:val="24"/>
          <w:lang w:val="en-GB"/>
        </w:rPr>
        <w:t xml:space="preserve"> hard national emissions targets that could pressurize competitors to switch to green technology (Hewett, 2021).</w:t>
      </w:r>
    </w:p>
    <w:p w14:paraId="6434BD5A" w14:textId="77777777" w:rsidR="00A802E4" w:rsidRPr="004063C5" w:rsidRDefault="00D044E6" w:rsidP="00DA527D">
      <w:pPr>
        <w:spacing w:after="0" w:line="480" w:lineRule="auto"/>
        <w:ind w:firstLine="720"/>
        <w:rPr>
          <w:rFonts w:ascii="Times New Roman" w:hAnsi="Times New Roman" w:cs="Times New Roman"/>
          <w:sz w:val="24"/>
          <w:szCs w:val="24"/>
          <w:lang w:val="en-GB"/>
        </w:rPr>
      </w:pPr>
      <w:r w:rsidRPr="004063C5">
        <w:rPr>
          <w:rFonts w:ascii="Times New Roman" w:hAnsi="Times New Roman" w:cs="Times New Roman"/>
          <w:sz w:val="24"/>
          <w:szCs w:val="24"/>
          <w:lang w:val="en-GB"/>
        </w:rPr>
        <w:t>Even if the company meets its target in the long-run, shareholders will be exposed to fluctuations in the company’s value and loss of portfolio value. I, therefore, anticipate an increase in FMG’s beta in the short-run</w:t>
      </w:r>
      <w:r w:rsidR="00722A4A" w:rsidRPr="004063C5">
        <w:rPr>
          <w:rFonts w:ascii="Times New Roman" w:hAnsi="Times New Roman" w:cs="Times New Roman"/>
          <w:sz w:val="24"/>
          <w:szCs w:val="24"/>
          <w:lang w:val="en-GB"/>
        </w:rPr>
        <w:t xml:space="preserve">, which </w:t>
      </w:r>
      <w:r w:rsidR="002036FA" w:rsidRPr="004063C5">
        <w:rPr>
          <w:rFonts w:ascii="Times New Roman" w:hAnsi="Times New Roman" w:cs="Times New Roman"/>
          <w:sz w:val="24"/>
          <w:szCs w:val="24"/>
          <w:lang w:val="en-GB"/>
        </w:rPr>
        <w:t>will increase the beta of a portfolio that is heavily weighted in FMG stocks</w:t>
      </w:r>
      <w:r w:rsidRPr="004063C5">
        <w:rPr>
          <w:rFonts w:ascii="Times New Roman" w:hAnsi="Times New Roman" w:cs="Times New Roman"/>
          <w:sz w:val="24"/>
          <w:szCs w:val="24"/>
          <w:lang w:val="en-GB"/>
        </w:rPr>
        <w:t>.</w:t>
      </w:r>
      <w:r w:rsidR="002036FA" w:rsidRPr="004063C5">
        <w:rPr>
          <w:rFonts w:ascii="Times New Roman" w:hAnsi="Times New Roman" w:cs="Times New Roman"/>
          <w:sz w:val="24"/>
          <w:szCs w:val="24"/>
          <w:lang w:val="en-GB"/>
        </w:rPr>
        <w:t xml:space="preserve"> Global concern on carbon emissions of iron and steel industries is expected to increase and advancements in energy efficient technology are expected to slash the cost of </w:t>
      </w:r>
      <w:r w:rsidR="00ED1795" w:rsidRPr="004063C5">
        <w:rPr>
          <w:rFonts w:ascii="Times New Roman" w:hAnsi="Times New Roman" w:cs="Times New Roman"/>
          <w:sz w:val="24"/>
          <w:szCs w:val="24"/>
          <w:lang w:val="en-GB"/>
        </w:rPr>
        <w:t>green hydrogen, lending to significant increases in FMG’s value in the long-run</w:t>
      </w:r>
      <w:r w:rsidR="002036FA" w:rsidRPr="004063C5">
        <w:rPr>
          <w:rFonts w:ascii="Times New Roman" w:hAnsi="Times New Roman" w:cs="Times New Roman"/>
          <w:sz w:val="24"/>
          <w:szCs w:val="24"/>
          <w:lang w:val="en-GB"/>
        </w:rPr>
        <w:t xml:space="preserve">. Thus, </w:t>
      </w:r>
      <w:r w:rsidR="002036FA" w:rsidRPr="004063C5">
        <w:rPr>
          <w:rFonts w:ascii="Times New Roman" w:hAnsi="Times New Roman" w:cs="Times New Roman"/>
          <w:sz w:val="24"/>
          <w:szCs w:val="24"/>
          <w:lang w:val="en-GB"/>
        </w:rPr>
        <w:lastRenderedPageBreak/>
        <w:t xml:space="preserve">the </w:t>
      </w:r>
      <w:r w:rsidR="008E5D03" w:rsidRPr="004063C5">
        <w:rPr>
          <w:rFonts w:ascii="Times New Roman" w:hAnsi="Times New Roman" w:cs="Times New Roman"/>
          <w:sz w:val="24"/>
          <w:szCs w:val="24"/>
          <w:lang w:val="en-GB"/>
        </w:rPr>
        <w:t>Vanguard</w:t>
      </w:r>
      <w:r w:rsidR="002036FA" w:rsidRPr="004063C5">
        <w:rPr>
          <w:rFonts w:ascii="Times New Roman" w:hAnsi="Times New Roman" w:cs="Times New Roman"/>
          <w:sz w:val="24"/>
          <w:szCs w:val="24"/>
          <w:lang w:val="en-GB"/>
        </w:rPr>
        <w:t xml:space="preserve"> fund manager should at the very least maintain the current level of investment in FMG but hedge against short-term risks using stock index futures.</w:t>
      </w:r>
      <w:r w:rsidR="00ED1795" w:rsidRPr="004063C5">
        <w:rPr>
          <w:rFonts w:ascii="Times New Roman" w:hAnsi="Times New Roman" w:cs="Times New Roman"/>
          <w:sz w:val="24"/>
          <w:szCs w:val="24"/>
          <w:lang w:val="en-GB"/>
        </w:rPr>
        <w:t xml:space="preserve"> </w:t>
      </w:r>
    </w:p>
    <w:p w14:paraId="6D32061D" w14:textId="6FE59D82" w:rsidR="0099551A" w:rsidRDefault="00ED1795" w:rsidP="00DA527D">
      <w:pPr>
        <w:spacing w:after="0" w:line="480" w:lineRule="auto"/>
        <w:ind w:firstLine="720"/>
        <w:rPr>
          <w:rFonts w:ascii="Times New Roman" w:hAnsi="Times New Roman" w:cs="Times New Roman"/>
          <w:sz w:val="24"/>
          <w:szCs w:val="24"/>
          <w:lang w:val="en-GB"/>
        </w:rPr>
      </w:pPr>
      <w:r w:rsidRPr="004063C5">
        <w:rPr>
          <w:rFonts w:ascii="Times New Roman" w:hAnsi="Times New Roman" w:cs="Times New Roman"/>
          <w:sz w:val="24"/>
          <w:szCs w:val="24"/>
          <w:lang w:val="en-GB"/>
        </w:rPr>
        <w:t xml:space="preserve">Ordinarily, stock index futures are used to eliminate risks from market movements and protect the returns of the well-diversified portfolio by reducing the portfolio beta to zero. </w:t>
      </w:r>
      <w:r w:rsidR="008E5D03" w:rsidRPr="004063C5">
        <w:rPr>
          <w:rFonts w:ascii="Times New Roman" w:hAnsi="Times New Roman" w:cs="Times New Roman"/>
          <w:sz w:val="24"/>
          <w:szCs w:val="24"/>
          <w:lang w:val="en-GB"/>
        </w:rPr>
        <w:t>If the fund manager is using a passive investment strategy based on</w:t>
      </w:r>
      <w:r w:rsidR="00A802E4" w:rsidRPr="004063C5">
        <w:rPr>
          <w:rFonts w:ascii="Times New Roman" w:hAnsi="Times New Roman" w:cs="Times New Roman"/>
          <w:sz w:val="24"/>
          <w:szCs w:val="24"/>
          <w:lang w:val="en-GB"/>
        </w:rPr>
        <w:t xml:space="preserve"> stock selectivity to realize returns above the market and is using S&amp;P/ASX200 futures at the minimal variance cross-hedge ratio to eliminate short-term market risk,</w:t>
      </w:r>
      <w:r w:rsidRPr="004063C5">
        <w:rPr>
          <w:rFonts w:ascii="Times New Roman" w:hAnsi="Times New Roman" w:cs="Times New Roman"/>
          <w:sz w:val="24"/>
          <w:szCs w:val="24"/>
          <w:lang w:val="en-GB"/>
        </w:rPr>
        <w:t xml:space="preserve"> FMG’s higher </w:t>
      </w:r>
      <w:r w:rsidR="00A802E4" w:rsidRPr="004063C5">
        <w:rPr>
          <w:rFonts w:ascii="Times New Roman" w:hAnsi="Times New Roman" w:cs="Times New Roman"/>
          <w:sz w:val="24"/>
          <w:szCs w:val="24"/>
          <w:lang w:val="en-GB"/>
        </w:rPr>
        <w:t>beta is expected to increase the portfolio beta.</w:t>
      </w:r>
      <w:r w:rsidRPr="004063C5">
        <w:rPr>
          <w:rFonts w:ascii="Times New Roman" w:hAnsi="Times New Roman" w:cs="Times New Roman"/>
          <w:sz w:val="24"/>
          <w:szCs w:val="24"/>
          <w:lang w:val="en-GB"/>
        </w:rPr>
        <w:t xml:space="preserve"> </w:t>
      </w:r>
      <w:r w:rsidR="002036FA" w:rsidRPr="004063C5">
        <w:rPr>
          <w:rFonts w:ascii="Times New Roman" w:hAnsi="Times New Roman" w:cs="Times New Roman"/>
          <w:sz w:val="24"/>
          <w:szCs w:val="24"/>
          <w:lang w:val="en-GB"/>
        </w:rPr>
        <w:t xml:space="preserve"> </w:t>
      </w:r>
      <w:r w:rsidR="00D044E6" w:rsidRPr="004063C5">
        <w:rPr>
          <w:rFonts w:ascii="Times New Roman" w:hAnsi="Times New Roman" w:cs="Times New Roman"/>
          <w:sz w:val="24"/>
          <w:szCs w:val="24"/>
          <w:lang w:val="en-GB"/>
        </w:rPr>
        <w:t xml:space="preserve"> I would recommend </w:t>
      </w:r>
      <w:r w:rsidR="00A802E4" w:rsidRPr="004063C5">
        <w:rPr>
          <w:rFonts w:ascii="Times New Roman" w:hAnsi="Times New Roman" w:cs="Times New Roman"/>
          <w:sz w:val="24"/>
          <w:szCs w:val="24"/>
          <w:lang w:val="en-GB"/>
        </w:rPr>
        <w:t>adjusting the position in</w:t>
      </w:r>
      <w:r w:rsidR="00D044E6" w:rsidRPr="004063C5">
        <w:rPr>
          <w:rFonts w:ascii="Times New Roman" w:hAnsi="Times New Roman" w:cs="Times New Roman"/>
          <w:sz w:val="24"/>
          <w:szCs w:val="24"/>
          <w:lang w:val="en-GB"/>
        </w:rPr>
        <w:t xml:space="preserve"> </w:t>
      </w:r>
      <w:r w:rsidR="00F21354" w:rsidRPr="004063C5">
        <w:rPr>
          <w:rFonts w:ascii="Times New Roman" w:hAnsi="Times New Roman" w:cs="Times New Roman"/>
          <w:sz w:val="24"/>
          <w:szCs w:val="24"/>
          <w:lang w:val="en-GB"/>
        </w:rPr>
        <w:t xml:space="preserve">S&amp;P/ASX200 </w:t>
      </w:r>
      <w:r w:rsidR="00D044E6" w:rsidRPr="004063C5">
        <w:rPr>
          <w:rFonts w:ascii="Times New Roman" w:hAnsi="Times New Roman" w:cs="Times New Roman"/>
          <w:sz w:val="24"/>
          <w:szCs w:val="24"/>
          <w:lang w:val="en-GB"/>
        </w:rPr>
        <w:t>futures</w:t>
      </w:r>
      <w:r w:rsidR="00A802E4" w:rsidRPr="004063C5">
        <w:rPr>
          <w:rFonts w:ascii="Times New Roman" w:hAnsi="Times New Roman" w:cs="Times New Roman"/>
          <w:sz w:val="24"/>
          <w:szCs w:val="24"/>
          <w:lang w:val="en-GB"/>
        </w:rPr>
        <w:t xml:space="preserve"> to reduce the beta on the portfolio</w:t>
      </w:r>
      <w:r w:rsidR="00D044E6" w:rsidRPr="004063C5">
        <w:rPr>
          <w:rFonts w:ascii="Times New Roman" w:hAnsi="Times New Roman" w:cs="Times New Roman"/>
          <w:sz w:val="24"/>
          <w:szCs w:val="24"/>
          <w:lang w:val="en-GB"/>
        </w:rPr>
        <w:t>.</w:t>
      </w:r>
      <w:r w:rsidR="00A802E4" w:rsidRPr="004063C5">
        <w:rPr>
          <w:rFonts w:ascii="Times New Roman" w:hAnsi="Times New Roman" w:cs="Times New Roman"/>
          <w:sz w:val="24"/>
          <w:szCs w:val="24"/>
          <w:lang w:val="en-GB"/>
        </w:rPr>
        <w:t xml:space="preserve"> The first step is to determine the new portfolio beta, which is the weighted average of individual stock beta. </w:t>
      </w:r>
      <w:r w:rsidR="00877194" w:rsidRPr="004063C5">
        <w:rPr>
          <w:rFonts w:ascii="Times New Roman" w:hAnsi="Times New Roman" w:cs="Times New Roman"/>
          <w:sz w:val="24"/>
          <w:szCs w:val="24"/>
          <w:lang w:val="en-GB"/>
        </w:rPr>
        <w:t>The number of futures contracts to be shorted to minimize beta is a fraction of the contracts that would be shorted for a perfect hedge</w:t>
      </w:r>
      <w:r w:rsidR="007A1D1D" w:rsidRPr="004063C5">
        <w:rPr>
          <w:rFonts w:ascii="Times New Roman" w:hAnsi="Times New Roman" w:cs="Times New Roman"/>
          <w:sz w:val="24"/>
          <w:szCs w:val="24"/>
          <w:lang w:val="en-GB"/>
        </w:rPr>
        <w:t xml:space="preserve"> with the fraction calculated as the desired beta divided by the current beta</w:t>
      </w:r>
      <w:r w:rsidR="00877194" w:rsidRPr="004063C5">
        <w:rPr>
          <w:rFonts w:ascii="Times New Roman" w:hAnsi="Times New Roman" w:cs="Times New Roman"/>
          <w:sz w:val="24"/>
          <w:szCs w:val="24"/>
          <w:lang w:val="en-GB"/>
        </w:rPr>
        <w:t xml:space="preserve">. I would recommend rebalancing the hedge in stock index futures on a </w:t>
      </w:r>
      <w:r w:rsidR="007A1D1D" w:rsidRPr="004063C5">
        <w:rPr>
          <w:rFonts w:ascii="Times New Roman" w:hAnsi="Times New Roman" w:cs="Times New Roman"/>
          <w:sz w:val="24"/>
          <w:szCs w:val="24"/>
          <w:lang w:val="en-GB"/>
        </w:rPr>
        <w:t>quarterly</w:t>
      </w:r>
      <w:r w:rsidR="00877194" w:rsidRPr="004063C5">
        <w:rPr>
          <w:rFonts w:ascii="Times New Roman" w:hAnsi="Times New Roman" w:cs="Times New Roman"/>
          <w:sz w:val="24"/>
          <w:szCs w:val="24"/>
          <w:lang w:val="en-GB"/>
        </w:rPr>
        <w:t xml:space="preserve"> basis as the consequences of FMG’s adoption of green energy become clearer and its stock prices become less volatile. </w:t>
      </w:r>
      <w:r w:rsidR="007A1D1D" w:rsidRPr="004063C5">
        <w:rPr>
          <w:rFonts w:ascii="Times New Roman" w:hAnsi="Times New Roman" w:cs="Times New Roman"/>
          <w:sz w:val="24"/>
          <w:szCs w:val="24"/>
          <w:lang w:val="en-GB"/>
        </w:rPr>
        <w:t>The contract period on ASX200 futures is 3 months, which would allow the manager to close out the open position and re</w:t>
      </w:r>
      <w:r w:rsidR="0099551A">
        <w:rPr>
          <w:rFonts w:ascii="Times New Roman" w:hAnsi="Times New Roman" w:cs="Times New Roman"/>
          <w:sz w:val="24"/>
          <w:szCs w:val="24"/>
          <w:lang w:val="en-GB"/>
        </w:rPr>
        <w:t>-</w:t>
      </w:r>
      <w:r w:rsidR="007A1D1D" w:rsidRPr="004063C5">
        <w:rPr>
          <w:rFonts w:ascii="Times New Roman" w:hAnsi="Times New Roman" w:cs="Times New Roman"/>
          <w:sz w:val="24"/>
          <w:szCs w:val="24"/>
          <w:lang w:val="en-GB"/>
        </w:rPr>
        <w:t>establish a new position</w:t>
      </w:r>
      <w:r w:rsidR="00B5777A" w:rsidRPr="004063C5">
        <w:rPr>
          <w:rFonts w:ascii="Times New Roman" w:hAnsi="Times New Roman" w:cs="Times New Roman"/>
          <w:sz w:val="24"/>
          <w:szCs w:val="24"/>
          <w:lang w:val="en-GB"/>
        </w:rPr>
        <w:t xml:space="preserve"> (ASX, 2013)</w:t>
      </w:r>
      <w:r w:rsidR="007A1D1D" w:rsidRPr="004063C5">
        <w:rPr>
          <w:rFonts w:ascii="Times New Roman" w:hAnsi="Times New Roman" w:cs="Times New Roman"/>
          <w:sz w:val="24"/>
          <w:szCs w:val="24"/>
          <w:lang w:val="en-GB"/>
        </w:rPr>
        <w:t xml:space="preserve">. </w:t>
      </w:r>
      <w:r w:rsidR="007A1D1D" w:rsidRPr="004063C5">
        <w:rPr>
          <w:rFonts w:ascii="Times New Roman" w:hAnsi="Times New Roman" w:cs="Times New Roman"/>
          <w:sz w:val="24"/>
          <w:szCs w:val="24"/>
          <w:lang w:val="en-GB"/>
        </w:rPr>
        <w:t>The manager would recalculate portfolio beta</w:t>
      </w:r>
      <w:r w:rsidR="007A1D1D" w:rsidRPr="004063C5">
        <w:rPr>
          <w:rFonts w:ascii="Times New Roman" w:hAnsi="Times New Roman" w:cs="Times New Roman"/>
          <w:sz w:val="24"/>
          <w:szCs w:val="24"/>
          <w:lang w:val="en-GB"/>
        </w:rPr>
        <w:t xml:space="preserve"> by regressing the portfolio’s daily excess returns above the RFR against the market index’s daily excess returns over a one-year period or less and determine the new futures position.</w:t>
      </w:r>
    </w:p>
    <w:p w14:paraId="56D885A0" w14:textId="77777777" w:rsidR="0099551A" w:rsidRDefault="0099551A">
      <w:pPr>
        <w:rPr>
          <w:rFonts w:ascii="Times New Roman" w:hAnsi="Times New Roman" w:cs="Times New Roman"/>
          <w:sz w:val="24"/>
          <w:szCs w:val="24"/>
          <w:lang w:val="en-GB"/>
        </w:rPr>
      </w:pPr>
      <w:r>
        <w:rPr>
          <w:rFonts w:ascii="Times New Roman" w:hAnsi="Times New Roman" w:cs="Times New Roman"/>
          <w:sz w:val="24"/>
          <w:szCs w:val="24"/>
          <w:lang w:val="en-GB"/>
        </w:rPr>
        <w:br w:type="page"/>
      </w:r>
    </w:p>
    <w:p w14:paraId="4B8B3FA3" w14:textId="77777777" w:rsidR="0099551A" w:rsidRPr="00C513BB" w:rsidRDefault="0099551A" w:rsidP="0099551A">
      <w:pPr>
        <w:spacing w:line="480" w:lineRule="auto"/>
        <w:jc w:val="center"/>
        <w:rPr>
          <w:rFonts w:ascii="Times New Roman" w:hAnsi="Times New Roman" w:cs="Times New Roman"/>
          <w:sz w:val="24"/>
          <w:szCs w:val="24"/>
        </w:rPr>
      </w:pPr>
      <w:r w:rsidRPr="00C513BB">
        <w:rPr>
          <w:rFonts w:ascii="Times New Roman" w:hAnsi="Times New Roman" w:cs="Times New Roman"/>
          <w:sz w:val="24"/>
          <w:szCs w:val="24"/>
        </w:rPr>
        <w:lastRenderedPageBreak/>
        <w:t>References</w:t>
      </w:r>
    </w:p>
    <w:p w14:paraId="38153B5D" w14:textId="77777777" w:rsidR="0099551A" w:rsidRDefault="0099551A" w:rsidP="0099551A">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ASX (2013). ASX SPI 200 futures. Retrieved from: </w:t>
      </w:r>
    </w:p>
    <w:p w14:paraId="21932EE3" w14:textId="77777777" w:rsidR="0099551A" w:rsidRDefault="0099551A" w:rsidP="0099551A">
      <w:pPr>
        <w:spacing w:after="0" w:line="480" w:lineRule="auto"/>
        <w:ind w:left="720"/>
        <w:rPr>
          <w:rFonts w:ascii="Times New Roman" w:eastAsia="Times New Roman" w:hAnsi="Times New Roman" w:cs="Times New Roman"/>
          <w:sz w:val="24"/>
          <w:szCs w:val="24"/>
        </w:rPr>
      </w:pPr>
      <w:r w:rsidRPr="00713945">
        <w:rPr>
          <w:rFonts w:ascii="Times New Roman" w:eastAsia="Times New Roman" w:hAnsi="Times New Roman" w:cs="Times New Roman"/>
          <w:sz w:val="24"/>
          <w:szCs w:val="24"/>
        </w:rPr>
        <w:t>https://www.asx.com.au/documents/products/asx-spi-200-fututres.pdf</w:t>
      </w:r>
    </w:p>
    <w:p w14:paraId="7C643AFD" w14:textId="77777777" w:rsidR="00BD02C0" w:rsidRDefault="00C15E2B" w:rsidP="0099551A">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BHP (2021). </w:t>
      </w:r>
      <w:r w:rsidR="0049733F" w:rsidRPr="0049733F">
        <w:rPr>
          <w:rFonts w:ascii="Times New Roman" w:eastAsia="Times New Roman" w:hAnsi="Times New Roman" w:cs="Times New Roman"/>
          <w:sz w:val="24"/>
          <w:szCs w:val="24"/>
        </w:rPr>
        <w:t>BHP Petroleum merger with Woodside</w:t>
      </w:r>
      <w:r w:rsidR="0049733F">
        <w:rPr>
          <w:rFonts w:ascii="Times New Roman" w:eastAsia="Times New Roman" w:hAnsi="Times New Roman" w:cs="Times New Roman"/>
          <w:sz w:val="24"/>
          <w:szCs w:val="24"/>
        </w:rPr>
        <w:t xml:space="preserve">. Retrieved from: </w:t>
      </w:r>
    </w:p>
    <w:p w14:paraId="3C26CC05" w14:textId="3ACD989B" w:rsidR="00C15E2B" w:rsidRDefault="0049733F" w:rsidP="00BD02C0">
      <w:pPr>
        <w:spacing w:after="0" w:line="480" w:lineRule="auto"/>
        <w:ind w:left="720"/>
        <w:rPr>
          <w:rFonts w:ascii="Times New Roman" w:eastAsia="Times New Roman" w:hAnsi="Times New Roman" w:cs="Times New Roman"/>
          <w:sz w:val="24"/>
          <w:szCs w:val="24"/>
        </w:rPr>
      </w:pPr>
      <w:r w:rsidRPr="0049733F">
        <w:rPr>
          <w:rFonts w:ascii="Times New Roman" w:eastAsia="Times New Roman" w:hAnsi="Times New Roman" w:cs="Times New Roman"/>
          <w:sz w:val="24"/>
          <w:szCs w:val="24"/>
        </w:rPr>
        <w:t>https://www.bhp.com/about/our-businesses/woodside-bhp-merger</w:t>
      </w:r>
    </w:p>
    <w:p w14:paraId="267A749C" w14:textId="68F5E388" w:rsidR="0099551A" w:rsidRDefault="0099551A" w:rsidP="0099551A">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Boyd, T. (2021). </w:t>
      </w:r>
      <w:r w:rsidRPr="003214AC">
        <w:rPr>
          <w:rFonts w:ascii="Times New Roman" w:eastAsia="Times New Roman" w:hAnsi="Times New Roman" w:cs="Times New Roman"/>
          <w:i/>
          <w:iCs/>
          <w:sz w:val="24"/>
          <w:szCs w:val="24"/>
        </w:rPr>
        <w:t>FMG leads way on green economy</w:t>
      </w:r>
      <w:r>
        <w:rPr>
          <w:rFonts w:ascii="Times New Roman" w:eastAsia="Times New Roman" w:hAnsi="Times New Roman" w:cs="Times New Roman"/>
          <w:sz w:val="24"/>
          <w:szCs w:val="24"/>
        </w:rPr>
        <w:t>. The Australian Financial Review</w:t>
      </w:r>
    </w:p>
    <w:p w14:paraId="42D85CB6" w14:textId="77777777" w:rsidR="0099551A" w:rsidRDefault="0099551A" w:rsidP="0099551A">
      <w:pPr>
        <w:spacing w:after="0" w:line="480" w:lineRule="auto"/>
        <w:rPr>
          <w:rFonts w:ascii="Times New Roman" w:eastAsia="Times New Roman" w:hAnsi="Times New Roman" w:cs="Times New Roman"/>
          <w:sz w:val="24"/>
          <w:szCs w:val="24"/>
        </w:rPr>
      </w:pPr>
      <w:r w:rsidRPr="00C513BB">
        <w:rPr>
          <w:rFonts w:ascii="Times New Roman" w:eastAsia="Times New Roman" w:hAnsi="Times New Roman" w:cs="Times New Roman"/>
          <w:sz w:val="24"/>
          <w:szCs w:val="24"/>
        </w:rPr>
        <w:t xml:space="preserve">Froot, K. A., Scharfstein, D. S., &amp; Stein, J. C. (1993). Risk management: Coordinating corporate </w:t>
      </w:r>
    </w:p>
    <w:p w14:paraId="01699C5F" w14:textId="77777777" w:rsidR="0099551A" w:rsidRDefault="0099551A" w:rsidP="0099551A">
      <w:pPr>
        <w:spacing w:after="0" w:line="480" w:lineRule="auto"/>
        <w:ind w:left="720"/>
        <w:rPr>
          <w:rFonts w:ascii="Times New Roman" w:eastAsia="Times New Roman" w:hAnsi="Times New Roman" w:cs="Times New Roman"/>
          <w:sz w:val="24"/>
          <w:szCs w:val="24"/>
        </w:rPr>
      </w:pPr>
      <w:r w:rsidRPr="00C513BB">
        <w:rPr>
          <w:rFonts w:ascii="Times New Roman" w:eastAsia="Times New Roman" w:hAnsi="Times New Roman" w:cs="Times New Roman"/>
          <w:sz w:val="24"/>
          <w:szCs w:val="24"/>
        </w:rPr>
        <w:t xml:space="preserve">investment and financing policies. </w:t>
      </w:r>
      <w:r>
        <w:rPr>
          <w:rFonts w:ascii="Times New Roman" w:eastAsia="Times New Roman" w:hAnsi="Times New Roman" w:cs="Times New Roman"/>
          <w:i/>
          <w:iCs/>
          <w:sz w:val="24"/>
          <w:szCs w:val="24"/>
        </w:rPr>
        <w:t>T</w:t>
      </w:r>
      <w:r w:rsidRPr="00C513BB">
        <w:rPr>
          <w:rFonts w:ascii="Times New Roman" w:eastAsia="Times New Roman" w:hAnsi="Times New Roman" w:cs="Times New Roman"/>
          <w:i/>
          <w:iCs/>
          <w:sz w:val="24"/>
          <w:szCs w:val="24"/>
        </w:rPr>
        <w:t>he Journal of Finance</w:t>
      </w:r>
      <w:r w:rsidRPr="00C513BB">
        <w:rPr>
          <w:rFonts w:ascii="Times New Roman" w:eastAsia="Times New Roman" w:hAnsi="Times New Roman" w:cs="Times New Roman"/>
          <w:sz w:val="24"/>
          <w:szCs w:val="24"/>
        </w:rPr>
        <w:t xml:space="preserve">, </w:t>
      </w:r>
      <w:r w:rsidRPr="00C513BB">
        <w:rPr>
          <w:rFonts w:ascii="Times New Roman" w:eastAsia="Times New Roman" w:hAnsi="Times New Roman" w:cs="Times New Roman"/>
          <w:i/>
          <w:iCs/>
          <w:sz w:val="24"/>
          <w:szCs w:val="24"/>
        </w:rPr>
        <w:t>48</w:t>
      </w:r>
      <w:r w:rsidRPr="00C513BB">
        <w:rPr>
          <w:rFonts w:ascii="Times New Roman" w:eastAsia="Times New Roman" w:hAnsi="Times New Roman" w:cs="Times New Roman"/>
          <w:sz w:val="24"/>
          <w:szCs w:val="24"/>
        </w:rPr>
        <w:t>(5), 1629-1658.</w:t>
      </w:r>
    </w:p>
    <w:p w14:paraId="4BA08B5A" w14:textId="77777777" w:rsidR="0099551A" w:rsidRDefault="0099551A" w:rsidP="0099551A">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Gallagher, D, &amp; Herman, G. (2021). </w:t>
      </w:r>
      <w:r w:rsidRPr="003214AC">
        <w:rPr>
          <w:rFonts w:ascii="Times New Roman" w:eastAsia="Times New Roman" w:hAnsi="Times New Roman" w:cs="Times New Roman"/>
          <w:i/>
          <w:iCs/>
          <w:sz w:val="24"/>
          <w:szCs w:val="24"/>
        </w:rPr>
        <w:t>The greening of super can't come at fund members' expense</w:t>
      </w:r>
      <w:r>
        <w:rPr>
          <w:rFonts w:ascii="Times New Roman" w:eastAsia="Times New Roman" w:hAnsi="Times New Roman" w:cs="Times New Roman"/>
          <w:sz w:val="24"/>
          <w:szCs w:val="24"/>
        </w:rPr>
        <w:t xml:space="preserve">. </w:t>
      </w:r>
    </w:p>
    <w:p w14:paraId="690EE74B" w14:textId="77777777" w:rsidR="0099551A" w:rsidRDefault="0099551A" w:rsidP="0099551A">
      <w:pPr>
        <w:spacing w:after="0"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Australian Financial Review</w:t>
      </w:r>
    </w:p>
    <w:p w14:paraId="7BCC0740" w14:textId="77777777" w:rsidR="0099551A" w:rsidRPr="00C513BB" w:rsidRDefault="0099551A" w:rsidP="0099551A">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Hewett, J. (2021). </w:t>
      </w:r>
      <w:r w:rsidRPr="003214AC">
        <w:rPr>
          <w:rFonts w:ascii="Times New Roman" w:eastAsia="Times New Roman" w:hAnsi="Times New Roman" w:cs="Times New Roman"/>
          <w:i/>
          <w:iCs/>
          <w:sz w:val="24"/>
          <w:szCs w:val="24"/>
        </w:rPr>
        <w:t>Forrest lays out green-dream targets</w:t>
      </w:r>
      <w:r>
        <w:rPr>
          <w:rFonts w:ascii="Times New Roman" w:eastAsia="Times New Roman" w:hAnsi="Times New Roman" w:cs="Times New Roman"/>
          <w:sz w:val="24"/>
          <w:szCs w:val="24"/>
        </w:rPr>
        <w:t>. The Australian Financial Review</w:t>
      </w:r>
    </w:p>
    <w:p w14:paraId="5D3F2EBD" w14:textId="77777777" w:rsidR="0099551A" w:rsidRPr="00C513BB" w:rsidRDefault="0099551A" w:rsidP="0099551A">
      <w:pPr>
        <w:pBdr>
          <w:bottom w:val="single" w:sz="6" w:space="1" w:color="auto"/>
        </w:pBdr>
        <w:spacing w:after="0" w:line="480" w:lineRule="auto"/>
        <w:jc w:val="center"/>
        <w:rPr>
          <w:rFonts w:ascii="Times New Roman" w:eastAsia="Times New Roman" w:hAnsi="Times New Roman" w:cs="Times New Roman"/>
          <w:vanish/>
          <w:sz w:val="24"/>
          <w:szCs w:val="24"/>
        </w:rPr>
      </w:pPr>
      <w:r w:rsidRPr="00C513BB">
        <w:rPr>
          <w:rFonts w:ascii="Times New Roman" w:eastAsia="Times New Roman" w:hAnsi="Times New Roman" w:cs="Times New Roman"/>
          <w:vanish/>
          <w:sz w:val="24"/>
          <w:szCs w:val="24"/>
        </w:rPr>
        <w:t>Top of Form</w:t>
      </w:r>
    </w:p>
    <w:p w14:paraId="5BF0F8AD" w14:textId="77777777" w:rsidR="0099551A" w:rsidRDefault="0099551A" w:rsidP="0099551A">
      <w:pPr>
        <w:spacing w:after="0" w:line="480" w:lineRule="auto"/>
        <w:rPr>
          <w:rFonts w:ascii="Times New Roman" w:eastAsia="Times New Roman" w:hAnsi="Times New Roman" w:cs="Times New Roman"/>
          <w:sz w:val="24"/>
          <w:szCs w:val="24"/>
        </w:rPr>
      </w:pPr>
      <w:r w:rsidRPr="00C513BB">
        <w:rPr>
          <w:rFonts w:ascii="Times New Roman" w:eastAsia="Times New Roman" w:hAnsi="Times New Roman" w:cs="Times New Roman"/>
          <w:sz w:val="24"/>
          <w:szCs w:val="24"/>
        </w:rPr>
        <w:t xml:space="preserve">Hull, J. (2018). </w:t>
      </w:r>
      <w:r w:rsidRPr="00C513BB">
        <w:rPr>
          <w:rFonts w:ascii="Times New Roman" w:eastAsia="Times New Roman" w:hAnsi="Times New Roman" w:cs="Times New Roman"/>
          <w:i/>
          <w:iCs/>
          <w:sz w:val="24"/>
          <w:szCs w:val="24"/>
        </w:rPr>
        <w:t>Options, futures, and other derivatives</w:t>
      </w:r>
      <w:r w:rsidRPr="00C513BB">
        <w:rPr>
          <w:rFonts w:ascii="Times New Roman" w:eastAsia="Times New Roman" w:hAnsi="Times New Roman" w:cs="Times New Roman"/>
          <w:sz w:val="24"/>
          <w:szCs w:val="24"/>
        </w:rPr>
        <w:t>. New York, NY: Pearson</w:t>
      </w:r>
    </w:p>
    <w:p w14:paraId="4680F3E4" w14:textId="77777777" w:rsidR="0099551A" w:rsidRDefault="0099551A" w:rsidP="0099551A">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McDonald-Smith, A., &amp; Ker, P. (2021). </w:t>
      </w:r>
      <w:r w:rsidRPr="003214AC">
        <w:rPr>
          <w:rFonts w:ascii="Times New Roman" w:eastAsia="Times New Roman" w:hAnsi="Times New Roman" w:cs="Times New Roman"/>
          <w:i/>
          <w:iCs/>
          <w:sz w:val="24"/>
          <w:szCs w:val="24"/>
        </w:rPr>
        <w:t>Woodside at a disadvantage in ESG terms: Governance</w:t>
      </w:r>
      <w:r>
        <w:rPr>
          <w:rFonts w:ascii="Times New Roman" w:eastAsia="Times New Roman" w:hAnsi="Times New Roman" w:cs="Times New Roman"/>
          <w:sz w:val="24"/>
          <w:szCs w:val="24"/>
        </w:rPr>
        <w:t xml:space="preserve">. </w:t>
      </w:r>
    </w:p>
    <w:p w14:paraId="5C195302" w14:textId="77777777" w:rsidR="0099551A" w:rsidRDefault="0099551A" w:rsidP="0099551A">
      <w:pPr>
        <w:spacing w:after="0" w:line="48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Australian Financial Review</w:t>
      </w:r>
    </w:p>
    <w:p w14:paraId="5292641E" w14:textId="77777777" w:rsidR="0099551A" w:rsidRDefault="0099551A" w:rsidP="0099551A">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Thomson, J. (2021). </w:t>
      </w:r>
      <w:r w:rsidRPr="00D64787">
        <w:rPr>
          <w:rFonts w:ascii="Times New Roman" w:eastAsia="Times New Roman" w:hAnsi="Times New Roman" w:cs="Times New Roman"/>
          <w:i/>
          <w:iCs/>
          <w:sz w:val="24"/>
          <w:szCs w:val="24"/>
        </w:rPr>
        <w:t>D-Day looming for iron ore investors</w:t>
      </w:r>
      <w:r>
        <w:rPr>
          <w:rFonts w:ascii="Times New Roman" w:eastAsia="Times New Roman" w:hAnsi="Times New Roman" w:cs="Times New Roman"/>
          <w:sz w:val="24"/>
          <w:szCs w:val="24"/>
        </w:rPr>
        <w:t>. The Australian Financial Review.</w:t>
      </w:r>
    </w:p>
    <w:p w14:paraId="5517BE6B" w14:textId="77777777" w:rsidR="0099551A" w:rsidRPr="00C513BB" w:rsidRDefault="0099551A" w:rsidP="0099551A">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Thomson, J. (2021). </w:t>
      </w:r>
      <w:r w:rsidRPr="00D64787">
        <w:rPr>
          <w:rFonts w:ascii="Times New Roman" w:eastAsia="Times New Roman" w:hAnsi="Times New Roman" w:cs="Times New Roman"/>
          <w:i/>
          <w:iCs/>
          <w:sz w:val="24"/>
          <w:szCs w:val="24"/>
        </w:rPr>
        <w:t>BHP on eve of company-shaking shift</w:t>
      </w:r>
      <w:r>
        <w:rPr>
          <w:rFonts w:ascii="Times New Roman" w:eastAsia="Times New Roman" w:hAnsi="Times New Roman" w:cs="Times New Roman"/>
          <w:sz w:val="24"/>
          <w:szCs w:val="24"/>
        </w:rPr>
        <w:t>. The Australian Financial Review</w:t>
      </w:r>
    </w:p>
    <w:p w14:paraId="0AF101D1" w14:textId="77777777" w:rsidR="0099551A" w:rsidRPr="00C513BB" w:rsidRDefault="0099551A" w:rsidP="0099551A">
      <w:pPr>
        <w:pBdr>
          <w:top w:val="single" w:sz="6" w:space="1" w:color="auto"/>
        </w:pBdr>
        <w:spacing w:after="0" w:line="480" w:lineRule="auto"/>
        <w:jc w:val="center"/>
        <w:rPr>
          <w:rFonts w:ascii="Times New Roman" w:eastAsia="Times New Roman" w:hAnsi="Times New Roman" w:cs="Times New Roman"/>
          <w:vanish/>
          <w:sz w:val="24"/>
          <w:szCs w:val="24"/>
        </w:rPr>
      </w:pPr>
      <w:r>
        <w:rPr>
          <w:rFonts w:ascii="Times New Roman" w:eastAsia="Times New Roman" w:hAnsi="Times New Roman" w:cs="Times New Roman"/>
          <w:vanish/>
          <w:sz w:val="24"/>
          <w:szCs w:val="24"/>
        </w:rPr>
        <w:t>M</w:t>
      </w:r>
      <w:r w:rsidRPr="00C513BB">
        <w:rPr>
          <w:rFonts w:ascii="Times New Roman" w:eastAsia="Times New Roman" w:hAnsi="Times New Roman" w:cs="Times New Roman"/>
          <w:vanish/>
          <w:sz w:val="24"/>
          <w:szCs w:val="24"/>
        </w:rPr>
        <w:t>Bottom of Form</w:t>
      </w:r>
    </w:p>
    <w:p w14:paraId="5ADF5477" w14:textId="77777777" w:rsidR="0099551A" w:rsidRPr="00C513BB" w:rsidRDefault="0099551A" w:rsidP="0099551A">
      <w:pPr>
        <w:spacing w:after="0" w:line="480" w:lineRule="auto"/>
        <w:rPr>
          <w:rFonts w:ascii="Times New Roman" w:eastAsia="Times New Roman" w:hAnsi="Times New Roman" w:cs="Times New Roman"/>
          <w:sz w:val="24"/>
          <w:szCs w:val="24"/>
        </w:rPr>
      </w:pPr>
    </w:p>
    <w:p w14:paraId="44B83325" w14:textId="77777777" w:rsidR="0099551A" w:rsidRPr="00C513BB" w:rsidRDefault="0099551A" w:rsidP="0099551A">
      <w:pPr>
        <w:spacing w:line="480" w:lineRule="auto"/>
        <w:rPr>
          <w:rFonts w:ascii="Times New Roman" w:hAnsi="Times New Roman" w:cs="Times New Roman"/>
          <w:sz w:val="24"/>
          <w:szCs w:val="24"/>
        </w:rPr>
      </w:pPr>
    </w:p>
    <w:p w14:paraId="77B1826E" w14:textId="77777777" w:rsidR="00877194" w:rsidRPr="004063C5" w:rsidRDefault="00877194" w:rsidP="0099551A">
      <w:pPr>
        <w:spacing w:after="0" w:line="480" w:lineRule="auto"/>
        <w:rPr>
          <w:rFonts w:ascii="Times New Roman" w:hAnsi="Times New Roman" w:cs="Times New Roman"/>
          <w:sz w:val="24"/>
          <w:szCs w:val="24"/>
          <w:lang w:val="en-GB"/>
        </w:rPr>
      </w:pPr>
    </w:p>
    <w:p w14:paraId="4D450FC4" w14:textId="5948D5AF" w:rsidR="00CB65F7" w:rsidRPr="004063C5" w:rsidRDefault="00CB65F7" w:rsidP="00DA527D">
      <w:pPr>
        <w:spacing w:after="0" w:line="480" w:lineRule="auto"/>
        <w:rPr>
          <w:rFonts w:ascii="Times New Roman" w:hAnsi="Times New Roman" w:cs="Times New Roman"/>
          <w:sz w:val="24"/>
          <w:szCs w:val="24"/>
          <w:lang w:val="en-GB"/>
        </w:rPr>
      </w:pPr>
    </w:p>
    <w:sectPr w:rsidR="00CB65F7" w:rsidRPr="004063C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DF2013" w14:textId="77777777" w:rsidR="00633CDC" w:rsidRDefault="00633CDC" w:rsidP="00DA527D">
      <w:pPr>
        <w:spacing w:after="0" w:line="240" w:lineRule="auto"/>
      </w:pPr>
      <w:r>
        <w:separator/>
      </w:r>
    </w:p>
  </w:endnote>
  <w:endnote w:type="continuationSeparator" w:id="0">
    <w:p w14:paraId="3C9A6EE0" w14:textId="77777777" w:rsidR="00633CDC" w:rsidRDefault="00633CDC" w:rsidP="00DA52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65F0DA" w14:textId="77777777" w:rsidR="00633CDC" w:rsidRDefault="00633CDC" w:rsidP="00DA527D">
      <w:pPr>
        <w:spacing w:after="0" w:line="240" w:lineRule="auto"/>
      </w:pPr>
      <w:r>
        <w:separator/>
      </w:r>
    </w:p>
  </w:footnote>
  <w:footnote w:type="continuationSeparator" w:id="0">
    <w:p w14:paraId="0BA71B7B" w14:textId="77777777" w:rsidR="00633CDC" w:rsidRDefault="00633CDC" w:rsidP="00DA52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394527"/>
      <w:docPartObj>
        <w:docPartGallery w:val="Page Numbers (Top of Page)"/>
        <w:docPartUnique/>
      </w:docPartObj>
    </w:sdtPr>
    <w:sdtEndPr>
      <w:rPr>
        <w:noProof/>
      </w:rPr>
    </w:sdtEndPr>
    <w:sdtContent>
      <w:p w14:paraId="5D07C01E" w14:textId="0867304F" w:rsidR="00DA527D" w:rsidRDefault="00DA527D">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667DB71" w14:textId="77777777" w:rsidR="00DA527D" w:rsidRDefault="00DA527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43C"/>
    <w:rsid w:val="00057586"/>
    <w:rsid w:val="00066232"/>
    <w:rsid w:val="00093F16"/>
    <w:rsid w:val="000A6CF9"/>
    <w:rsid w:val="000B11A2"/>
    <w:rsid w:val="000C0111"/>
    <w:rsid w:val="00175004"/>
    <w:rsid w:val="001C18E2"/>
    <w:rsid w:val="002036FA"/>
    <w:rsid w:val="00207D3D"/>
    <w:rsid w:val="00282BE2"/>
    <w:rsid w:val="00285B6A"/>
    <w:rsid w:val="002C4A3F"/>
    <w:rsid w:val="002D3AC0"/>
    <w:rsid w:val="00346588"/>
    <w:rsid w:val="003A2CD4"/>
    <w:rsid w:val="004063C5"/>
    <w:rsid w:val="00424D17"/>
    <w:rsid w:val="00433D49"/>
    <w:rsid w:val="004520AE"/>
    <w:rsid w:val="00476617"/>
    <w:rsid w:val="0049733F"/>
    <w:rsid w:val="00511D4F"/>
    <w:rsid w:val="005518F1"/>
    <w:rsid w:val="00560474"/>
    <w:rsid w:val="00562A3D"/>
    <w:rsid w:val="005672E4"/>
    <w:rsid w:val="005C3D92"/>
    <w:rsid w:val="00601788"/>
    <w:rsid w:val="00633CDC"/>
    <w:rsid w:val="006C0D82"/>
    <w:rsid w:val="006E0C5D"/>
    <w:rsid w:val="006F6C70"/>
    <w:rsid w:val="00722A4A"/>
    <w:rsid w:val="00727F9B"/>
    <w:rsid w:val="00766A7D"/>
    <w:rsid w:val="00786260"/>
    <w:rsid w:val="007A1D1D"/>
    <w:rsid w:val="007A6682"/>
    <w:rsid w:val="007B0935"/>
    <w:rsid w:val="007D34D8"/>
    <w:rsid w:val="007E10D6"/>
    <w:rsid w:val="00833977"/>
    <w:rsid w:val="00850B7D"/>
    <w:rsid w:val="00855A11"/>
    <w:rsid w:val="00875016"/>
    <w:rsid w:val="00877194"/>
    <w:rsid w:val="008A380E"/>
    <w:rsid w:val="008E5D03"/>
    <w:rsid w:val="008F6EA1"/>
    <w:rsid w:val="0091279A"/>
    <w:rsid w:val="00943A5A"/>
    <w:rsid w:val="0099551A"/>
    <w:rsid w:val="009C530B"/>
    <w:rsid w:val="00A802E4"/>
    <w:rsid w:val="00AB132D"/>
    <w:rsid w:val="00B2553F"/>
    <w:rsid w:val="00B5777A"/>
    <w:rsid w:val="00B57E3A"/>
    <w:rsid w:val="00BC2B3F"/>
    <w:rsid w:val="00BD02C0"/>
    <w:rsid w:val="00BD0FB1"/>
    <w:rsid w:val="00C15E2B"/>
    <w:rsid w:val="00C21299"/>
    <w:rsid w:val="00C25DB9"/>
    <w:rsid w:val="00C30567"/>
    <w:rsid w:val="00C80F79"/>
    <w:rsid w:val="00CB1A75"/>
    <w:rsid w:val="00CB65F7"/>
    <w:rsid w:val="00CB7B75"/>
    <w:rsid w:val="00CD1F7F"/>
    <w:rsid w:val="00CF608A"/>
    <w:rsid w:val="00CF7675"/>
    <w:rsid w:val="00D044E6"/>
    <w:rsid w:val="00D45B52"/>
    <w:rsid w:val="00DA527D"/>
    <w:rsid w:val="00DB03C4"/>
    <w:rsid w:val="00DE3E66"/>
    <w:rsid w:val="00DE7949"/>
    <w:rsid w:val="00E03937"/>
    <w:rsid w:val="00E067A7"/>
    <w:rsid w:val="00E611B0"/>
    <w:rsid w:val="00E91575"/>
    <w:rsid w:val="00EC59AD"/>
    <w:rsid w:val="00ED1795"/>
    <w:rsid w:val="00ED2CE6"/>
    <w:rsid w:val="00F2043C"/>
    <w:rsid w:val="00F21354"/>
    <w:rsid w:val="00F75AEF"/>
    <w:rsid w:val="00F86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E4E97"/>
  <w15:chartTrackingRefBased/>
  <w15:docId w15:val="{D22FC0E9-0DED-4476-AD61-238205166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067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DefaultParagraphFont"/>
    <w:rsid w:val="00093F16"/>
  </w:style>
  <w:style w:type="paragraph" w:styleId="Header">
    <w:name w:val="header"/>
    <w:basedOn w:val="Normal"/>
    <w:link w:val="HeaderChar"/>
    <w:uiPriority w:val="99"/>
    <w:unhideWhenUsed/>
    <w:rsid w:val="00DA52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527D"/>
  </w:style>
  <w:style w:type="paragraph" w:styleId="Footer">
    <w:name w:val="footer"/>
    <w:basedOn w:val="Normal"/>
    <w:link w:val="FooterChar"/>
    <w:uiPriority w:val="99"/>
    <w:unhideWhenUsed/>
    <w:rsid w:val="00DA52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52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1256148">
      <w:bodyDiv w:val="1"/>
      <w:marLeft w:val="0"/>
      <w:marRight w:val="0"/>
      <w:marTop w:val="0"/>
      <w:marBottom w:val="0"/>
      <w:divBdr>
        <w:top w:val="none" w:sz="0" w:space="0" w:color="auto"/>
        <w:left w:val="none" w:sz="0" w:space="0" w:color="auto"/>
        <w:bottom w:val="none" w:sz="0" w:space="0" w:color="auto"/>
        <w:right w:val="none" w:sz="0" w:space="0" w:color="auto"/>
      </w:divBdr>
    </w:div>
    <w:div w:id="774791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C9A144-DA15-4C16-90F5-1C2A7FB134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460</TotalTime>
  <Pages>9</Pages>
  <Words>2234</Words>
  <Characters>12734</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61</cp:revision>
  <dcterms:created xsi:type="dcterms:W3CDTF">2021-10-04T06:40:00Z</dcterms:created>
  <dcterms:modified xsi:type="dcterms:W3CDTF">2021-10-07T07:09:00Z</dcterms:modified>
</cp:coreProperties>
</file>