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581C" w:rsidRDefault="00E3581C" w:rsidP="00F71B07">
      <w:pPr>
        <w:jc w:val="center"/>
      </w:pPr>
    </w:p>
    <w:p w:rsidR="00E3581C" w:rsidRDefault="00E3581C" w:rsidP="00F71B07">
      <w:pPr>
        <w:jc w:val="center"/>
      </w:pPr>
    </w:p>
    <w:p w:rsidR="00E3581C" w:rsidRDefault="00E3581C" w:rsidP="00F71B07">
      <w:pPr>
        <w:jc w:val="center"/>
      </w:pPr>
    </w:p>
    <w:p w:rsidR="00E3581C" w:rsidRDefault="00E3581C" w:rsidP="00F71B07">
      <w:pPr>
        <w:jc w:val="center"/>
      </w:pPr>
    </w:p>
    <w:p w:rsidR="00E3581C" w:rsidRDefault="00FF6688" w:rsidP="00F71B07">
      <w:pPr>
        <w:jc w:val="center"/>
      </w:pPr>
      <w:r w:rsidRPr="00FF6688">
        <w:t xml:space="preserve">Book </w:t>
      </w:r>
      <w:r w:rsidR="00E3581C" w:rsidRPr="00E3581C">
        <w:t>Analysis</w:t>
      </w:r>
      <w:r>
        <w:t>: “</w:t>
      </w:r>
      <w:r w:rsidRPr="00FF6688">
        <w:t>The Most Political Activity in America</w:t>
      </w:r>
      <w:r>
        <w:t xml:space="preserve">” </w:t>
      </w:r>
      <w:r w:rsidR="00F20E31">
        <w:t xml:space="preserve">by </w:t>
      </w:r>
      <w:r w:rsidR="00F20E31" w:rsidRPr="00F20E31">
        <w:t>Charles S. Bullock</w:t>
      </w:r>
    </w:p>
    <w:p w:rsidR="00E3581C" w:rsidRDefault="00E3581C" w:rsidP="00F71B07">
      <w:pPr>
        <w:jc w:val="center"/>
      </w:pPr>
    </w:p>
    <w:p w:rsidR="00E3581C" w:rsidRDefault="00E3581C" w:rsidP="00F71B07">
      <w:pPr>
        <w:jc w:val="center"/>
      </w:pPr>
    </w:p>
    <w:p w:rsidR="00E3581C" w:rsidRDefault="00E3581C" w:rsidP="00F71B07">
      <w:pPr>
        <w:jc w:val="center"/>
      </w:pPr>
      <w:r>
        <w:t>Name</w:t>
      </w:r>
    </w:p>
    <w:p w:rsidR="00B049B7" w:rsidRDefault="00B049B7" w:rsidP="00F71B07">
      <w:pPr>
        <w:jc w:val="center"/>
      </w:pPr>
      <w:r>
        <w:t>Course</w:t>
      </w:r>
    </w:p>
    <w:p w:rsidR="00B049B7" w:rsidRDefault="00B049B7" w:rsidP="00F71B07">
      <w:pPr>
        <w:jc w:val="center"/>
      </w:pPr>
      <w:r>
        <w:t>Professor</w:t>
      </w:r>
    </w:p>
    <w:p w:rsidR="00B049B7" w:rsidRDefault="00B049B7" w:rsidP="00F71B07">
      <w:pPr>
        <w:jc w:val="center"/>
      </w:pPr>
      <w:r>
        <w:t>Date</w:t>
      </w:r>
    </w:p>
    <w:p w:rsidR="00E3581C" w:rsidRDefault="00E3581C">
      <w:r>
        <w:br w:type="page"/>
      </w:r>
    </w:p>
    <w:p w:rsidR="00EF6406" w:rsidRDefault="00F070E7" w:rsidP="00F71B07">
      <w:pPr>
        <w:jc w:val="center"/>
      </w:pPr>
      <w:r>
        <w:lastRenderedPageBreak/>
        <w:t>Book Analysis</w:t>
      </w:r>
    </w:p>
    <w:p w:rsidR="00F070E7" w:rsidRDefault="00F070E7" w:rsidP="00F070E7">
      <w:pPr>
        <w:rPr>
          <w:b/>
        </w:rPr>
      </w:pPr>
      <w:r>
        <w:rPr>
          <w:b/>
        </w:rPr>
        <w:t>Introduction</w:t>
      </w:r>
    </w:p>
    <w:p w:rsidR="007A52BE" w:rsidRPr="00F070E7" w:rsidRDefault="00EC0AE5" w:rsidP="00D64722">
      <w:pPr>
        <w:ind w:firstLine="720"/>
      </w:pPr>
      <w:r w:rsidRPr="00EC0AE5">
        <w:t>Redistricting is a political process that involves redrawing the district boundaries to ensure that every congressional or state legislative representative has a single district to represent. Redistricting helps to redraw the electoral district boundaries in the United States, and the process repeats itself every ten years (Bullock 2021, pp. 1-98). This version of Charles Bullock’s “Redistricting: the most political activity in America” was published by Rowman and Littlefield publisher in 2021. The book comprises seven chapters that are based on redistricting teachings. Specifically, the book provides how redistricting is done and the impacts of doing it. This analysis paper seeks to analyze the first three chapters of the book. The paper aims to break down each of the three chapters by identifying the key points and describing how they support the claims that redistricting is indeed the most political activity in the politics of the United States.</w:t>
      </w:r>
    </w:p>
    <w:p w:rsidR="000774C3" w:rsidRPr="000774C3" w:rsidRDefault="000774C3" w:rsidP="00D64722">
      <w:pPr>
        <w:ind w:firstLine="720"/>
        <w:jc w:val="center"/>
        <w:rPr>
          <w:b/>
        </w:rPr>
      </w:pPr>
      <w:r w:rsidRPr="000774C3">
        <w:rPr>
          <w:b/>
        </w:rPr>
        <w:t>Chapter One Analysis</w:t>
      </w:r>
    </w:p>
    <w:p w:rsidR="003A07DF" w:rsidRDefault="003A07DF" w:rsidP="003A07DF">
      <w:pPr>
        <w:ind w:firstLine="720"/>
      </w:pPr>
      <w:r>
        <w:t xml:space="preserve">Chapter one covers the introductory part, which focuses on reasons why redistricting is important in America. One of the key points well-described in chapter one is the individual responsible for the redistricting process in the United States. According to Bullock (2021), designing and redrawing the district boundaries lies in the hands of the legislature in most states. In this scenario, the state legislature plays a key role in drawing the electoral district boundaries for both the congressional and legislative authorities. In Texas, for instance, the legislature is responsible for drawing both the congressional and legislative district boundaries. However, giving the legislature the power to redraw the districts result in bias and power maintenance </w:t>
      </w:r>
      <w:r>
        <w:lastRenderedPageBreak/>
        <w:t>across various states because the majority party is likely to draw the lines that favor them in incoming elections. This explains why redistricting has a significant impact on the election outcome in Texas and North Carolina.</w:t>
      </w:r>
    </w:p>
    <w:p w:rsidR="003A07DF" w:rsidRDefault="003A07DF" w:rsidP="003A07DF">
      <w:pPr>
        <w:ind w:firstLine="720"/>
      </w:pPr>
      <w:r>
        <w:t>Based on the book, some states have independent commissions that play a key role in redrawing the district boundaries (Bullock 2021, pp. 1-98). The special commissions consider the state’s current population and evaluate if representatives match the population. The states such as California, Washington, and Arizona have independent bodies that carry out the redistricting process every ten years. The independent commissions are truly the best options because they do not have political interest, making them fair in the redistricting process compared to the legislature approach. These commissions comprise the ordinary citizens rather than politicians who redraw the district borders based on the political needs of the citizens and not the political interest of politicians. Some states have special commissions that act as a backup in instances of legislative deadlock (Bullock 2021, pp. 1-98). This scenario manifested itself in Texas in 2001 during the state’s legislative deadlock. A five-member legislative redistricting board carried out the redistricting process. However, the outcome favored the republicans because four of the five members were Republicans.</w:t>
      </w:r>
    </w:p>
    <w:p w:rsidR="003A07DF" w:rsidRDefault="003A07DF" w:rsidP="003A07DF">
      <w:pPr>
        <w:ind w:firstLine="720"/>
      </w:pPr>
      <w:r>
        <w:t xml:space="preserve">According to Bullock (2021, pp. 1-98), some states allow the Governor to draw the district boundaries but require the legislature’s approval. In other states, the court carries out the redistricting process if the backup commissions fail to conduct the process within the specified time limit (Bullock 2021, pp. 1-98). In such scenarios, the court draws the district lines itself or assigns the duty to an external body that acts on behalf of the court. The state of Florida was a beneficiary of the court action in 1992 when the legislature failed to draw the congressional </w:t>
      </w:r>
      <w:r>
        <w:lastRenderedPageBreak/>
        <w:t>district map in time. The court assigned the duty to a consultant law professor, who used three parties’ plans presented in the litigation to draw the final district boundaries.</w:t>
      </w:r>
    </w:p>
    <w:p w:rsidR="003A07DF" w:rsidRDefault="003A07DF" w:rsidP="003A07DF">
      <w:pPr>
        <w:ind w:firstLine="720"/>
      </w:pPr>
      <w:r>
        <w:t>Another key point well-addressed in chapter one is gerrymandering, which is a product of redistricting. Gerrymandering refers to the manipulation of the electoral district boundaries to favor one political party over the other (Bullock, 2021, pp. 1-98). The main purpose is usually to maintain or change the political superiority in American states. According to the book, the districting format determines how the votes result in political seats in the United States. The redistricting format used indeed makes some votes more valuable than others during elections. Gerrymandering allows the party with fewer voters to win the majority of the seats by redrawing the electoral district boundaries (Bullock, 2021, pp. 1-98). The party with fewer voters packs the other party’s supporters into few districts dominated by the party with majority voters while keenly distributing their few voters across most districts. This provides a political advantage to the party with fewer voters, which helps them to win the majority of the seats by a narrow margin.</w:t>
      </w:r>
    </w:p>
    <w:p w:rsidR="003A07DF" w:rsidRDefault="003A07DF" w:rsidP="003A07DF">
      <w:pPr>
        <w:ind w:firstLine="720"/>
      </w:pPr>
      <w:r>
        <w:t>For the past five decades, redistricting has remained a key tool that controls the power in the United States. It plays a vital role in determining the election outcome, impacting congressional and states legislative and political dominance. For example, the Republicans won most seats in Texas and North Carolina because of the redistricting process that promoted the win through gerrymandering (Bullock, 2021, pp. 1-98). Based on the evidence obtained from the elections of the past five decades, redistricting is indeed a vital tool that assists in protecting or maintaining political power in various states. It’s also an effective tool that gives the parties with fewer supporters a political advantage to win a majority of the political seats in various states.</w:t>
      </w:r>
    </w:p>
    <w:p w:rsidR="003A07DF" w:rsidRDefault="003A07DF" w:rsidP="003A07DF">
      <w:pPr>
        <w:ind w:firstLine="720"/>
      </w:pPr>
      <w:r>
        <w:lastRenderedPageBreak/>
        <w:t>Another key point from the book is when redistricting is done in the United States. According to the book, the redistricting revolution of the 1960s requires the American states to redraw the district boundaries after every census (Bullock, 2021, pp. 1-98). The census occurs after every ten years, making redistricting a process that repeats itself every ten years. The aim of redistricting is to ensure that every district in each state is well represented with respect to the current population. Making redistricting a continuous process after every census helps achieve the needed political representation in both the congressional and legislative houses. Redistricting is a critical process that requires adequate time to make informed decisions, therefore conducting the process after ten years lowers the risk of making controversial decisions in the redistricting process.</w:t>
      </w:r>
    </w:p>
    <w:p w:rsidR="006344FC" w:rsidRDefault="003A07DF" w:rsidP="003A07DF">
      <w:pPr>
        <w:ind w:firstLine="720"/>
      </w:pPr>
      <w:r>
        <w:t>The importance of the census is another key factor that the book thoroughly addressed to describe redistricting.  The census plays a vital role in redistricting by determining whether districts can be increased or reduced in a state. The redrawing of boundaries is usually based on the outcome of the census; therefore, every state puts adequate measures to ensure an accurate number of people are obtained in every count (Bullock, 2021, pp. 1-98). The illegal immigrants in the U.S. evade the count, by all means, resulting from undercounting and underrepresentation of some communities in the redistricting process. The states dominated by the Democrats have a higher population of illegal immigrants compared to the Republican states. Former President Trump complained of losing the popular vote because of the illegal votes cast by the illegal immigrants in Democrat states. The poor counting in 1981 made Georgia and Indiana lose districts (Bullock, 2021, pp. 1-98). The population in New York and California made the two states acquire additional districts each. Census also helps in budget planning; therefore, poorly counted states receive a lower allocation that is not enough to address the needs of citizens.</w:t>
      </w:r>
    </w:p>
    <w:p w:rsidR="000774C3" w:rsidRDefault="000774C3" w:rsidP="000774C3">
      <w:pPr>
        <w:jc w:val="center"/>
        <w:rPr>
          <w:b/>
        </w:rPr>
      </w:pPr>
      <w:r w:rsidRPr="000774C3">
        <w:rPr>
          <w:b/>
        </w:rPr>
        <w:lastRenderedPageBreak/>
        <w:t>Chapter Two Analysis</w:t>
      </w:r>
    </w:p>
    <w:p w:rsidR="007F5EA5" w:rsidRDefault="007F5EA5" w:rsidP="007F5EA5">
      <w:pPr>
        <w:ind w:firstLine="720"/>
      </w:pPr>
      <w:r>
        <w:t>Chapter two of the book focuses on population equality, with particular attention given to the equality of the districts. Typically, a good redistricting process should aim to achieve equal representation of the communities in the congress and legislative houses. One of the key factors that chapter two addresses well is the criterion of achieving equality in the redistricting process. According to Bullock (2021, pp. 1-98), most states consider the communities of interest when drawing the district boundaries. In fact, the actual process is usually politicized by the leading political parties in America, with the main focus placed on protecting power rather than addressing the needs of the citizens. The redistricting process in the U.S. has a long history of focusing on the rural and urban districts, with the individuals responsible for drawing the district lines targeting a specific group of rural or urban dwellers. This has always led to the underrepresentation of communities that have lower representations in the state legislatures.</w:t>
      </w:r>
    </w:p>
    <w:p w:rsidR="007F5EA5" w:rsidRDefault="007F5EA5" w:rsidP="007F5EA5">
      <w:pPr>
        <w:ind w:firstLine="720"/>
      </w:pPr>
      <w:r>
        <w:t xml:space="preserve">A good redistricting process should always be fair and transparent, with all communities well-represented based on population ratios. In a past Court case challenging unequal representation of communities in Tennessee, the court discovered the impact of the unequal representation of people in overpopulated and less populated districts (Bullock, 2021, pp. 1-98). It was surprising to note that voters in overpopulated districts had less political influence due to underrepresentation, while voters in less populated districts had massive influence because of equal representation. The U.S. Supreme Court directed the states to take advantage of the Equal Protection Clause to ensure equal representation of individuals. The court urged the states to ban the irrational population differences as it was the cause of congressional and legislative underrepresentation (Bullock, 2021, pp. 1-98). The book uses three Supreme Court cases on fair </w:t>
      </w:r>
      <w:r>
        <w:lastRenderedPageBreak/>
        <w:t>redistricting and equal representation of communities to emphasize the importance of redistricting in the American political system.</w:t>
      </w:r>
    </w:p>
    <w:p w:rsidR="007F5EA5" w:rsidRDefault="007F5EA5" w:rsidP="007F5EA5">
      <w:pPr>
        <w:ind w:firstLine="720"/>
      </w:pPr>
      <w:r>
        <w:t>Another vital factor described in chapter two is the aspect of making the equality requirements more precise. According to the book, the Supreme Court follows the minimalist approach in delivering justice in the district representation cases before it. The court held in all the cases that unequal representation of the communities is intolerable but failed to provide a specific approach to achieve the “one person, one vote” policy (Bullock, 2021, pp. 1-98). The states shifted to the assistance of the cartographers to obtain help on achieving a standard approach to congressional and legislative district boundary drawings. States such as Missouri incurred higher costs in hiring the mapmakers and redrawing the district boundaries several times to achieve the acceptable population deviations. In addition to higher costs, frequent redrawing of the district boundaries weakens the relationship between the voters and their representatives, especially when the district boundary changes. The essence of making smaller population deviations was to split the large cities and counties into smaller sizes for easy gerrymandering.</w:t>
      </w:r>
    </w:p>
    <w:p w:rsidR="007F5EA5" w:rsidRDefault="007F5EA5" w:rsidP="007F5EA5">
      <w:pPr>
        <w:ind w:firstLine="720"/>
      </w:pPr>
      <w:r>
        <w:t xml:space="preserve">Approval of the population deviations below the congressional level is another key aspect that stands out from the book. Even after setting a policy that directed the states to focus on achieving congressional district equality, the Supreme Court approved the ten percent total deviation in the congressional plans of states (Bullock, 2021, pp. 1-98). This strategy seemed to contradict the earlier Court decision, which directed the jurisdictions to aim for zero deviation in congressional plans. After a series of court cases regarding equal representation, the Supreme Court made a decision that allowed states to aim for a five percent deviation above or below the </w:t>
      </w:r>
      <w:r>
        <w:lastRenderedPageBreak/>
        <w:t>standard congressional in states. The acceptance of the five percent deviation significantly helped states such as Georgia to address the deviation problem.</w:t>
      </w:r>
    </w:p>
    <w:p w:rsidR="00972EAC" w:rsidRPr="00F71B07" w:rsidRDefault="007F5EA5" w:rsidP="007F5EA5">
      <w:pPr>
        <w:ind w:firstLine="720"/>
      </w:pPr>
      <w:r>
        <w:t>The problems associated with equal population standards are matters of concern in this chapter. Numerous critics have been raised against the one person, one vote. The critics claim that equalizing populations among districts should not be a point of focus. According to Bullock (2021, pp. 1-98), aiming for an equal weight of votes should focus on voters’ equality, not population equality. Because of population equality, the voters in districts with a high population of children have a greater influence on the policy-making process than voters in districts with lower children populations, although the children do not vote. Prioritizing the needs of all citizens is more important than that of specific groups. States such as Texas have a higher population of illegal immigrants in districts bordering Mexico, but the district representatives remain the same as those of districts with few illegal immigrants (Bullock, 2021, pp. 1-98). Without adequate planning, population equality will remain a political controversy in the redistricting process. Redistricting thus remains an important political aspect that requires an integrated approach to make it efficient.</w:t>
      </w:r>
    </w:p>
    <w:p w:rsidR="00F3751F" w:rsidRPr="00F3751F" w:rsidRDefault="00F71B07" w:rsidP="00F3751F">
      <w:pPr>
        <w:jc w:val="center"/>
        <w:rPr>
          <w:b/>
        </w:rPr>
      </w:pPr>
      <w:r w:rsidRPr="00F3751F">
        <w:rPr>
          <w:b/>
        </w:rPr>
        <w:t xml:space="preserve">Chapter </w:t>
      </w:r>
      <w:r w:rsidR="00F3751F" w:rsidRPr="00F3751F">
        <w:rPr>
          <w:b/>
        </w:rPr>
        <w:t>Three Analysis</w:t>
      </w:r>
    </w:p>
    <w:p w:rsidR="003C3992" w:rsidRDefault="003C3992" w:rsidP="003C3992">
      <w:pPr>
        <w:ind w:firstLine="720"/>
      </w:pPr>
      <w:r>
        <w:t xml:space="preserve">Chapter three describes minorities and redistricting in the American states. It provides suitable approaches to treat the minority communities fairly when carrying out the redistricting process. The underrepresentation of ethnic minority groups in numerous states in the U.S. is a factor that is well addressed by the book. According to Bullock (2021, pp. 1-98), the pervasive underrepresentation of minority communities in America has a long history. Some states reduced the number of legislative seats in districts dominated by minority communities, thereby reducing the chances of equal representation of both the minority and majority communities in </w:t>
      </w:r>
      <w:r>
        <w:lastRenderedPageBreak/>
        <w:t>congressional and legislative assemblies. Increasing the number of the legislative seats in the metropolitan areas granted the African Americans the first-ever opportunity to be represented in the southern legislature after being left out in the rural district representation.</w:t>
      </w:r>
    </w:p>
    <w:p w:rsidR="003C3992" w:rsidRDefault="003C3992" w:rsidP="003C3992">
      <w:pPr>
        <w:ind w:firstLine="720"/>
      </w:pPr>
      <w:r>
        <w:t>The political barriers imposed against the blacks limited them from engaging in the political race. For example, the white legislators represented blacks in black-dominated districts due to the political sanction that barred the blacks from the polling stations. Introduction of the equally populated districts unfavored the blacks and other minority communities. Additionally, some states reduce the number of legislative seats during the redistricting by packing the minority groups in one district, thereby reducing their chances of being elected in other districts. The passage of the civil rights act significantly boosted the political representation of the previously disadvantaged minority communities.</w:t>
      </w:r>
    </w:p>
    <w:p w:rsidR="003C3992" w:rsidRDefault="003C3992" w:rsidP="003C3992">
      <w:pPr>
        <w:ind w:firstLine="720"/>
      </w:pPr>
      <w:r>
        <w:t>Section five is another key factor that clearly stands out in this chapter to address minorities and redistricting. The passage of the 1965 voting rights act improved black representation in the legislative assemblies by advocating for blacks’ voting rights (Bullock, 2021, pp. 1-98). The number of registered black voters rose significantly, increasing the opportunity for this minority group to compete for the legislative seats. The voting rights act required the states to meet the threshold of fulfilling the representation of minority communities for the Department of Justice (DOJ) and Supreme Court to approve the redistricting. The Supreme Court considered any jurisdiction proposal that denied the minority communities the right to register as voters or vote invalid and inapplicable in redistricting process. This marked a new era for the minorities as the voting rights act facilitated political equality.</w:t>
      </w:r>
    </w:p>
    <w:p w:rsidR="003C3992" w:rsidRDefault="003C3992" w:rsidP="003C3992">
      <w:pPr>
        <w:ind w:firstLine="720"/>
      </w:pPr>
      <w:r>
        <w:t xml:space="preserve">The other two key factors in chapter three of this book are retrogression and review of sections two and five. Based on retrogression, the Supreme Court had set a standard for </w:t>
      </w:r>
      <w:r>
        <w:lastRenderedPageBreak/>
        <w:t>evaluating the impact of new political plans on the political strength of the minority groups. The court emphasized that section five was designed to protect the civil rights of the minorities but cannot be used as an affirmative tool (Bullock, 2021, pp. 1-98). In other words, section five held that the jurisdiction plan must include the minority groups for it to be approved. Section five also did not impose any barriers to prevent the blacks from maximizing their political dominance, which could impact the redistricting process.</w:t>
      </w:r>
    </w:p>
    <w:p w:rsidR="00102260" w:rsidRDefault="003C3992" w:rsidP="003C3992">
      <w:pPr>
        <w:ind w:firstLine="720"/>
      </w:pPr>
      <w:r>
        <w:t>Section two was vital in challenging the unfair districting process and large population deviations. The review of sections two and five facilitated the application of affirmative action gerrymandering, which created an additional opportunity for the minority groups to be represented in the congressional and legislative assemblies (Bullock, 2021, pp. 1-98). The review helped prevent the need to seek the DOJ approval, making it easy to balance the districts for the majority and minority groups. The redistricting process became more fair and transparent as more districts were created to maximize the minority group’s representation in the congressional and legislative houses. In conclusion, redistricting is an important political activity in America because it controls communities’ political power and representation in the federal and state assemblies.</w:t>
      </w:r>
    </w:p>
    <w:p w:rsidR="001F5980" w:rsidRDefault="001F5980">
      <w:r>
        <w:br w:type="page"/>
      </w:r>
    </w:p>
    <w:p w:rsidR="001F5980" w:rsidRDefault="0027750D" w:rsidP="001F5980">
      <w:pPr>
        <w:ind w:left="720" w:hanging="720"/>
        <w:jc w:val="center"/>
      </w:pPr>
      <w:r>
        <w:lastRenderedPageBreak/>
        <w:t>Bibliography</w:t>
      </w:r>
    </w:p>
    <w:p w:rsidR="001F5980" w:rsidRDefault="0027750D" w:rsidP="0099459D">
      <w:pPr>
        <w:ind w:left="720" w:hanging="720"/>
      </w:pPr>
      <w:r w:rsidRPr="0027750D">
        <w:t>Bullock, Charles S. </w:t>
      </w:r>
      <w:r w:rsidRPr="0027750D">
        <w:rPr>
          <w:i/>
          <w:iCs/>
        </w:rPr>
        <w:t>Redistricting: The most political activity in America</w:t>
      </w:r>
      <w:r w:rsidRPr="0027750D">
        <w:t>. Rowman &amp; Littlefield Publishers, 2021.</w:t>
      </w:r>
      <w:bookmarkStart w:id="0" w:name="_GoBack"/>
      <w:bookmarkEnd w:id="0"/>
    </w:p>
    <w:sectPr w:rsidR="001F5980">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7D0B" w:rsidRDefault="00AB7D0B" w:rsidP="00586072">
      <w:pPr>
        <w:spacing w:after="0" w:line="240" w:lineRule="auto"/>
      </w:pPr>
      <w:r>
        <w:separator/>
      </w:r>
    </w:p>
  </w:endnote>
  <w:endnote w:type="continuationSeparator" w:id="0">
    <w:p w:rsidR="00AB7D0B" w:rsidRDefault="00AB7D0B" w:rsidP="005860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7D0B" w:rsidRDefault="00AB7D0B" w:rsidP="00586072">
      <w:pPr>
        <w:spacing w:after="0" w:line="240" w:lineRule="auto"/>
      </w:pPr>
      <w:r>
        <w:separator/>
      </w:r>
    </w:p>
  </w:footnote>
  <w:footnote w:type="continuationSeparator" w:id="0">
    <w:p w:rsidR="00AB7D0B" w:rsidRDefault="00AB7D0B" w:rsidP="0058607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39893549"/>
      <w:docPartObj>
        <w:docPartGallery w:val="Page Numbers (Top of Page)"/>
        <w:docPartUnique/>
      </w:docPartObj>
    </w:sdtPr>
    <w:sdtEndPr>
      <w:rPr>
        <w:noProof/>
      </w:rPr>
    </w:sdtEndPr>
    <w:sdtContent>
      <w:p w:rsidR="00586072" w:rsidRDefault="00586072">
        <w:pPr>
          <w:pStyle w:val="Header"/>
          <w:jc w:val="right"/>
        </w:pPr>
        <w:r>
          <w:t xml:space="preserve">Surname </w:t>
        </w:r>
        <w:r>
          <w:fldChar w:fldCharType="begin"/>
        </w:r>
        <w:r>
          <w:instrText xml:space="preserve"> PAGE   \* MERGEFORMAT </w:instrText>
        </w:r>
        <w:r>
          <w:fldChar w:fldCharType="separate"/>
        </w:r>
        <w:r w:rsidR="0027750D">
          <w:rPr>
            <w:noProof/>
          </w:rPr>
          <w:t>11</w:t>
        </w:r>
        <w:r>
          <w:rPr>
            <w:noProof/>
          </w:rPr>
          <w:fldChar w:fldCharType="end"/>
        </w:r>
      </w:p>
    </w:sdtContent>
  </w:sdt>
  <w:p w:rsidR="00586072" w:rsidRDefault="0058607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3623"/>
    <w:rsid w:val="00002CB4"/>
    <w:rsid w:val="000121FA"/>
    <w:rsid w:val="00017686"/>
    <w:rsid w:val="0003090D"/>
    <w:rsid w:val="000329FE"/>
    <w:rsid w:val="00053F1F"/>
    <w:rsid w:val="0006620A"/>
    <w:rsid w:val="000751B4"/>
    <w:rsid w:val="000774C3"/>
    <w:rsid w:val="0008565F"/>
    <w:rsid w:val="000977C4"/>
    <w:rsid w:val="000B0438"/>
    <w:rsid w:val="000B2A80"/>
    <w:rsid w:val="000B450A"/>
    <w:rsid w:val="000C347A"/>
    <w:rsid w:val="000E22DA"/>
    <w:rsid w:val="000F041D"/>
    <w:rsid w:val="000F2196"/>
    <w:rsid w:val="000F5EA2"/>
    <w:rsid w:val="00102260"/>
    <w:rsid w:val="00117988"/>
    <w:rsid w:val="0014347E"/>
    <w:rsid w:val="001534D6"/>
    <w:rsid w:val="00160F4B"/>
    <w:rsid w:val="0017463E"/>
    <w:rsid w:val="00175C2D"/>
    <w:rsid w:val="00175E54"/>
    <w:rsid w:val="001910AA"/>
    <w:rsid w:val="00192A21"/>
    <w:rsid w:val="001A4EAC"/>
    <w:rsid w:val="001B128F"/>
    <w:rsid w:val="001C444E"/>
    <w:rsid w:val="001C516D"/>
    <w:rsid w:val="001D1F8B"/>
    <w:rsid w:val="001E375A"/>
    <w:rsid w:val="001E6047"/>
    <w:rsid w:val="001F5980"/>
    <w:rsid w:val="00201135"/>
    <w:rsid w:val="00207546"/>
    <w:rsid w:val="00210B04"/>
    <w:rsid w:val="00223618"/>
    <w:rsid w:val="0022541D"/>
    <w:rsid w:val="00226F04"/>
    <w:rsid w:val="002276F1"/>
    <w:rsid w:val="002302AB"/>
    <w:rsid w:val="00234129"/>
    <w:rsid w:val="00251717"/>
    <w:rsid w:val="00254FA4"/>
    <w:rsid w:val="0027750D"/>
    <w:rsid w:val="0028064D"/>
    <w:rsid w:val="00285DAE"/>
    <w:rsid w:val="00286382"/>
    <w:rsid w:val="00294310"/>
    <w:rsid w:val="002A6A7A"/>
    <w:rsid w:val="002D380A"/>
    <w:rsid w:val="002E7E87"/>
    <w:rsid w:val="002F7B2B"/>
    <w:rsid w:val="003057CC"/>
    <w:rsid w:val="003127A7"/>
    <w:rsid w:val="00320D67"/>
    <w:rsid w:val="003374BE"/>
    <w:rsid w:val="00346EBC"/>
    <w:rsid w:val="00352741"/>
    <w:rsid w:val="003623BD"/>
    <w:rsid w:val="0036386F"/>
    <w:rsid w:val="0038189E"/>
    <w:rsid w:val="00381C70"/>
    <w:rsid w:val="00390317"/>
    <w:rsid w:val="00393FB5"/>
    <w:rsid w:val="003A07DF"/>
    <w:rsid w:val="003A32FE"/>
    <w:rsid w:val="003B50DD"/>
    <w:rsid w:val="003B7D3A"/>
    <w:rsid w:val="003C3992"/>
    <w:rsid w:val="003C4E3C"/>
    <w:rsid w:val="003D0588"/>
    <w:rsid w:val="003F6453"/>
    <w:rsid w:val="004275A3"/>
    <w:rsid w:val="004442AE"/>
    <w:rsid w:val="00455872"/>
    <w:rsid w:val="0045750D"/>
    <w:rsid w:val="00483958"/>
    <w:rsid w:val="004965B8"/>
    <w:rsid w:val="004C498F"/>
    <w:rsid w:val="004C4F22"/>
    <w:rsid w:val="004C6E41"/>
    <w:rsid w:val="004E27C4"/>
    <w:rsid w:val="004E5723"/>
    <w:rsid w:val="00541806"/>
    <w:rsid w:val="00586072"/>
    <w:rsid w:val="00595165"/>
    <w:rsid w:val="005A118A"/>
    <w:rsid w:val="005A1B1B"/>
    <w:rsid w:val="005A2E5B"/>
    <w:rsid w:val="005A4677"/>
    <w:rsid w:val="005C1CF6"/>
    <w:rsid w:val="005C28CF"/>
    <w:rsid w:val="005E7966"/>
    <w:rsid w:val="005F581D"/>
    <w:rsid w:val="00601431"/>
    <w:rsid w:val="006027CC"/>
    <w:rsid w:val="00603542"/>
    <w:rsid w:val="0061705D"/>
    <w:rsid w:val="006344FC"/>
    <w:rsid w:val="006600FC"/>
    <w:rsid w:val="00662311"/>
    <w:rsid w:val="006647DE"/>
    <w:rsid w:val="006720C3"/>
    <w:rsid w:val="00672ED1"/>
    <w:rsid w:val="006A39F7"/>
    <w:rsid w:val="006B5691"/>
    <w:rsid w:val="006B6254"/>
    <w:rsid w:val="006C0BD8"/>
    <w:rsid w:val="006C2D50"/>
    <w:rsid w:val="006D0B61"/>
    <w:rsid w:val="006D7754"/>
    <w:rsid w:val="00716786"/>
    <w:rsid w:val="00721315"/>
    <w:rsid w:val="00727D26"/>
    <w:rsid w:val="00733EDB"/>
    <w:rsid w:val="0074628F"/>
    <w:rsid w:val="00750625"/>
    <w:rsid w:val="0075069F"/>
    <w:rsid w:val="007612EC"/>
    <w:rsid w:val="00770A97"/>
    <w:rsid w:val="00782CBD"/>
    <w:rsid w:val="0079470F"/>
    <w:rsid w:val="00794F44"/>
    <w:rsid w:val="007A4346"/>
    <w:rsid w:val="007A52BE"/>
    <w:rsid w:val="007C0CA1"/>
    <w:rsid w:val="007C66A5"/>
    <w:rsid w:val="007D12AB"/>
    <w:rsid w:val="007E4047"/>
    <w:rsid w:val="007F5EA5"/>
    <w:rsid w:val="0083395D"/>
    <w:rsid w:val="00834A5D"/>
    <w:rsid w:val="0084375A"/>
    <w:rsid w:val="00852B44"/>
    <w:rsid w:val="008730E5"/>
    <w:rsid w:val="008811D1"/>
    <w:rsid w:val="00884A1C"/>
    <w:rsid w:val="00886F38"/>
    <w:rsid w:val="00890987"/>
    <w:rsid w:val="0089239A"/>
    <w:rsid w:val="00893AF0"/>
    <w:rsid w:val="008B265E"/>
    <w:rsid w:val="008B7377"/>
    <w:rsid w:val="008C0B84"/>
    <w:rsid w:val="008C7C10"/>
    <w:rsid w:val="008C7C9D"/>
    <w:rsid w:val="008D5D71"/>
    <w:rsid w:val="008F443D"/>
    <w:rsid w:val="009040C3"/>
    <w:rsid w:val="009075A8"/>
    <w:rsid w:val="00921935"/>
    <w:rsid w:val="00926297"/>
    <w:rsid w:val="00937A9B"/>
    <w:rsid w:val="00950B87"/>
    <w:rsid w:val="00964ECC"/>
    <w:rsid w:val="00972EAC"/>
    <w:rsid w:val="00975F0F"/>
    <w:rsid w:val="00976668"/>
    <w:rsid w:val="00980256"/>
    <w:rsid w:val="009917A7"/>
    <w:rsid w:val="0099459D"/>
    <w:rsid w:val="00994DD0"/>
    <w:rsid w:val="00996F83"/>
    <w:rsid w:val="009A02BD"/>
    <w:rsid w:val="009A3A1E"/>
    <w:rsid w:val="009A45B9"/>
    <w:rsid w:val="009B0869"/>
    <w:rsid w:val="009B7959"/>
    <w:rsid w:val="009C5508"/>
    <w:rsid w:val="009F0F41"/>
    <w:rsid w:val="00A03D65"/>
    <w:rsid w:val="00A162DB"/>
    <w:rsid w:val="00A27D32"/>
    <w:rsid w:val="00A427F7"/>
    <w:rsid w:val="00A46DE5"/>
    <w:rsid w:val="00A61DD8"/>
    <w:rsid w:val="00A76744"/>
    <w:rsid w:val="00A76999"/>
    <w:rsid w:val="00A83075"/>
    <w:rsid w:val="00A847FF"/>
    <w:rsid w:val="00A95A88"/>
    <w:rsid w:val="00AB7D0B"/>
    <w:rsid w:val="00AC025A"/>
    <w:rsid w:val="00AC70EB"/>
    <w:rsid w:val="00AE4FF9"/>
    <w:rsid w:val="00AE78E5"/>
    <w:rsid w:val="00AF1568"/>
    <w:rsid w:val="00AF57DA"/>
    <w:rsid w:val="00B00529"/>
    <w:rsid w:val="00B049B7"/>
    <w:rsid w:val="00B06495"/>
    <w:rsid w:val="00B113C2"/>
    <w:rsid w:val="00B17297"/>
    <w:rsid w:val="00B254AE"/>
    <w:rsid w:val="00B47BF1"/>
    <w:rsid w:val="00B56D10"/>
    <w:rsid w:val="00B56E00"/>
    <w:rsid w:val="00B6649F"/>
    <w:rsid w:val="00B940BD"/>
    <w:rsid w:val="00BA01CF"/>
    <w:rsid w:val="00BE16AA"/>
    <w:rsid w:val="00BE2F2B"/>
    <w:rsid w:val="00BF59E3"/>
    <w:rsid w:val="00BF789C"/>
    <w:rsid w:val="00C21DB1"/>
    <w:rsid w:val="00C224B9"/>
    <w:rsid w:val="00C23487"/>
    <w:rsid w:val="00C409D4"/>
    <w:rsid w:val="00C45512"/>
    <w:rsid w:val="00C56E1B"/>
    <w:rsid w:val="00C62CB1"/>
    <w:rsid w:val="00C63276"/>
    <w:rsid w:val="00C63623"/>
    <w:rsid w:val="00C64371"/>
    <w:rsid w:val="00CA6017"/>
    <w:rsid w:val="00CB46EB"/>
    <w:rsid w:val="00CB659D"/>
    <w:rsid w:val="00CB76B1"/>
    <w:rsid w:val="00CC1B08"/>
    <w:rsid w:val="00D007A6"/>
    <w:rsid w:val="00D16639"/>
    <w:rsid w:val="00D205C5"/>
    <w:rsid w:val="00D216BF"/>
    <w:rsid w:val="00D22089"/>
    <w:rsid w:val="00D35FC4"/>
    <w:rsid w:val="00D46440"/>
    <w:rsid w:val="00D4798E"/>
    <w:rsid w:val="00D53CE9"/>
    <w:rsid w:val="00D54C06"/>
    <w:rsid w:val="00D64722"/>
    <w:rsid w:val="00D64FC8"/>
    <w:rsid w:val="00D87CF3"/>
    <w:rsid w:val="00D9763E"/>
    <w:rsid w:val="00DA4928"/>
    <w:rsid w:val="00DA6088"/>
    <w:rsid w:val="00DA6EE2"/>
    <w:rsid w:val="00DB0D82"/>
    <w:rsid w:val="00DB46CF"/>
    <w:rsid w:val="00DB74B9"/>
    <w:rsid w:val="00DE338E"/>
    <w:rsid w:val="00E12559"/>
    <w:rsid w:val="00E12935"/>
    <w:rsid w:val="00E13391"/>
    <w:rsid w:val="00E23929"/>
    <w:rsid w:val="00E3429F"/>
    <w:rsid w:val="00E3581C"/>
    <w:rsid w:val="00E5591B"/>
    <w:rsid w:val="00E6596C"/>
    <w:rsid w:val="00E70D3C"/>
    <w:rsid w:val="00E90651"/>
    <w:rsid w:val="00EA3E16"/>
    <w:rsid w:val="00EC0AE5"/>
    <w:rsid w:val="00EC58C5"/>
    <w:rsid w:val="00ED537E"/>
    <w:rsid w:val="00EF180A"/>
    <w:rsid w:val="00EF6406"/>
    <w:rsid w:val="00F0005C"/>
    <w:rsid w:val="00F070E7"/>
    <w:rsid w:val="00F20614"/>
    <w:rsid w:val="00F20E31"/>
    <w:rsid w:val="00F2210D"/>
    <w:rsid w:val="00F2662C"/>
    <w:rsid w:val="00F3751F"/>
    <w:rsid w:val="00F56CFE"/>
    <w:rsid w:val="00F71B07"/>
    <w:rsid w:val="00F72BFE"/>
    <w:rsid w:val="00F90068"/>
    <w:rsid w:val="00FB2CB2"/>
    <w:rsid w:val="00FB795F"/>
    <w:rsid w:val="00FC3EC0"/>
    <w:rsid w:val="00FF66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860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6072"/>
  </w:style>
  <w:style w:type="paragraph" w:styleId="Footer">
    <w:name w:val="footer"/>
    <w:basedOn w:val="Normal"/>
    <w:link w:val="FooterChar"/>
    <w:uiPriority w:val="99"/>
    <w:unhideWhenUsed/>
    <w:rsid w:val="005860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607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860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6072"/>
  </w:style>
  <w:style w:type="paragraph" w:styleId="Footer">
    <w:name w:val="footer"/>
    <w:basedOn w:val="Normal"/>
    <w:link w:val="FooterChar"/>
    <w:uiPriority w:val="99"/>
    <w:unhideWhenUsed/>
    <w:rsid w:val="005860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60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6806929">
      <w:bodyDiv w:val="1"/>
      <w:marLeft w:val="0"/>
      <w:marRight w:val="0"/>
      <w:marTop w:val="0"/>
      <w:marBottom w:val="0"/>
      <w:divBdr>
        <w:top w:val="none" w:sz="0" w:space="0" w:color="auto"/>
        <w:left w:val="none" w:sz="0" w:space="0" w:color="auto"/>
        <w:bottom w:val="none" w:sz="0" w:space="0" w:color="auto"/>
        <w:right w:val="none" w:sz="0" w:space="0" w:color="auto"/>
      </w:divBdr>
    </w:div>
    <w:div w:id="1471480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644</TotalTime>
  <Pages>11</Pages>
  <Words>2614</Words>
  <Characters>14905</Characters>
  <Application>Microsoft Office Word</Application>
  <DocSecurity>0</DocSecurity>
  <Lines>124</Lines>
  <Paragraphs>34</Paragraphs>
  <ScaleCrop>false</ScaleCrop>
  <Company/>
  <LinksUpToDate>false</LinksUpToDate>
  <CharactersWithSpaces>17485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clinton otieno</dc:creator>
  <cp:keywords/>
  <dc:description/>
  <cp:lastModifiedBy>clinton otieno</cp:lastModifiedBy>
  <cp:revision>286</cp:revision>
  <dcterms:created xsi:type="dcterms:W3CDTF">2021-09-02T05:01:00Z</dcterms:created>
  <dcterms:modified xsi:type="dcterms:W3CDTF">2021-09-02T16:54:00Z</dcterms:modified>
</cp:coreProperties>
</file>