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0DB6" w:rsidRPr="00FC6C65" w:rsidRDefault="005C0DB6" w:rsidP="00BC6F0E">
      <w:pPr>
        <w:pStyle w:val="BodyText"/>
        <w:spacing w:before="0" w:line="295" w:lineRule="auto"/>
        <w:ind w:left="0" w:right="119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C6C65">
        <w:rPr>
          <w:rFonts w:asciiTheme="minorHAnsi" w:hAnsiTheme="minorHAnsi" w:cstheme="minorHAnsi"/>
          <w:sz w:val="22"/>
          <w:szCs w:val="22"/>
        </w:rPr>
        <w:t>Quiz 6: Sponsor and Investigator Oversight- Compliance and Managing</w:t>
      </w:r>
      <w:r w:rsidRPr="00FC6C65">
        <w:rPr>
          <w:rFonts w:asciiTheme="minorHAnsi" w:hAnsiTheme="minorHAnsi" w:cstheme="minorHAnsi"/>
          <w:spacing w:val="-82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Clinical</w:t>
      </w:r>
      <w:r w:rsidRPr="00FC6C6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Trial Challenges</w:t>
      </w:r>
    </w:p>
    <w:p w:rsidR="005C0DB6" w:rsidRPr="00AC08B0" w:rsidRDefault="005C0DB6" w:rsidP="005C0DB6">
      <w:pPr>
        <w:tabs>
          <w:tab w:val="left" w:pos="8271"/>
        </w:tabs>
        <w:spacing w:before="80"/>
        <w:rPr>
          <w:rFonts w:asciiTheme="minorHAnsi" w:hAnsiTheme="minorHAnsi" w:cstheme="minorHAnsi"/>
          <w:b/>
        </w:rPr>
      </w:pPr>
      <w:r w:rsidRPr="00AC08B0">
        <w:rPr>
          <w:rFonts w:asciiTheme="minorHAnsi" w:hAnsiTheme="minorHAnsi" w:cstheme="minorHAnsi"/>
          <w:b/>
        </w:rPr>
        <w:t>Answers are bold</w:t>
      </w:r>
    </w:p>
    <w:p w:rsidR="005C0DB6" w:rsidRPr="00BC6F0E" w:rsidRDefault="00BC6F0E" w:rsidP="00BC6F0E">
      <w:pPr>
        <w:tabs>
          <w:tab w:val="left" w:pos="787"/>
        </w:tabs>
        <w:spacing w:line="295" w:lineRule="auto"/>
        <w:ind w:right="877"/>
        <w:jc w:val="both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5C0DB6" w:rsidRPr="00BC6F0E">
        <w:rPr>
          <w:rFonts w:asciiTheme="minorHAnsi" w:hAnsiTheme="minorHAnsi" w:cstheme="minorHAnsi"/>
        </w:rPr>
        <w:t>According</w:t>
      </w:r>
      <w:proofErr w:type="gramEnd"/>
      <w:r w:rsidR="005C0DB6" w:rsidRPr="00BC6F0E">
        <w:rPr>
          <w:rFonts w:asciiTheme="minorHAnsi" w:hAnsiTheme="minorHAnsi" w:cstheme="minorHAnsi"/>
        </w:rPr>
        <w:t xml:space="preserve"> to ICH guidelines, a sponsor’s audit is conducted to evaluate</w:t>
      </w:r>
      <w:r w:rsidR="005C0DB6" w:rsidRPr="00BC6F0E">
        <w:rPr>
          <w:rFonts w:asciiTheme="minorHAnsi" w:hAnsiTheme="minorHAnsi" w:cstheme="minorHAnsi"/>
          <w:spacing w:val="-82"/>
        </w:rPr>
        <w:t xml:space="preserve"> </w:t>
      </w:r>
      <w:r w:rsidR="005C0DB6" w:rsidRPr="00BC6F0E">
        <w:rPr>
          <w:rFonts w:asciiTheme="minorHAnsi" w:hAnsiTheme="minorHAnsi" w:cstheme="minorHAnsi"/>
        </w:rPr>
        <w:t>trial conduct and compliance with the protocol, SOPs, GCP, and applicable</w:t>
      </w:r>
      <w:r w:rsidR="005C0DB6" w:rsidRPr="00BC6F0E">
        <w:rPr>
          <w:rFonts w:asciiTheme="minorHAnsi" w:hAnsiTheme="minorHAnsi" w:cstheme="minorHAnsi"/>
          <w:spacing w:val="-83"/>
        </w:rPr>
        <w:t xml:space="preserve"> </w:t>
      </w:r>
      <w:r w:rsidR="005C0DB6" w:rsidRPr="00BC6F0E">
        <w:rPr>
          <w:rFonts w:asciiTheme="minorHAnsi" w:hAnsiTheme="minorHAnsi" w:cstheme="minorHAnsi"/>
        </w:rPr>
        <w:t>regulatory</w:t>
      </w:r>
      <w:r w:rsidR="005C0DB6" w:rsidRPr="00BC6F0E">
        <w:rPr>
          <w:rFonts w:asciiTheme="minorHAnsi" w:hAnsiTheme="minorHAnsi" w:cstheme="minorHAnsi"/>
          <w:spacing w:val="-1"/>
        </w:rPr>
        <w:t xml:space="preserve"> </w:t>
      </w:r>
      <w:r w:rsidR="005C0DB6" w:rsidRPr="00BC6F0E">
        <w:rPr>
          <w:rFonts w:asciiTheme="minorHAnsi" w:hAnsiTheme="minorHAnsi" w:cstheme="minorHAnsi"/>
        </w:rPr>
        <w:t>requirements.</w:t>
      </w:r>
      <w:r w:rsidR="005C0DB6" w:rsidRPr="00BC6F0E">
        <w:rPr>
          <w:rFonts w:asciiTheme="minorHAnsi" w:hAnsiTheme="minorHAnsi" w:cstheme="minorHAnsi"/>
          <w:spacing w:val="-1"/>
        </w:rPr>
        <w:t xml:space="preserve"> </w:t>
      </w:r>
      <w:r w:rsidR="005C0DB6" w:rsidRPr="00BC6F0E">
        <w:rPr>
          <w:rFonts w:asciiTheme="minorHAnsi" w:hAnsiTheme="minorHAnsi" w:cstheme="minorHAnsi"/>
        </w:rPr>
        <w:t>The audit</w:t>
      </w:r>
      <w:r w:rsidR="005C0DB6" w:rsidRPr="00BC6F0E">
        <w:rPr>
          <w:rFonts w:asciiTheme="minorHAnsi" w:hAnsiTheme="minorHAnsi" w:cstheme="minorHAnsi"/>
          <w:spacing w:val="-2"/>
        </w:rPr>
        <w:t xml:space="preserve"> </w:t>
      </w:r>
      <w:r w:rsidR="005C0DB6" w:rsidRPr="00BC6F0E">
        <w:rPr>
          <w:rFonts w:asciiTheme="minorHAnsi" w:hAnsiTheme="minorHAnsi" w:cstheme="minorHAnsi"/>
        </w:rPr>
        <w:t>should</w:t>
      </w:r>
      <w:r w:rsidR="005C0DB6" w:rsidRPr="00BC6F0E">
        <w:rPr>
          <w:rFonts w:asciiTheme="minorHAnsi" w:hAnsiTheme="minorHAnsi" w:cstheme="minorHAnsi"/>
          <w:spacing w:val="-1"/>
        </w:rPr>
        <w:t xml:space="preserve"> </w:t>
      </w:r>
      <w:r w:rsidR="005C0DB6" w:rsidRPr="00BC6F0E">
        <w:rPr>
          <w:rFonts w:asciiTheme="minorHAnsi" w:hAnsiTheme="minorHAnsi" w:cstheme="minorHAnsi"/>
        </w:rPr>
        <w:t>also: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spacing w:before="4" w:line="295" w:lineRule="auto"/>
        <w:ind w:right="684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conducted by the monitors familiar with the investigative sites and</w:t>
      </w:r>
      <w:r w:rsidRPr="00FC6C65">
        <w:rPr>
          <w:rFonts w:asciiTheme="minorHAnsi" w:hAnsiTheme="minorHAnsi" w:cstheme="minorHAnsi"/>
          <w:spacing w:val="-83"/>
        </w:rPr>
        <w:t xml:space="preserve"> </w:t>
      </w:r>
      <w:r w:rsidRPr="00FC6C65">
        <w:rPr>
          <w:rFonts w:asciiTheme="minorHAnsi" w:hAnsiTheme="minorHAnsi" w:cstheme="minorHAnsi"/>
        </w:rPr>
        <w:t>clinical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protocol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spacing w:before="2" w:line="295" w:lineRule="auto"/>
        <w:ind w:right="622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conducted by the IRB/ethics committee which approved the clinical</w:t>
      </w:r>
      <w:r w:rsidRPr="00FC6C65">
        <w:rPr>
          <w:rFonts w:asciiTheme="minorHAnsi" w:hAnsiTheme="minorHAnsi" w:cstheme="minorHAnsi"/>
          <w:spacing w:val="-83"/>
        </w:rPr>
        <w:t xml:space="preserve"> </w:t>
      </w:r>
      <w:r w:rsidRPr="00FC6C65">
        <w:rPr>
          <w:rFonts w:asciiTheme="minorHAnsi" w:hAnsiTheme="minorHAnsi" w:cstheme="minorHAnsi"/>
        </w:rPr>
        <w:t>trial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spacing w:before="3" w:line="295" w:lineRule="auto"/>
        <w:ind w:right="1884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be</w:t>
      </w:r>
      <w:r w:rsidRPr="00FC6C65">
        <w:rPr>
          <w:rFonts w:asciiTheme="minorHAnsi" w:hAnsiTheme="minorHAnsi" w:cstheme="minorHAnsi"/>
          <w:spacing w:val="-4"/>
        </w:rPr>
        <w:t xml:space="preserve"> </w:t>
      </w:r>
      <w:r w:rsidRPr="00FC6C65">
        <w:rPr>
          <w:rFonts w:asciiTheme="minorHAnsi" w:hAnsiTheme="minorHAnsi" w:cstheme="minorHAnsi"/>
        </w:rPr>
        <w:t>managed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and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evaluated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by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the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principal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investigators</w:t>
      </w:r>
      <w:r w:rsidRPr="00FC6C65">
        <w:rPr>
          <w:rFonts w:asciiTheme="minorHAnsi" w:hAnsiTheme="minorHAnsi" w:cstheme="minorHAnsi"/>
          <w:spacing w:val="-81"/>
        </w:rPr>
        <w:t xml:space="preserve"> </w:t>
      </w:r>
      <w:r w:rsidRPr="00FC6C65">
        <w:rPr>
          <w:rFonts w:asciiTheme="minorHAnsi" w:hAnsiTheme="minorHAnsi" w:cstheme="minorHAnsi"/>
        </w:rPr>
        <w:t>participating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in the trial</w:t>
      </w:r>
    </w:p>
    <w:p w:rsidR="005C0DB6" w:rsidRPr="00FC6C65" w:rsidRDefault="005C0DB6" w:rsidP="005C0DB6">
      <w:pPr>
        <w:pStyle w:val="Heading1"/>
        <w:numPr>
          <w:ilvl w:val="1"/>
          <w:numId w:val="2"/>
        </w:numPr>
        <w:tabs>
          <w:tab w:val="left" w:pos="1543"/>
        </w:tabs>
        <w:spacing w:before="2"/>
        <w:ind w:hanging="361"/>
        <w:rPr>
          <w:rFonts w:asciiTheme="minorHAnsi" w:hAnsiTheme="minorHAnsi" w:cstheme="minorHAnsi"/>
          <w:sz w:val="22"/>
          <w:szCs w:val="22"/>
        </w:rPr>
      </w:pPr>
      <w:proofErr w:type="gramStart"/>
      <w:r w:rsidRPr="00FC6C65">
        <w:rPr>
          <w:rFonts w:asciiTheme="minorHAnsi" w:hAnsiTheme="minorHAnsi" w:cstheme="minorHAnsi"/>
          <w:sz w:val="22"/>
          <w:szCs w:val="22"/>
        </w:rPr>
        <w:t>be</w:t>
      </w:r>
      <w:proofErr w:type="gramEnd"/>
      <w:r w:rsidRPr="00FC6C6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independent of and separate from routine monitoring</w:t>
      </w:r>
    </w:p>
    <w:p w:rsidR="005C0DB6" w:rsidRPr="00FC6C65" w:rsidRDefault="005C0DB6" w:rsidP="005C0DB6">
      <w:pPr>
        <w:pStyle w:val="BodyText"/>
        <w:spacing w:before="3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C0DB6" w:rsidRPr="00FC6C65" w:rsidRDefault="005C0DB6" w:rsidP="005C0DB6">
      <w:pPr>
        <w:pStyle w:val="ListParagraph"/>
        <w:numPr>
          <w:ilvl w:val="0"/>
          <w:numId w:val="2"/>
        </w:numPr>
        <w:tabs>
          <w:tab w:val="left" w:pos="787"/>
        </w:tabs>
        <w:spacing w:before="0" w:line="295" w:lineRule="auto"/>
        <w:ind w:right="491" w:firstLine="0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Which of</w:t>
      </w:r>
      <w:r w:rsidRPr="00FC6C65">
        <w:rPr>
          <w:rFonts w:asciiTheme="minorHAnsi" w:hAnsiTheme="minorHAnsi" w:cstheme="minorHAnsi"/>
          <w:spacing w:val="2"/>
        </w:rPr>
        <w:t xml:space="preserve"> </w:t>
      </w:r>
      <w:r w:rsidRPr="00FC6C65">
        <w:rPr>
          <w:rFonts w:asciiTheme="minorHAnsi" w:hAnsiTheme="minorHAnsi" w:cstheme="minorHAnsi"/>
        </w:rPr>
        <w:t>the</w:t>
      </w:r>
      <w:r w:rsidRPr="00FC6C65">
        <w:rPr>
          <w:rFonts w:asciiTheme="minorHAnsi" w:hAnsiTheme="minorHAnsi" w:cstheme="minorHAnsi"/>
          <w:spacing w:val="1"/>
        </w:rPr>
        <w:t xml:space="preserve"> </w:t>
      </w:r>
      <w:r w:rsidRPr="00FC6C65">
        <w:rPr>
          <w:rFonts w:asciiTheme="minorHAnsi" w:hAnsiTheme="minorHAnsi" w:cstheme="minorHAnsi"/>
        </w:rPr>
        <w:t>following</w:t>
      </w:r>
      <w:r w:rsidRPr="00FC6C65">
        <w:rPr>
          <w:rFonts w:asciiTheme="minorHAnsi" w:hAnsiTheme="minorHAnsi" w:cstheme="minorHAnsi"/>
          <w:spacing w:val="1"/>
        </w:rPr>
        <w:t xml:space="preserve"> </w:t>
      </w:r>
      <w:r w:rsidRPr="00FC6C65">
        <w:rPr>
          <w:rFonts w:asciiTheme="minorHAnsi" w:hAnsiTheme="minorHAnsi" w:cstheme="minorHAnsi"/>
        </w:rPr>
        <w:t>terms</w:t>
      </w:r>
      <w:r w:rsidRPr="00FC6C65">
        <w:rPr>
          <w:rFonts w:asciiTheme="minorHAnsi" w:hAnsiTheme="minorHAnsi" w:cstheme="minorHAnsi"/>
          <w:spacing w:val="2"/>
        </w:rPr>
        <w:t xml:space="preserve"> </w:t>
      </w:r>
      <w:r w:rsidRPr="00FC6C65">
        <w:rPr>
          <w:rFonts w:asciiTheme="minorHAnsi" w:hAnsiTheme="minorHAnsi" w:cstheme="minorHAnsi"/>
        </w:rPr>
        <w:t>describes</w:t>
      </w:r>
      <w:r w:rsidRPr="00FC6C65">
        <w:rPr>
          <w:rFonts w:asciiTheme="minorHAnsi" w:hAnsiTheme="minorHAnsi" w:cstheme="minorHAnsi"/>
          <w:spacing w:val="1"/>
        </w:rPr>
        <w:t xml:space="preserve"> </w:t>
      </w:r>
      <w:r w:rsidRPr="00FC6C65">
        <w:rPr>
          <w:rFonts w:asciiTheme="minorHAnsi" w:hAnsiTheme="minorHAnsi" w:cstheme="minorHAnsi"/>
        </w:rPr>
        <w:t>a</w:t>
      </w:r>
      <w:r w:rsidRPr="00FC6C65">
        <w:rPr>
          <w:rFonts w:asciiTheme="minorHAnsi" w:hAnsiTheme="minorHAnsi" w:cstheme="minorHAnsi"/>
          <w:spacing w:val="2"/>
        </w:rPr>
        <w:t xml:space="preserve"> </w:t>
      </w:r>
      <w:r w:rsidRPr="00FC6C65">
        <w:rPr>
          <w:rFonts w:asciiTheme="minorHAnsi" w:hAnsiTheme="minorHAnsi" w:cstheme="minorHAnsi"/>
        </w:rPr>
        <w:t>formal</w:t>
      </w:r>
      <w:r w:rsidRPr="00FC6C65">
        <w:rPr>
          <w:rFonts w:asciiTheme="minorHAnsi" w:hAnsiTheme="minorHAnsi" w:cstheme="minorHAnsi"/>
          <w:spacing w:val="2"/>
        </w:rPr>
        <w:t xml:space="preserve"> </w:t>
      </w:r>
      <w:r w:rsidRPr="00FC6C65">
        <w:rPr>
          <w:rFonts w:asciiTheme="minorHAnsi" w:hAnsiTheme="minorHAnsi" w:cstheme="minorHAnsi"/>
        </w:rPr>
        <w:t>process</w:t>
      </w:r>
      <w:r w:rsidRPr="00FC6C65">
        <w:rPr>
          <w:rFonts w:asciiTheme="minorHAnsi" w:hAnsiTheme="minorHAnsi" w:cstheme="minorHAnsi"/>
          <w:spacing w:val="1"/>
        </w:rPr>
        <w:t xml:space="preserve"> </w:t>
      </w:r>
      <w:r w:rsidRPr="00FC6C65">
        <w:rPr>
          <w:rFonts w:asciiTheme="minorHAnsi" w:hAnsiTheme="minorHAnsi" w:cstheme="minorHAnsi"/>
        </w:rPr>
        <w:t>for</w:t>
      </w:r>
      <w:r w:rsidRPr="00FC6C65">
        <w:rPr>
          <w:rFonts w:asciiTheme="minorHAnsi" w:hAnsiTheme="minorHAnsi" w:cstheme="minorHAnsi"/>
          <w:spacing w:val="2"/>
        </w:rPr>
        <w:t xml:space="preserve"> </w:t>
      </w:r>
      <w:r w:rsidRPr="00FC6C65">
        <w:rPr>
          <w:rFonts w:asciiTheme="minorHAnsi" w:hAnsiTheme="minorHAnsi" w:cstheme="minorHAnsi"/>
        </w:rPr>
        <w:t>reacting</w:t>
      </w:r>
      <w:r w:rsidRPr="00FC6C65">
        <w:rPr>
          <w:rFonts w:asciiTheme="minorHAnsi" w:hAnsiTheme="minorHAnsi" w:cstheme="minorHAnsi"/>
          <w:spacing w:val="1"/>
        </w:rPr>
        <w:t xml:space="preserve"> </w:t>
      </w:r>
      <w:r w:rsidRPr="00FC6C65">
        <w:rPr>
          <w:rFonts w:asciiTheme="minorHAnsi" w:hAnsiTheme="minorHAnsi" w:cstheme="minorHAnsi"/>
        </w:rPr>
        <w:t>to</w:t>
      </w:r>
      <w:r w:rsidRPr="00FC6C65">
        <w:rPr>
          <w:rFonts w:asciiTheme="minorHAnsi" w:hAnsiTheme="minorHAnsi" w:cstheme="minorHAnsi"/>
          <w:spacing w:val="1"/>
        </w:rPr>
        <w:t xml:space="preserve"> </w:t>
      </w:r>
      <w:r w:rsidRPr="00FC6C65">
        <w:rPr>
          <w:rFonts w:asciiTheme="minorHAnsi" w:hAnsiTheme="minorHAnsi" w:cstheme="minorHAnsi"/>
        </w:rPr>
        <w:t>and fixing an existing problem and implementing processes to prevent future</w:t>
      </w:r>
      <w:r w:rsidRPr="00FC6C65">
        <w:rPr>
          <w:rFonts w:asciiTheme="minorHAnsi" w:hAnsiTheme="minorHAnsi" w:cstheme="minorHAnsi"/>
          <w:spacing w:val="-82"/>
        </w:rPr>
        <w:t xml:space="preserve"> </w:t>
      </w:r>
      <w:r w:rsidRPr="00FC6C65">
        <w:rPr>
          <w:rFonts w:asciiTheme="minorHAnsi" w:hAnsiTheme="minorHAnsi" w:cstheme="minorHAnsi"/>
        </w:rPr>
        <w:t>non-conformity?</w:t>
      </w:r>
    </w:p>
    <w:p w:rsidR="005C0DB6" w:rsidRPr="00FC6C65" w:rsidRDefault="005C0DB6" w:rsidP="005C0DB6">
      <w:pPr>
        <w:pStyle w:val="Heading1"/>
        <w:numPr>
          <w:ilvl w:val="1"/>
          <w:numId w:val="2"/>
        </w:numPr>
        <w:tabs>
          <w:tab w:val="left" w:pos="1543"/>
        </w:tabs>
        <w:spacing w:before="4"/>
        <w:ind w:hanging="361"/>
        <w:rPr>
          <w:rFonts w:asciiTheme="minorHAnsi" w:hAnsiTheme="minorHAnsi" w:cstheme="minorHAnsi"/>
          <w:sz w:val="22"/>
          <w:szCs w:val="22"/>
        </w:rPr>
      </w:pPr>
      <w:r w:rsidRPr="00FC6C65">
        <w:rPr>
          <w:rFonts w:asciiTheme="minorHAnsi" w:hAnsiTheme="minorHAnsi" w:cstheme="minorHAnsi"/>
          <w:sz w:val="22"/>
          <w:szCs w:val="22"/>
        </w:rPr>
        <w:t>Corrective and Preventive Action (CAPA)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ind w:hanging="361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Standard</w:t>
      </w:r>
      <w:r w:rsidRPr="00FC6C65">
        <w:rPr>
          <w:rFonts w:asciiTheme="minorHAnsi" w:hAnsiTheme="minorHAnsi" w:cstheme="minorHAnsi"/>
          <w:spacing w:val="-5"/>
        </w:rPr>
        <w:t xml:space="preserve"> </w:t>
      </w:r>
      <w:r w:rsidRPr="00FC6C65">
        <w:rPr>
          <w:rFonts w:asciiTheme="minorHAnsi" w:hAnsiTheme="minorHAnsi" w:cstheme="minorHAnsi"/>
        </w:rPr>
        <w:t>Operating</w:t>
      </w:r>
      <w:r w:rsidRPr="00FC6C65">
        <w:rPr>
          <w:rFonts w:asciiTheme="minorHAnsi" w:hAnsiTheme="minorHAnsi" w:cstheme="minorHAnsi"/>
          <w:spacing w:val="-5"/>
        </w:rPr>
        <w:t xml:space="preserve"> </w:t>
      </w:r>
      <w:r w:rsidRPr="00FC6C65">
        <w:rPr>
          <w:rFonts w:asciiTheme="minorHAnsi" w:hAnsiTheme="minorHAnsi" w:cstheme="minorHAnsi"/>
        </w:rPr>
        <w:t>Procedure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spacing w:before="69"/>
        <w:ind w:hanging="361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(SOP)Quality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Assurance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(QA)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ind w:hanging="361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None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of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the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above</w:t>
      </w:r>
    </w:p>
    <w:p w:rsidR="005C0DB6" w:rsidRPr="00FC6C65" w:rsidRDefault="005C0DB6" w:rsidP="005C0DB6">
      <w:pPr>
        <w:rPr>
          <w:rFonts w:asciiTheme="minorHAnsi" w:hAnsiTheme="minorHAnsi" w:cstheme="minorHAnsi"/>
        </w:rPr>
        <w:sectPr w:rsidR="005C0DB6" w:rsidRPr="00FC6C65">
          <w:pgSz w:w="12240" w:h="15840"/>
          <w:pgMar w:top="1400" w:right="960" w:bottom="280" w:left="980" w:header="720" w:footer="720" w:gutter="0"/>
          <w:cols w:space="720"/>
        </w:sectPr>
      </w:pPr>
    </w:p>
    <w:p w:rsidR="005C0DB6" w:rsidRPr="00FC6C65" w:rsidRDefault="005C0DB6" w:rsidP="005C0DB6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5C0DB6" w:rsidRPr="00FC6C65" w:rsidRDefault="005C0DB6" w:rsidP="005C0DB6">
      <w:pPr>
        <w:pStyle w:val="ListParagraph"/>
        <w:numPr>
          <w:ilvl w:val="0"/>
          <w:numId w:val="2"/>
        </w:numPr>
        <w:tabs>
          <w:tab w:val="left" w:pos="787"/>
        </w:tabs>
        <w:spacing w:before="100" w:line="295" w:lineRule="auto"/>
        <w:ind w:right="541" w:firstLine="0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Which of the following is an example of protocol non-compliance (protocol</w:t>
      </w:r>
      <w:r w:rsidRPr="00FC6C65">
        <w:rPr>
          <w:rFonts w:asciiTheme="minorHAnsi" w:hAnsiTheme="minorHAnsi" w:cstheme="minorHAnsi"/>
          <w:spacing w:val="-82"/>
        </w:rPr>
        <w:t xml:space="preserve"> </w:t>
      </w:r>
      <w:r w:rsidRPr="00FC6C65">
        <w:rPr>
          <w:rFonts w:asciiTheme="minorHAnsi" w:hAnsiTheme="minorHAnsi" w:cstheme="minorHAnsi"/>
        </w:rPr>
        <w:t>deviation)?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spacing w:before="3" w:line="295" w:lineRule="auto"/>
        <w:ind w:right="994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The protocol requires all SAEs reported to the sponsor within 24</w:t>
      </w:r>
      <w:r w:rsidRPr="00FC6C65">
        <w:rPr>
          <w:rFonts w:asciiTheme="minorHAnsi" w:hAnsiTheme="minorHAnsi" w:cstheme="minorHAnsi"/>
          <w:spacing w:val="-83"/>
        </w:rPr>
        <w:t xml:space="preserve"> </w:t>
      </w:r>
      <w:r w:rsidRPr="00FC6C65">
        <w:rPr>
          <w:rFonts w:asciiTheme="minorHAnsi" w:hAnsiTheme="minorHAnsi" w:cstheme="minorHAnsi"/>
        </w:rPr>
        <w:t>hours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of discovery.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spacing w:before="2" w:line="295" w:lineRule="auto"/>
        <w:ind w:right="675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The protocol requires a physical assessment performed Day 1 + 3.</w:t>
      </w:r>
      <w:r w:rsidRPr="00FC6C65">
        <w:rPr>
          <w:rFonts w:asciiTheme="minorHAnsi" w:hAnsiTheme="minorHAnsi" w:cstheme="minorHAnsi"/>
          <w:spacing w:val="-83"/>
        </w:rPr>
        <w:t xml:space="preserve"> </w:t>
      </w:r>
      <w:r w:rsidRPr="00FC6C65">
        <w:rPr>
          <w:rFonts w:asciiTheme="minorHAnsi" w:hAnsiTheme="minorHAnsi" w:cstheme="minorHAnsi"/>
        </w:rPr>
        <w:t>The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PI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performs a physical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assessment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on Day 3.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spacing w:before="3" w:line="295" w:lineRule="auto"/>
        <w:ind w:right="981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The protocol requires a Day 5 blood draw. The PI orders a blood</w:t>
      </w:r>
      <w:r w:rsidRPr="00FC6C65">
        <w:rPr>
          <w:rFonts w:asciiTheme="minorHAnsi" w:hAnsiTheme="minorHAnsi" w:cstheme="minorHAnsi"/>
          <w:spacing w:val="-82"/>
        </w:rPr>
        <w:t xml:space="preserve"> </w:t>
      </w:r>
      <w:r w:rsidRPr="00FC6C65">
        <w:rPr>
          <w:rFonts w:asciiTheme="minorHAnsi" w:hAnsiTheme="minorHAnsi" w:cstheme="minorHAnsi"/>
        </w:rPr>
        <w:t>draw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on Day 5</w:t>
      </w:r>
    </w:p>
    <w:p w:rsidR="005C0DB6" w:rsidRPr="00FC6C65" w:rsidRDefault="005C0DB6" w:rsidP="005C0DB6">
      <w:pPr>
        <w:pStyle w:val="Heading1"/>
        <w:numPr>
          <w:ilvl w:val="1"/>
          <w:numId w:val="2"/>
        </w:numPr>
        <w:tabs>
          <w:tab w:val="left" w:pos="1543"/>
        </w:tabs>
        <w:spacing w:before="2" w:line="295" w:lineRule="auto"/>
        <w:ind w:right="577"/>
        <w:rPr>
          <w:rFonts w:asciiTheme="minorHAnsi" w:hAnsiTheme="minorHAnsi" w:cstheme="minorHAnsi"/>
          <w:sz w:val="22"/>
          <w:szCs w:val="22"/>
        </w:rPr>
      </w:pPr>
      <w:r w:rsidRPr="00FC6C65">
        <w:rPr>
          <w:rFonts w:asciiTheme="minorHAnsi" w:hAnsiTheme="minorHAnsi" w:cstheme="minorHAnsi"/>
          <w:sz w:val="22"/>
          <w:szCs w:val="22"/>
        </w:rPr>
        <w:t>The protocol requires a Day 15 CT scan. The PI order an MRI</w:t>
      </w:r>
      <w:r w:rsidRPr="00FC6C65">
        <w:rPr>
          <w:rFonts w:asciiTheme="minorHAnsi" w:hAnsiTheme="minorHAnsi" w:cstheme="minorHAnsi"/>
          <w:spacing w:val="-80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scan on Day</w:t>
      </w:r>
      <w:r w:rsidRPr="00FC6C6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15.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  <w:tab w:val="left" w:pos="3209"/>
        </w:tabs>
        <w:spacing w:before="3" w:line="295" w:lineRule="auto"/>
        <w:ind w:right="831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The coordinator reports an SAE for subject 004 to the sponsor 18</w:t>
      </w:r>
      <w:r w:rsidRPr="00FC6C65">
        <w:rPr>
          <w:rFonts w:asciiTheme="minorHAnsi" w:hAnsiTheme="minorHAnsi" w:cstheme="minorHAnsi"/>
          <w:spacing w:val="-83"/>
        </w:rPr>
        <w:t xml:space="preserve"> </w:t>
      </w:r>
      <w:r w:rsidRPr="00FC6C65">
        <w:rPr>
          <w:rFonts w:asciiTheme="minorHAnsi" w:hAnsiTheme="minorHAnsi" w:cstheme="minorHAnsi"/>
        </w:rPr>
        <w:t>hours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after</w:t>
      </w:r>
      <w:r w:rsidRPr="00FC6C65">
        <w:rPr>
          <w:rFonts w:asciiTheme="minorHAnsi" w:hAnsiTheme="minorHAnsi" w:cstheme="minorHAnsi"/>
        </w:rPr>
        <w:tab/>
        <w:t>discovery.</w:t>
      </w:r>
    </w:p>
    <w:p w:rsidR="005C0DB6" w:rsidRPr="00FC6C65" w:rsidRDefault="005C0DB6" w:rsidP="005C0DB6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5C0DB6" w:rsidRPr="00FC6C65" w:rsidRDefault="005C0DB6" w:rsidP="005C0DB6">
      <w:pPr>
        <w:pStyle w:val="ListParagraph"/>
        <w:numPr>
          <w:ilvl w:val="0"/>
          <w:numId w:val="2"/>
        </w:numPr>
        <w:tabs>
          <w:tab w:val="left" w:pos="1182"/>
          <w:tab w:val="left" w:pos="1183"/>
        </w:tabs>
        <w:spacing w:before="0" w:line="295" w:lineRule="auto"/>
        <w:ind w:right="1161" w:firstLine="0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TRUE or FALSE: The following are possible consequences for non-</w:t>
      </w:r>
      <w:r w:rsidRPr="00FC6C65">
        <w:rPr>
          <w:rFonts w:asciiTheme="minorHAnsi" w:hAnsiTheme="minorHAnsi" w:cstheme="minorHAnsi"/>
          <w:spacing w:val="-82"/>
        </w:rPr>
        <w:t xml:space="preserve"> </w:t>
      </w:r>
      <w:r w:rsidRPr="00FC6C65">
        <w:rPr>
          <w:rFonts w:asciiTheme="minorHAnsi" w:hAnsiTheme="minorHAnsi" w:cstheme="minorHAnsi"/>
        </w:rPr>
        <w:t>compliance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in clinical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trials involving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human research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subjects:</w:t>
      </w:r>
    </w:p>
    <w:p w:rsidR="005C0DB6" w:rsidRPr="00FC6C65" w:rsidRDefault="005C0DB6" w:rsidP="005C0DB6">
      <w:pPr>
        <w:pStyle w:val="ListParagraph"/>
        <w:numPr>
          <w:ilvl w:val="0"/>
          <w:numId w:val="1"/>
        </w:numPr>
        <w:tabs>
          <w:tab w:val="left" w:pos="2623"/>
        </w:tabs>
        <w:spacing w:before="2"/>
        <w:ind w:hanging="305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Integrity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of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research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data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may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be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compromised</w:t>
      </w:r>
    </w:p>
    <w:p w:rsidR="005C0DB6" w:rsidRPr="00FC6C65" w:rsidRDefault="005C0DB6" w:rsidP="005C0DB6">
      <w:pPr>
        <w:pStyle w:val="ListParagraph"/>
        <w:numPr>
          <w:ilvl w:val="0"/>
          <w:numId w:val="1"/>
        </w:numPr>
        <w:tabs>
          <w:tab w:val="left" w:pos="2623"/>
        </w:tabs>
        <w:spacing w:before="69"/>
        <w:ind w:hanging="305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Safety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profile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of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investigational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product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may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be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inaccurate</w:t>
      </w:r>
    </w:p>
    <w:p w:rsidR="005C0DB6" w:rsidRPr="00FC6C65" w:rsidRDefault="005C0DB6" w:rsidP="005C0DB6">
      <w:pPr>
        <w:pStyle w:val="ListParagraph"/>
        <w:numPr>
          <w:ilvl w:val="0"/>
          <w:numId w:val="1"/>
        </w:numPr>
        <w:tabs>
          <w:tab w:val="left" w:pos="2689"/>
        </w:tabs>
        <w:ind w:left="2688" w:hanging="371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Disbarments</w:t>
      </w:r>
      <w:r w:rsidRPr="00FC6C65">
        <w:rPr>
          <w:rFonts w:asciiTheme="minorHAnsi" w:hAnsiTheme="minorHAnsi" w:cstheme="minorHAnsi"/>
          <w:spacing w:val="-4"/>
        </w:rPr>
        <w:t xml:space="preserve"> </w:t>
      </w:r>
      <w:r w:rsidRPr="00FC6C65">
        <w:rPr>
          <w:rFonts w:asciiTheme="minorHAnsi" w:hAnsiTheme="minorHAnsi" w:cstheme="minorHAnsi"/>
        </w:rPr>
        <w:t>and/or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criminal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prosecution</w:t>
      </w:r>
    </w:p>
    <w:p w:rsidR="005C0DB6" w:rsidRPr="00FC6C65" w:rsidRDefault="005C0DB6" w:rsidP="005C0DB6">
      <w:pPr>
        <w:pStyle w:val="Heading1"/>
        <w:numPr>
          <w:ilvl w:val="1"/>
          <w:numId w:val="2"/>
        </w:numPr>
        <w:tabs>
          <w:tab w:val="left" w:pos="1543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FC6C65">
        <w:rPr>
          <w:rFonts w:asciiTheme="minorHAnsi" w:hAnsiTheme="minorHAnsi" w:cstheme="minorHAnsi"/>
          <w:sz w:val="22"/>
          <w:szCs w:val="22"/>
        </w:rPr>
        <w:t>True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spacing w:before="69"/>
        <w:ind w:hanging="361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False</w:t>
      </w:r>
    </w:p>
    <w:p w:rsidR="005C0DB6" w:rsidRPr="00FC6C65" w:rsidRDefault="005C0DB6" w:rsidP="005C0DB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5C0DB6" w:rsidRPr="00FC6C65" w:rsidRDefault="005C0DB6" w:rsidP="005C0DB6">
      <w:pPr>
        <w:pStyle w:val="ListParagraph"/>
        <w:numPr>
          <w:ilvl w:val="0"/>
          <w:numId w:val="2"/>
        </w:numPr>
        <w:tabs>
          <w:tab w:val="left" w:pos="787"/>
        </w:tabs>
        <w:spacing w:before="0" w:line="295" w:lineRule="auto"/>
        <w:ind w:right="763" w:firstLine="0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Choose the best answer: In clinical trials involving human subjects, who</w:t>
      </w:r>
      <w:r w:rsidRPr="00FC6C65">
        <w:rPr>
          <w:rFonts w:asciiTheme="minorHAnsi" w:hAnsiTheme="minorHAnsi" w:cstheme="minorHAnsi"/>
          <w:spacing w:val="-82"/>
        </w:rPr>
        <w:t xml:space="preserve"> </w:t>
      </w:r>
      <w:r w:rsidRPr="00FC6C65">
        <w:rPr>
          <w:rFonts w:asciiTheme="minorHAnsi" w:hAnsiTheme="minorHAnsi" w:cstheme="minorHAnsi"/>
        </w:rPr>
        <w:t>works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to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ensure compliance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is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maintained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at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the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investigative site?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spacing w:before="3"/>
        <w:ind w:hanging="361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Clinical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Research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Coordinator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ind w:hanging="361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Sponsor/Monitor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spacing w:before="69"/>
        <w:ind w:hanging="361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IRB</w:t>
      </w:r>
    </w:p>
    <w:p w:rsidR="005C0DB6" w:rsidRPr="00FC6C65" w:rsidRDefault="005C0DB6" w:rsidP="005C0DB6">
      <w:pPr>
        <w:pStyle w:val="Heading1"/>
        <w:numPr>
          <w:ilvl w:val="1"/>
          <w:numId w:val="2"/>
        </w:numPr>
        <w:tabs>
          <w:tab w:val="left" w:pos="1543"/>
        </w:tabs>
        <w:spacing w:line="295" w:lineRule="auto"/>
        <w:ind w:right="604"/>
        <w:rPr>
          <w:rFonts w:asciiTheme="minorHAnsi" w:hAnsiTheme="minorHAnsi" w:cstheme="minorHAnsi"/>
          <w:sz w:val="22"/>
          <w:szCs w:val="22"/>
        </w:rPr>
      </w:pPr>
      <w:r w:rsidRPr="00FC6C65">
        <w:rPr>
          <w:rFonts w:asciiTheme="minorHAnsi" w:hAnsiTheme="minorHAnsi" w:cstheme="minorHAnsi"/>
          <w:sz w:val="22"/>
          <w:szCs w:val="22"/>
        </w:rPr>
        <w:t>Sponsor/Monitor, IRB, PI, and all site personnel assigned to</w:t>
      </w:r>
      <w:r w:rsidRPr="00FC6C65">
        <w:rPr>
          <w:rFonts w:asciiTheme="minorHAnsi" w:hAnsiTheme="minorHAnsi" w:cstheme="minorHAnsi"/>
          <w:spacing w:val="-80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the study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spacing w:before="2"/>
        <w:ind w:hanging="361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Principal</w:t>
      </w:r>
      <w:r w:rsidRPr="00FC6C65">
        <w:rPr>
          <w:rFonts w:asciiTheme="minorHAnsi" w:hAnsiTheme="minorHAnsi" w:cstheme="minorHAnsi"/>
          <w:spacing w:val="-4"/>
        </w:rPr>
        <w:t xml:space="preserve"> </w:t>
      </w:r>
      <w:r w:rsidRPr="00FC6C65">
        <w:rPr>
          <w:rFonts w:asciiTheme="minorHAnsi" w:hAnsiTheme="minorHAnsi" w:cstheme="minorHAnsi"/>
        </w:rPr>
        <w:t>Investigator</w:t>
      </w:r>
    </w:p>
    <w:p w:rsidR="005C0DB6" w:rsidRPr="00FC6C65" w:rsidRDefault="005C0DB6" w:rsidP="005C0DB6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5C0DB6" w:rsidRPr="00FC6C65" w:rsidRDefault="005C0DB6" w:rsidP="005C0DB6">
      <w:pPr>
        <w:pStyle w:val="ListParagraph"/>
        <w:numPr>
          <w:ilvl w:val="0"/>
          <w:numId w:val="2"/>
        </w:numPr>
        <w:tabs>
          <w:tab w:val="left" w:pos="787"/>
        </w:tabs>
        <w:spacing w:before="0" w:line="295" w:lineRule="auto"/>
        <w:ind w:right="1059" w:firstLine="0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Which of the following terms describes detailed written instructions to</w:t>
      </w:r>
      <w:r w:rsidRPr="00FC6C65">
        <w:rPr>
          <w:rFonts w:asciiTheme="minorHAnsi" w:hAnsiTheme="minorHAnsi" w:cstheme="minorHAnsi"/>
          <w:spacing w:val="-83"/>
        </w:rPr>
        <w:t xml:space="preserve"> </w:t>
      </w:r>
      <w:r w:rsidRPr="00FC6C65">
        <w:rPr>
          <w:rFonts w:asciiTheme="minorHAnsi" w:hAnsiTheme="minorHAnsi" w:cstheme="minorHAnsi"/>
        </w:rPr>
        <w:t>achieve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uniformity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of a specified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function?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spacing w:before="3"/>
        <w:ind w:hanging="361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Quality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Control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(QC)</w:t>
      </w:r>
    </w:p>
    <w:p w:rsidR="005C0DB6" w:rsidRPr="00FC6C65" w:rsidRDefault="005C0DB6" w:rsidP="005C0DB6">
      <w:pPr>
        <w:pStyle w:val="Heading1"/>
        <w:numPr>
          <w:ilvl w:val="1"/>
          <w:numId w:val="2"/>
        </w:numPr>
        <w:tabs>
          <w:tab w:val="left" w:pos="1543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FC6C65">
        <w:rPr>
          <w:rFonts w:asciiTheme="minorHAnsi" w:hAnsiTheme="minorHAnsi" w:cstheme="minorHAnsi"/>
          <w:sz w:val="22"/>
          <w:szCs w:val="22"/>
        </w:rPr>
        <w:t>Standard</w:t>
      </w:r>
      <w:r w:rsidRPr="00FC6C6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Operating</w:t>
      </w:r>
      <w:r w:rsidRPr="00FC6C6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Procedure</w:t>
      </w:r>
      <w:r w:rsidRPr="00FC6C6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(SOP)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ind w:hanging="361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Quality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Assurance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(QA)</w:t>
      </w:r>
    </w:p>
    <w:p w:rsidR="005C0DB6" w:rsidRPr="00FC6C65" w:rsidRDefault="005C0DB6" w:rsidP="005C0DB6">
      <w:pPr>
        <w:rPr>
          <w:rFonts w:asciiTheme="minorHAnsi" w:hAnsiTheme="minorHAnsi" w:cstheme="minorHAnsi"/>
        </w:rPr>
        <w:sectPr w:rsidR="005C0DB6" w:rsidRPr="00FC6C65">
          <w:pgSz w:w="12240" w:h="15840"/>
          <w:pgMar w:top="1500" w:right="960" w:bottom="280" w:left="980" w:header="720" w:footer="720" w:gutter="0"/>
          <w:cols w:space="720"/>
        </w:sectPr>
      </w:pP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spacing w:before="79"/>
        <w:ind w:hanging="361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Corrective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and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Preventive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Action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(CAPA)</w:t>
      </w:r>
    </w:p>
    <w:p w:rsidR="005C0DB6" w:rsidRPr="00FC6C65" w:rsidRDefault="005C0DB6" w:rsidP="005C0DB6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5C0DB6" w:rsidRPr="00FC6C65" w:rsidRDefault="005C0DB6" w:rsidP="005C0DB6">
      <w:pPr>
        <w:pStyle w:val="BodyText"/>
        <w:spacing w:before="0" w:line="295" w:lineRule="auto"/>
        <w:ind w:left="462" w:right="463"/>
        <w:rPr>
          <w:rFonts w:asciiTheme="minorHAnsi" w:hAnsiTheme="minorHAnsi" w:cstheme="minorHAnsi"/>
          <w:sz w:val="22"/>
          <w:szCs w:val="22"/>
        </w:rPr>
      </w:pPr>
      <w:r w:rsidRPr="00FC6C65">
        <w:rPr>
          <w:rFonts w:asciiTheme="minorHAnsi" w:hAnsiTheme="minorHAnsi" w:cstheme="minorHAnsi"/>
          <w:sz w:val="22"/>
          <w:szCs w:val="22"/>
        </w:rPr>
        <w:t>Questions 7-10: You are an auditor for a medical device company conducting</w:t>
      </w:r>
      <w:r w:rsidRPr="00FC6C65">
        <w:rPr>
          <w:rFonts w:asciiTheme="minorHAnsi" w:hAnsiTheme="minorHAnsi" w:cstheme="minorHAnsi"/>
          <w:spacing w:val="-82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an audit on five investigative sites currently active in a pivotal trial. The five</w:t>
      </w:r>
      <w:r w:rsidRPr="00FC6C6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sites are the highest enrolling sites in this trial and are known for their</w:t>
      </w:r>
      <w:r w:rsidRPr="00FC6C6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experience</w:t>
      </w:r>
      <w:r w:rsidRPr="00FC6C6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in conducting</w:t>
      </w:r>
      <w:r w:rsidRPr="00FC6C6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clinical research</w:t>
      </w:r>
      <w:r w:rsidRPr="00FC6C6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trials.</w:t>
      </w:r>
    </w:p>
    <w:p w:rsidR="005C0DB6" w:rsidRPr="00FC6C65" w:rsidRDefault="005C0DB6" w:rsidP="005C0DB6">
      <w:pPr>
        <w:pStyle w:val="BodyText"/>
        <w:spacing w:before="0"/>
        <w:ind w:left="0"/>
        <w:rPr>
          <w:rFonts w:asciiTheme="minorHAnsi" w:hAnsiTheme="minorHAnsi" w:cstheme="minorHAnsi"/>
          <w:sz w:val="22"/>
          <w:szCs w:val="22"/>
        </w:rPr>
      </w:pPr>
    </w:p>
    <w:p w:rsidR="005C0DB6" w:rsidRPr="00FC6C65" w:rsidRDefault="005C0DB6" w:rsidP="005C0DB6">
      <w:pPr>
        <w:pStyle w:val="ListParagraph"/>
        <w:numPr>
          <w:ilvl w:val="0"/>
          <w:numId w:val="2"/>
        </w:numPr>
        <w:tabs>
          <w:tab w:val="left" w:pos="787"/>
        </w:tabs>
        <w:spacing w:before="1" w:line="295" w:lineRule="auto"/>
        <w:ind w:right="531" w:firstLine="0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The main objective of your audit will be to determine each site’s level of</w:t>
      </w:r>
      <w:r w:rsidRPr="00FC6C65">
        <w:rPr>
          <w:rFonts w:asciiTheme="minorHAnsi" w:hAnsiTheme="minorHAnsi" w:cstheme="minorHAnsi"/>
          <w:spacing w:val="1"/>
        </w:rPr>
        <w:t xml:space="preserve"> </w:t>
      </w:r>
      <w:r w:rsidRPr="00FC6C65">
        <w:rPr>
          <w:rFonts w:asciiTheme="minorHAnsi" w:hAnsiTheme="minorHAnsi" w:cstheme="minorHAnsi"/>
        </w:rPr>
        <w:t>compliance with the requirements of the clinical study and if each site has a</w:t>
      </w:r>
      <w:r w:rsidRPr="00FC6C65">
        <w:rPr>
          <w:rFonts w:asciiTheme="minorHAnsi" w:hAnsiTheme="minorHAnsi" w:cstheme="minorHAnsi"/>
          <w:spacing w:val="1"/>
        </w:rPr>
        <w:t xml:space="preserve"> </w:t>
      </w:r>
      <w:r w:rsidRPr="00FC6C65">
        <w:rPr>
          <w:rFonts w:asciiTheme="minorHAnsi" w:hAnsiTheme="minorHAnsi" w:cstheme="minorHAnsi"/>
        </w:rPr>
        <w:t>system for managing any issues discovered. Which of the following elements</w:t>
      </w:r>
      <w:r w:rsidRPr="00FC6C65">
        <w:rPr>
          <w:rFonts w:asciiTheme="minorHAnsi" w:hAnsiTheme="minorHAnsi" w:cstheme="minorHAnsi"/>
          <w:spacing w:val="-83"/>
        </w:rPr>
        <w:t xml:space="preserve"> </w:t>
      </w:r>
      <w:r w:rsidRPr="00FC6C65">
        <w:rPr>
          <w:rFonts w:asciiTheme="minorHAnsi" w:hAnsiTheme="minorHAnsi" w:cstheme="minorHAnsi"/>
        </w:rPr>
        <w:t>will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you need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to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evaluate?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spacing w:before="5"/>
        <w:ind w:hanging="361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The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Sponsor’s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Standard</w:t>
      </w:r>
      <w:r w:rsidRPr="00FC6C65">
        <w:rPr>
          <w:rFonts w:asciiTheme="minorHAnsi" w:hAnsiTheme="minorHAnsi" w:cstheme="minorHAnsi"/>
          <w:spacing w:val="-4"/>
        </w:rPr>
        <w:t xml:space="preserve"> </w:t>
      </w:r>
      <w:r w:rsidRPr="00FC6C65">
        <w:rPr>
          <w:rFonts w:asciiTheme="minorHAnsi" w:hAnsiTheme="minorHAnsi" w:cstheme="minorHAnsi"/>
        </w:rPr>
        <w:t>Operating</w:t>
      </w:r>
      <w:r w:rsidRPr="00FC6C65">
        <w:rPr>
          <w:rFonts w:asciiTheme="minorHAnsi" w:hAnsiTheme="minorHAnsi" w:cstheme="minorHAnsi"/>
          <w:spacing w:val="-4"/>
        </w:rPr>
        <w:t xml:space="preserve"> </w:t>
      </w:r>
      <w:r w:rsidRPr="00FC6C65">
        <w:rPr>
          <w:rFonts w:asciiTheme="minorHAnsi" w:hAnsiTheme="minorHAnsi" w:cstheme="minorHAnsi"/>
        </w:rPr>
        <w:t>Procedures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ind w:hanging="361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The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IRB’s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Standard</w:t>
      </w:r>
      <w:r w:rsidRPr="00FC6C65">
        <w:rPr>
          <w:rFonts w:asciiTheme="minorHAnsi" w:hAnsiTheme="minorHAnsi" w:cstheme="minorHAnsi"/>
          <w:spacing w:val="-4"/>
        </w:rPr>
        <w:t xml:space="preserve"> </w:t>
      </w:r>
      <w:r w:rsidRPr="00FC6C65">
        <w:rPr>
          <w:rFonts w:asciiTheme="minorHAnsi" w:hAnsiTheme="minorHAnsi" w:cstheme="minorHAnsi"/>
        </w:rPr>
        <w:t>Operating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Procedures</w:t>
      </w:r>
    </w:p>
    <w:p w:rsidR="005C0DB6" w:rsidRPr="00FC6C65" w:rsidRDefault="005C0DB6" w:rsidP="005C0DB6">
      <w:pPr>
        <w:pStyle w:val="Heading1"/>
        <w:numPr>
          <w:ilvl w:val="1"/>
          <w:numId w:val="2"/>
        </w:numPr>
        <w:tabs>
          <w:tab w:val="left" w:pos="1543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FC6C65">
        <w:rPr>
          <w:rFonts w:asciiTheme="minorHAnsi" w:hAnsiTheme="minorHAnsi" w:cstheme="minorHAnsi"/>
          <w:sz w:val="22"/>
          <w:szCs w:val="22"/>
        </w:rPr>
        <w:t>Protocol</w:t>
      </w:r>
      <w:r w:rsidRPr="00FC6C6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compliance and the handling</w:t>
      </w:r>
      <w:r w:rsidRPr="00FC6C6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of deviations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spacing w:before="69"/>
        <w:ind w:hanging="361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Sponsor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compliance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with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regulations</w:t>
      </w:r>
    </w:p>
    <w:p w:rsidR="005C0DB6" w:rsidRPr="00FC6C65" w:rsidRDefault="005C0DB6" w:rsidP="005C0DB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5C0DB6" w:rsidRPr="00FC6C65" w:rsidRDefault="005C0DB6" w:rsidP="005C0DB6">
      <w:pPr>
        <w:pStyle w:val="ListParagraph"/>
        <w:numPr>
          <w:ilvl w:val="0"/>
          <w:numId w:val="2"/>
        </w:numPr>
        <w:tabs>
          <w:tab w:val="left" w:pos="787"/>
        </w:tabs>
        <w:spacing w:before="0" w:line="295" w:lineRule="auto"/>
        <w:ind w:right="503" w:firstLine="0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Which of the following audit observations found at one of the sites may be</w:t>
      </w:r>
      <w:r w:rsidRPr="00FC6C65">
        <w:rPr>
          <w:rFonts w:asciiTheme="minorHAnsi" w:hAnsiTheme="minorHAnsi" w:cstheme="minorHAnsi"/>
          <w:spacing w:val="-82"/>
        </w:rPr>
        <w:t xml:space="preserve"> </w:t>
      </w:r>
      <w:r w:rsidRPr="00FC6C65">
        <w:rPr>
          <w:rFonts w:asciiTheme="minorHAnsi" w:hAnsiTheme="minorHAnsi" w:cstheme="minorHAnsi"/>
        </w:rPr>
        <w:t>indicative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of fraud?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spacing w:before="3"/>
        <w:ind w:hanging="361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The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site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has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an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average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number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of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protocol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deviations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ind w:hanging="361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There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are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an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expected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number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of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subject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dropouts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spacing w:before="69"/>
        <w:ind w:hanging="361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The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site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does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not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have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Standard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Operating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Procedures</w:t>
      </w:r>
    </w:p>
    <w:p w:rsidR="005C0DB6" w:rsidRPr="00FC6C65" w:rsidRDefault="005C0DB6" w:rsidP="005C0DB6">
      <w:pPr>
        <w:pStyle w:val="Heading1"/>
        <w:numPr>
          <w:ilvl w:val="1"/>
          <w:numId w:val="2"/>
        </w:numPr>
        <w:tabs>
          <w:tab w:val="left" w:pos="1543"/>
        </w:tabs>
        <w:spacing w:line="295" w:lineRule="auto"/>
        <w:ind w:right="901"/>
        <w:rPr>
          <w:rFonts w:asciiTheme="minorHAnsi" w:hAnsiTheme="minorHAnsi" w:cstheme="minorHAnsi"/>
          <w:sz w:val="22"/>
          <w:szCs w:val="22"/>
        </w:rPr>
      </w:pPr>
      <w:r w:rsidRPr="00FC6C65">
        <w:rPr>
          <w:rFonts w:asciiTheme="minorHAnsi" w:hAnsiTheme="minorHAnsi" w:cstheme="minorHAnsi"/>
          <w:sz w:val="22"/>
          <w:szCs w:val="22"/>
        </w:rPr>
        <w:t>The Investigator’s signature on case report forms in black</w:t>
      </w:r>
      <w:r w:rsidRPr="00FC6C65">
        <w:rPr>
          <w:rFonts w:asciiTheme="minorHAnsi" w:hAnsiTheme="minorHAnsi" w:cstheme="minorHAnsi"/>
          <w:spacing w:val="-80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ink</w:t>
      </w:r>
      <w:r w:rsidRPr="00FC6C6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yet the signature is dated in blue ink.</w:t>
      </w:r>
    </w:p>
    <w:p w:rsidR="005C0DB6" w:rsidRPr="00FC6C65" w:rsidRDefault="005C0DB6" w:rsidP="005C0DB6">
      <w:pPr>
        <w:pStyle w:val="BodyText"/>
        <w:spacing w:before="10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C0DB6" w:rsidRPr="00FC6C65" w:rsidRDefault="005C0DB6" w:rsidP="005C0DB6">
      <w:pPr>
        <w:pStyle w:val="ListParagraph"/>
        <w:numPr>
          <w:ilvl w:val="0"/>
          <w:numId w:val="2"/>
        </w:numPr>
        <w:tabs>
          <w:tab w:val="left" w:pos="787"/>
        </w:tabs>
        <w:spacing w:before="0" w:line="295" w:lineRule="auto"/>
        <w:ind w:right="544" w:firstLine="0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At one of the sites, you note a trend in the data and source documents</w:t>
      </w:r>
      <w:r w:rsidRPr="00FC6C65">
        <w:rPr>
          <w:rFonts w:asciiTheme="minorHAnsi" w:hAnsiTheme="minorHAnsi" w:cstheme="minorHAnsi"/>
          <w:spacing w:val="1"/>
        </w:rPr>
        <w:t xml:space="preserve"> </w:t>
      </w:r>
      <w:r w:rsidRPr="00FC6C65">
        <w:rPr>
          <w:rFonts w:asciiTheme="minorHAnsi" w:hAnsiTheme="minorHAnsi" w:cstheme="minorHAnsi"/>
        </w:rPr>
        <w:t>that may potentially be a threat to the integrity of the clinical trial data.</w:t>
      </w:r>
      <w:r w:rsidRPr="00FC6C65">
        <w:rPr>
          <w:rFonts w:asciiTheme="minorHAnsi" w:hAnsiTheme="minorHAnsi" w:cstheme="minorHAnsi"/>
          <w:spacing w:val="1"/>
        </w:rPr>
        <w:t xml:space="preserve"> </w:t>
      </w:r>
      <w:r w:rsidRPr="00FC6C65">
        <w:rPr>
          <w:rFonts w:asciiTheme="minorHAnsi" w:hAnsiTheme="minorHAnsi" w:cstheme="minorHAnsi"/>
        </w:rPr>
        <w:t>Which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of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the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following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would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pose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a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threat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to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the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integrity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of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the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clinical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trial</w:t>
      </w:r>
      <w:r w:rsidRPr="00FC6C65">
        <w:rPr>
          <w:rFonts w:asciiTheme="minorHAnsi" w:hAnsiTheme="minorHAnsi" w:cstheme="minorHAnsi"/>
          <w:spacing w:val="-81"/>
        </w:rPr>
        <w:t xml:space="preserve"> </w:t>
      </w:r>
      <w:r w:rsidRPr="00FC6C65">
        <w:rPr>
          <w:rFonts w:asciiTheme="minorHAnsi" w:hAnsiTheme="minorHAnsi" w:cstheme="minorHAnsi"/>
        </w:rPr>
        <w:t>data?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spacing w:before="5"/>
        <w:ind w:hanging="361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The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site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does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not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have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Standard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Operating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Procedures</w:t>
      </w:r>
    </w:p>
    <w:p w:rsidR="005C0DB6" w:rsidRPr="00FC6C65" w:rsidRDefault="005C0DB6" w:rsidP="005C0DB6">
      <w:pPr>
        <w:pStyle w:val="Heading1"/>
        <w:numPr>
          <w:ilvl w:val="1"/>
          <w:numId w:val="2"/>
        </w:numPr>
        <w:tabs>
          <w:tab w:val="left" w:pos="1543"/>
        </w:tabs>
        <w:spacing w:line="295" w:lineRule="auto"/>
        <w:ind w:right="795"/>
        <w:rPr>
          <w:rFonts w:asciiTheme="minorHAnsi" w:hAnsiTheme="minorHAnsi" w:cstheme="minorHAnsi"/>
          <w:sz w:val="22"/>
          <w:szCs w:val="22"/>
        </w:rPr>
      </w:pPr>
      <w:r w:rsidRPr="00FC6C65">
        <w:rPr>
          <w:rFonts w:asciiTheme="minorHAnsi" w:hAnsiTheme="minorHAnsi" w:cstheme="minorHAnsi"/>
          <w:sz w:val="22"/>
          <w:szCs w:val="22"/>
        </w:rPr>
        <w:t>The site did not report the occurrence of numerous serious</w:t>
      </w:r>
      <w:r w:rsidRPr="00FC6C65">
        <w:rPr>
          <w:rFonts w:asciiTheme="minorHAnsi" w:hAnsiTheme="minorHAnsi" w:cstheme="minorHAnsi"/>
          <w:spacing w:val="-80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adverse</w:t>
      </w:r>
      <w:r w:rsidRPr="00FC6C6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events</w:t>
      </w:r>
      <w:r w:rsidRPr="00FC6C6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to</w:t>
      </w:r>
      <w:r w:rsidRPr="00FC6C6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the</w:t>
      </w:r>
      <w:r w:rsidRPr="00FC6C6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sponsor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spacing w:before="3" w:line="295" w:lineRule="auto"/>
        <w:ind w:right="1268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The site did not properly inform the IRB of numerous protocol</w:t>
      </w:r>
      <w:r w:rsidRPr="00FC6C65">
        <w:rPr>
          <w:rFonts w:asciiTheme="minorHAnsi" w:hAnsiTheme="minorHAnsi" w:cstheme="minorHAnsi"/>
          <w:spacing w:val="-83"/>
        </w:rPr>
        <w:t xml:space="preserve"> </w:t>
      </w:r>
      <w:r w:rsidRPr="00FC6C65">
        <w:rPr>
          <w:rFonts w:asciiTheme="minorHAnsi" w:hAnsiTheme="minorHAnsi" w:cstheme="minorHAnsi"/>
        </w:rPr>
        <w:t>deviations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spacing w:before="2" w:line="295" w:lineRule="auto"/>
        <w:ind w:right="955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The site did not implement a CAPA to correct and prevent future</w:t>
      </w:r>
      <w:r w:rsidRPr="00FC6C65">
        <w:rPr>
          <w:rFonts w:asciiTheme="minorHAnsi" w:hAnsiTheme="minorHAnsi" w:cstheme="minorHAnsi"/>
          <w:spacing w:val="-82"/>
        </w:rPr>
        <w:t xml:space="preserve"> </w:t>
      </w:r>
      <w:r w:rsidRPr="00FC6C65">
        <w:rPr>
          <w:rFonts w:asciiTheme="minorHAnsi" w:hAnsiTheme="minorHAnsi" w:cstheme="minorHAnsi"/>
        </w:rPr>
        <w:t>issues</w:t>
      </w:r>
    </w:p>
    <w:p w:rsidR="005C0DB6" w:rsidRPr="00FC6C65" w:rsidRDefault="005C0DB6" w:rsidP="005C0DB6">
      <w:pPr>
        <w:spacing w:line="295" w:lineRule="auto"/>
        <w:rPr>
          <w:rFonts w:asciiTheme="minorHAnsi" w:hAnsiTheme="minorHAnsi" w:cstheme="minorHAnsi"/>
        </w:rPr>
        <w:sectPr w:rsidR="005C0DB6" w:rsidRPr="00FC6C65">
          <w:pgSz w:w="12240" w:h="15840"/>
          <w:pgMar w:top="1400" w:right="960" w:bottom="280" w:left="980" w:header="720" w:footer="720" w:gutter="0"/>
          <w:cols w:space="720"/>
        </w:sectPr>
      </w:pPr>
    </w:p>
    <w:p w:rsidR="005C0DB6" w:rsidRPr="00FC6C65" w:rsidRDefault="005C0DB6" w:rsidP="005C0DB6">
      <w:pPr>
        <w:pStyle w:val="ListParagraph"/>
        <w:numPr>
          <w:ilvl w:val="0"/>
          <w:numId w:val="2"/>
        </w:numPr>
        <w:tabs>
          <w:tab w:val="left" w:pos="940"/>
        </w:tabs>
        <w:spacing w:before="79" w:line="295" w:lineRule="auto"/>
        <w:ind w:right="701" w:firstLine="0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While at a different site, you are able to find documentation that</w:t>
      </w:r>
      <w:r w:rsidRPr="00FC6C65">
        <w:rPr>
          <w:rFonts w:asciiTheme="minorHAnsi" w:hAnsiTheme="minorHAnsi" w:cstheme="minorHAnsi"/>
          <w:spacing w:val="1"/>
        </w:rPr>
        <w:t xml:space="preserve"> </w:t>
      </w:r>
      <w:r w:rsidRPr="00FC6C65">
        <w:rPr>
          <w:rFonts w:asciiTheme="minorHAnsi" w:hAnsiTheme="minorHAnsi" w:cstheme="minorHAnsi"/>
        </w:rPr>
        <w:t>informed consent was obtained for each subject but you also discover</w:t>
      </w:r>
      <w:r w:rsidRPr="00FC6C65">
        <w:rPr>
          <w:rFonts w:asciiTheme="minorHAnsi" w:hAnsiTheme="minorHAnsi" w:cstheme="minorHAnsi"/>
          <w:spacing w:val="1"/>
        </w:rPr>
        <w:t xml:space="preserve"> </w:t>
      </w:r>
      <w:r w:rsidRPr="00FC6C65">
        <w:rPr>
          <w:rFonts w:asciiTheme="minorHAnsi" w:hAnsiTheme="minorHAnsi" w:cstheme="minorHAnsi"/>
        </w:rPr>
        <w:t>numerous inconsistencies on the informed consent documents for several</w:t>
      </w:r>
      <w:r w:rsidRPr="00FC6C65">
        <w:rPr>
          <w:rFonts w:asciiTheme="minorHAnsi" w:hAnsiTheme="minorHAnsi" w:cstheme="minorHAnsi"/>
          <w:spacing w:val="1"/>
        </w:rPr>
        <w:t xml:space="preserve"> </w:t>
      </w:r>
      <w:r w:rsidRPr="00FC6C65">
        <w:rPr>
          <w:rFonts w:asciiTheme="minorHAnsi" w:hAnsiTheme="minorHAnsi" w:cstheme="minorHAnsi"/>
        </w:rPr>
        <w:t>subjects. After discussing this with the investigator, the investigator states</w:t>
      </w:r>
      <w:r w:rsidRPr="00FC6C65">
        <w:rPr>
          <w:rFonts w:asciiTheme="minorHAnsi" w:hAnsiTheme="minorHAnsi" w:cstheme="minorHAnsi"/>
          <w:spacing w:val="-82"/>
        </w:rPr>
        <w:t xml:space="preserve"> </w:t>
      </w:r>
      <w:r w:rsidRPr="00FC6C65">
        <w:rPr>
          <w:rFonts w:asciiTheme="minorHAnsi" w:hAnsiTheme="minorHAnsi" w:cstheme="minorHAnsi"/>
        </w:rPr>
        <w:t>he has developed a SOP detailing how to properly obtain informed consent.</w:t>
      </w:r>
      <w:r w:rsidRPr="00FC6C65">
        <w:rPr>
          <w:rFonts w:asciiTheme="minorHAnsi" w:hAnsiTheme="minorHAnsi" w:cstheme="minorHAnsi"/>
          <w:spacing w:val="-82"/>
        </w:rPr>
        <w:t xml:space="preserve"> </w:t>
      </w:r>
      <w:r w:rsidRPr="00FC6C65">
        <w:rPr>
          <w:rFonts w:asciiTheme="minorHAnsi" w:hAnsiTheme="minorHAnsi" w:cstheme="minorHAnsi"/>
        </w:rPr>
        <w:t>Which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of the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following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process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changes should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you recommend?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spacing w:before="8"/>
        <w:ind w:hanging="361"/>
        <w:jc w:val="both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Recommend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the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IRB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immediately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close</w:t>
      </w:r>
      <w:r w:rsidRPr="00FC6C65">
        <w:rPr>
          <w:rFonts w:asciiTheme="minorHAnsi" w:hAnsiTheme="minorHAnsi" w:cstheme="minorHAnsi"/>
          <w:spacing w:val="-3"/>
        </w:rPr>
        <w:t xml:space="preserve"> </w:t>
      </w:r>
      <w:r w:rsidRPr="00FC6C65">
        <w:rPr>
          <w:rFonts w:asciiTheme="minorHAnsi" w:hAnsiTheme="minorHAnsi" w:cstheme="minorHAnsi"/>
        </w:rPr>
        <w:t>the</w:t>
      </w:r>
      <w:r w:rsidRPr="00FC6C65">
        <w:rPr>
          <w:rFonts w:asciiTheme="minorHAnsi" w:hAnsiTheme="minorHAnsi" w:cstheme="minorHAnsi"/>
          <w:spacing w:val="-1"/>
        </w:rPr>
        <w:t xml:space="preserve"> </w:t>
      </w:r>
      <w:r w:rsidRPr="00FC6C65">
        <w:rPr>
          <w:rFonts w:asciiTheme="minorHAnsi" w:hAnsiTheme="minorHAnsi" w:cstheme="minorHAnsi"/>
        </w:rPr>
        <w:t>investigative</w:t>
      </w:r>
      <w:r w:rsidRPr="00FC6C65">
        <w:rPr>
          <w:rFonts w:asciiTheme="minorHAnsi" w:hAnsiTheme="minorHAnsi" w:cstheme="minorHAnsi"/>
          <w:spacing w:val="-2"/>
        </w:rPr>
        <w:t xml:space="preserve"> </w:t>
      </w:r>
      <w:r w:rsidRPr="00FC6C65">
        <w:rPr>
          <w:rFonts w:asciiTheme="minorHAnsi" w:hAnsiTheme="minorHAnsi" w:cstheme="minorHAnsi"/>
        </w:rPr>
        <w:t>site</w:t>
      </w:r>
    </w:p>
    <w:p w:rsidR="005C0DB6" w:rsidRPr="00FC6C65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spacing w:line="295" w:lineRule="auto"/>
        <w:ind w:right="1031"/>
        <w:jc w:val="both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Recommend the site eliminate the current staff and re-hire new</w:t>
      </w:r>
      <w:r w:rsidRPr="00FC6C65">
        <w:rPr>
          <w:rFonts w:asciiTheme="minorHAnsi" w:hAnsiTheme="minorHAnsi" w:cstheme="minorHAnsi"/>
          <w:spacing w:val="-82"/>
        </w:rPr>
        <w:t xml:space="preserve"> </w:t>
      </w:r>
      <w:r w:rsidRPr="00FC6C65">
        <w:rPr>
          <w:rFonts w:asciiTheme="minorHAnsi" w:hAnsiTheme="minorHAnsi" w:cstheme="minorHAnsi"/>
        </w:rPr>
        <w:t>staff</w:t>
      </w:r>
    </w:p>
    <w:p w:rsidR="005C0DB6" w:rsidRPr="00FC6C65" w:rsidRDefault="005C0DB6" w:rsidP="005C0DB6">
      <w:pPr>
        <w:pStyle w:val="Heading1"/>
        <w:numPr>
          <w:ilvl w:val="1"/>
          <w:numId w:val="2"/>
        </w:numPr>
        <w:tabs>
          <w:tab w:val="left" w:pos="1543"/>
        </w:tabs>
        <w:spacing w:before="3" w:line="295" w:lineRule="auto"/>
        <w:ind w:right="934"/>
        <w:jc w:val="both"/>
        <w:rPr>
          <w:rFonts w:asciiTheme="minorHAnsi" w:hAnsiTheme="minorHAnsi" w:cstheme="minorHAnsi"/>
          <w:sz w:val="22"/>
          <w:szCs w:val="22"/>
        </w:rPr>
      </w:pPr>
      <w:r w:rsidRPr="00FC6C65">
        <w:rPr>
          <w:rFonts w:asciiTheme="minorHAnsi" w:hAnsiTheme="minorHAnsi" w:cstheme="minorHAnsi"/>
          <w:sz w:val="22"/>
          <w:szCs w:val="22"/>
        </w:rPr>
        <w:t>Recommend the site implement a training program for all</w:t>
      </w:r>
      <w:r w:rsidRPr="00FC6C65">
        <w:rPr>
          <w:rFonts w:asciiTheme="minorHAnsi" w:hAnsiTheme="minorHAnsi" w:cstheme="minorHAnsi"/>
          <w:spacing w:val="-80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study personnel on how to properly deliver and document</w:t>
      </w:r>
      <w:r w:rsidRPr="00FC6C65">
        <w:rPr>
          <w:rFonts w:asciiTheme="minorHAnsi" w:hAnsiTheme="minorHAnsi" w:cstheme="minorHAnsi"/>
          <w:spacing w:val="-80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the</w:t>
      </w:r>
      <w:r w:rsidRPr="00FC6C6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C6C65">
        <w:rPr>
          <w:rFonts w:asciiTheme="minorHAnsi" w:hAnsiTheme="minorHAnsi" w:cstheme="minorHAnsi"/>
          <w:sz w:val="22"/>
          <w:szCs w:val="22"/>
        </w:rPr>
        <w:t>informed consent process.</w:t>
      </w:r>
    </w:p>
    <w:p w:rsidR="005C0DB6" w:rsidRDefault="005C0DB6" w:rsidP="005C0DB6">
      <w:pPr>
        <w:pStyle w:val="ListParagraph"/>
        <w:numPr>
          <w:ilvl w:val="1"/>
          <w:numId w:val="2"/>
        </w:numPr>
        <w:tabs>
          <w:tab w:val="left" w:pos="1543"/>
        </w:tabs>
        <w:spacing w:before="3" w:line="592" w:lineRule="auto"/>
        <w:ind w:left="462" w:right="908" w:firstLine="720"/>
        <w:rPr>
          <w:rFonts w:asciiTheme="minorHAnsi" w:hAnsiTheme="minorHAnsi" w:cstheme="minorHAnsi"/>
        </w:rPr>
      </w:pPr>
      <w:r w:rsidRPr="00FC6C65">
        <w:rPr>
          <w:rFonts w:asciiTheme="minorHAnsi" w:hAnsiTheme="minorHAnsi" w:cstheme="minorHAnsi"/>
        </w:rPr>
        <w:t>Recommend the sponsor immediately close the investigative site</w:t>
      </w:r>
    </w:p>
    <w:bookmarkEnd w:id="0"/>
    <w:p w:rsidR="00153CB8" w:rsidRDefault="00153CB8"/>
    <w:sectPr w:rsidR="00153CB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26565D"/>
    <w:multiLevelType w:val="hybridMultilevel"/>
    <w:tmpl w:val="0DFCC88E"/>
    <w:lvl w:ilvl="0" w:tplc="8BE8EC42">
      <w:start w:val="1"/>
      <w:numFmt w:val="lowerRoman"/>
      <w:lvlText w:val="%1."/>
      <w:lvlJc w:val="left"/>
      <w:pPr>
        <w:ind w:left="2622" w:hanging="304"/>
        <w:jc w:val="left"/>
      </w:pPr>
      <w:rPr>
        <w:rFonts w:ascii="Verdana" w:eastAsia="Verdana" w:hAnsi="Verdana" w:cs="Verdana" w:hint="default"/>
        <w:w w:val="100"/>
        <w:sz w:val="24"/>
        <w:szCs w:val="24"/>
        <w:lang w:val="en-US" w:eastAsia="en-US" w:bidi="ar-SA"/>
      </w:rPr>
    </w:lvl>
    <w:lvl w:ilvl="1" w:tplc="2AECEC64">
      <w:numFmt w:val="bullet"/>
      <w:lvlText w:val="•"/>
      <w:lvlJc w:val="left"/>
      <w:pPr>
        <w:ind w:left="3388" w:hanging="304"/>
      </w:pPr>
      <w:rPr>
        <w:rFonts w:hint="default"/>
        <w:lang w:val="en-US" w:eastAsia="en-US" w:bidi="ar-SA"/>
      </w:rPr>
    </w:lvl>
    <w:lvl w:ilvl="2" w:tplc="6512F92E">
      <w:numFmt w:val="bullet"/>
      <w:lvlText w:val="•"/>
      <w:lvlJc w:val="left"/>
      <w:pPr>
        <w:ind w:left="4156" w:hanging="304"/>
      </w:pPr>
      <w:rPr>
        <w:rFonts w:hint="default"/>
        <w:lang w:val="en-US" w:eastAsia="en-US" w:bidi="ar-SA"/>
      </w:rPr>
    </w:lvl>
    <w:lvl w:ilvl="3" w:tplc="F9327978">
      <w:numFmt w:val="bullet"/>
      <w:lvlText w:val="•"/>
      <w:lvlJc w:val="left"/>
      <w:pPr>
        <w:ind w:left="4924" w:hanging="304"/>
      </w:pPr>
      <w:rPr>
        <w:rFonts w:hint="default"/>
        <w:lang w:val="en-US" w:eastAsia="en-US" w:bidi="ar-SA"/>
      </w:rPr>
    </w:lvl>
    <w:lvl w:ilvl="4" w:tplc="4BC67DF0">
      <w:numFmt w:val="bullet"/>
      <w:lvlText w:val="•"/>
      <w:lvlJc w:val="left"/>
      <w:pPr>
        <w:ind w:left="5692" w:hanging="304"/>
      </w:pPr>
      <w:rPr>
        <w:rFonts w:hint="default"/>
        <w:lang w:val="en-US" w:eastAsia="en-US" w:bidi="ar-SA"/>
      </w:rPr>
    </w:lvl>
    <w:lvl w:ilvl="5" w:tplc="DF18236C">
      <w:numFmt w:val="bullet"/>
      <w:lvlText w:val="•"/>
      <w:lvlJc w:val="left"/>
      <w:pPr>
        <w:ind w:left="6460" w:hanging="304"/>
      </w:pPr>
      <w:rPr>
        <w:rFonts w:hint="default"/>
        <w:lang w:val="en-US" w:eastAsia="en-US" w:bidi="ar-SA"/>
      </w:rPr>
    </w:lvl>
    <w:lvl w:ilvl="6" w:tplc="67443416">
      <w:numFmt w:val="bullet"/>
      <w:lvlText w:val="•"/>
      <w:lvlJc w:val="left"/>
      <w:pPr>
        <w:ind w:left="7228" w:hanging="304"/>
      </w:pPr>
      <w:rPr>
        <w:rFonts w:hint="default"/>
        <w:lang w:val="en-US" w:eastAsia="en-US" w:bidi="ar-SA"/>
      </w:rPr>
    </w:lvl>
    <w:lvl w:ilvl="7" w:tplc="A9AA70AA">
      <w:numFmt w:val="bullet"/>
      <w:lvlText w:val="•"/>
      <w:lvlJc w:val="left"/>
      <w:pPr>
        <w:ind w:left="7996" w:hanging="304"/>
      </w:pPr>
      <w:rPr>
        <w:rFonts w:hint="default"/>
        <w:lang w:val="en-US" w:eastAsia="en-US" w:bidi="ar-SA"/>
      </w:rPr>
    </w:lvl>
    <w:lvl w:ilvl="8" w:tplc="92CE78C0">
      <w:numFmt w:val="bullet"/>
      <w:lvlText w:val="•"/>
      <w:lvlJc w:val="left"/>
      <w:pPr>
        <w:ind w:left="8764" w:hanging="304"/>
      </w:pPr>
      <w:rPr>
        <w:rFonts w:hint="default"/>
        <w:lang w:val="en-US" w:eastAsia="en-US" w:bidi="ar-SA"/>
      </w:rPr>
    </w:lvl>
  </w:abstractNum>
  <w:abstractNum w:abstractNumId="1">
    <w:nsid w:val="7EBD7980"/>
    <w:multiLevelType w:val="hybridMultilevel"/>
    <w:tmpl w:val="049AD5A0"/>
    <w:lvl w:ilvl="0" w:tplc="D7CC2DBC">
      <w:start w:val="1"/>
      <w:numFmt w:val="decimal"/>
      <w:lvlText w:val="%1."/>
      <w:lvlJc w:val="left"/>
      <w:pPr>
        <w:ind w:left="462" w:hanging="325"/>
        <w:jc w:val="left"/>
      </w:pPr>
      <w:rPr>
        <w:rFonts w:ascii="Verdana" w:eastAsia="Verdana" w:hAnsi="Verdana" w:cs="Verdana" w:hint="default"/>
        <w:spacing w:val="-1"/>
        <w:w w:val="100"/>
        <w:sz w:val="24"/>
        <w:szCs w:val="24"/>
        <w:lang w:val="en-US" w:eastAsia="en-US" w:bidi="ar-SA"/>
      </w:rPr>
    </w:lvl>
    <w:lvl w:ilvl="1" w:tplc="F3D84124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2" w:tplc="729E9AD6">
      <w:numFmt w:val="bullet"/>
      <w:lvlText w:val="•"/>
      <w:lvlJc w:val="left"/>
      <w:pPr>
        <w:ind w:left="2513" w:hanging="360"/>
      </w:pPr>
      <w:rPr>
        <w:rFonts w:hint="default"/>
        <w:lang w:val="en-US" w:eastAsia="en-US" w:bidi="ar-SA"/>
      </w:rPr>
    </w:lvl>
    <w:lvl w:ilvl="3" w:tplc="810C0678">
      <w:numFmt w:val="bullet"/>
      <w:lvlText w:val="•"/>
      <w:lvlJc w:val="left"/>
      <w:pPr>
        <w:ind w:left="3486" w:hanging="360"/>
      </w:pPr>
      <w:rPr>
        <w:rFonts w:hint="default"/>
        <w:lang w:val="en-US" w:eastAsia="en-US" w:bidi="ar-SA"/>
      </w:rPr>
    </w:lvl>
    <w:lvl w:ilvl="4" w:tplc="73F2984A">
      <w:numFmt w:val="bullet"/>
      <w:lvlText w:val="•"/>
      <w:lvlJc w:val="left"/>
      <w:pPr>
        <w:ind w:left="4460" w:hanging="360"/>
      </w:pPr>
      <w:rPr>
        <w:rFonts w:hint="default"/>
        <w:lang w:val="en-US" w:eastAsia="en-US" w:bidi="ar-SA"/>
      </w:rPr>
    </w:lvl>
    <w:lvl w:ilvl="5" w:tplc="C7B2B2BC">
      <w:numFmt w:val="bullet"/>
      <w:lvlText w:val="•"/>
      <w:lvlJc w:val="left"/>
      <w:pPr>
        <w:ind w:left="5433" w:hanging="360"/>
      </w:pPr>
      <w:rPr>
        <w:rFonts w:hint="default"/>
        <w:lang w:val="en-US" w:eastAsia="en-US" w:bidi="ar-SA"/>
      </w:rPr>
    </w:lvl>
    <w:lvl w:ilvl="6" w:tplc="43D6BF7A">
      <w:numFmt w:val="bullet"/>
      <w:lvlText w:val="•"/>
      <w:lvlJc w:val="left"/>
      <w:pPr>
        <w:ind w:left="6406" w:hanging="360"/>
      </w:pPr>
      <w:rPr>
        <w:rFonts w:hint="default"/>
        <w:lang w:val="en-US" w:eastAsia="en-US" w:bidi="ar-SA"/>
      </w:rPr>
    </w:lvl>
    <w:lvl w:ilvl="7" w:tplc="484AC6C8">
      <w:numFmt w:val="bullet"/>
      <w:lvlText w:val="•"/>
      <w:lvlJc w:val="left"/>
      <w:pPr>
        <w:ind w:left="7380" w:hanging="360"/>
      </w:pPr>
      <w:rPr>
        <w:rFonts w:hint="default"/>
        <w:lang w:val="en-US" w:eastAsia="en-US" w:bidi="ar-SA"/>
      </w:rPr>
    </w:lvl>
    <w:lvl w:ilvl="8" w:tplc="8D544B64">
      <w:numFmt w:val="bullet"/>
      <w:lvlText w:val="•"/>
      <w:lvlJc w:val="left"/>
      <w:pPr>
        <w:ind w:left="8353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DB6"/>
    <w:rsid w:val="00153CB8"/>
    <w:rsid w:val="005C0DB6"/>
    <w:rsid w:val="00BC6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3087F5-977F-43B8-A852-4095E8C3E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C0DB6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C0DB6"/>
    <w:pPr>
      <w:spacing w:before="68"/>
      <w:ind w:left="1542" w:hanging="3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C0DB6"/>
    <w:rPr>
      <w:rFonts w:ascii="Verdana" w:eastAsia="Verdana" w:hAnsi="Verdana" w:cs="Verdana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C0DB6"/>
    <w:pPr>
      <w:spacing w:before="68"/>
      <w:ind w:left="154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C0DB6"/>
    <w:rPr>
      <w:rFonts w:ascii="Verdana" w:eastAsia="Verdana" w:hAnsi="Verdana" w:cs="Verdan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5C0DB6"/>
    <w:pPr>
      <w:spacing w:before="68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682</Words>
  <Characters>3888</Characters>
  <Application>Microsoft Office Word</Application>
  <DocSecurity>0</DocSecurity>
  <Lines>32</Lines>
  <Paragraphs>9</Paragraphs>
  <ScaleCrop>false</ScaleCrop>
  <Company/>
  <LinksUpToDate>false</LinksUpToDate>
  <CharactersWithSpaces>4561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2021-06-28T06:37:00Z</dcterms:created>
  <dcterms:modified xsi:type="dcterms:W3CDTF">2021-06-28T06:49:00Z</dcterms:modified>
</cp:coreProperties>
</file>