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A41358" w14:textId="77777777" w:rsidR="0047474E" w:rsidRPr="00B20DD0" w:rsidRDefault="0047474E" w:rsidP="00B20DD0">
      <w:pPr>
        <w:spacing w:line="360" w:lineRule="auto"/>
        <w:jc w:val="center"/>
        <w:rPr>
          <w:rFonts w:ascii="Arial" w:hAnsi="Arial" w:cs="Arial"/>
          <w:szCs w:val="24"/>
        </w:rPr>
      </w:pPr>
    </w:p>
    <w:p w14:paraId="4D86F647" w14:textId="77777777" w:rsidR="0047474E" w:rsidRPr="00B20DD0" w:rsidRDefault="0047474E" w:rsidP="00B20DD0">
      <w:pPr>
        <w:spacing w:line="360" w:lineRule="auto"/>
        <w:jc w:val="center"/>
        <w:rPr>
          <w:rFonts w:ascii="Arial" w:hAnsi="Arial" w:cs="Arial"/>
          <w:szCs w:val="24"/>
        </w:rPr>
      </w:pPr>
    </w:p>
    <w:p w14:paraId="4DA2DD6E" w14:textId="77777777" w:rsidR="0047474E" w:rsidRPr="00B20DD0" w:rsidRDefault="0047474E" w:rsidP="00B20DD0">
      <w:pPr>
        <w:spacing w:line="360" w:lineRule="auto"/>
        <w:jc w:val="center"/>
        <w:rPr>
          <w:rFonts w:ascii="Arial" w:hAnsi="Arial" w:cs="Arial"/>
          <w:szCs w:val="24"/>
        </w:rPr>
      </w:pPr>
    </w:p>
    <w:p w14:paraId="7C15A46B" w14:textId="77777777" w:rsidR="0047474E" w:rsidRPr="00B20DD0" w:rsidRDefault="0047474E" w:rsidP="00B20DD0">
      <w:pPr>
        <w:spacing w:line="360" w:lineRule="auto"/>
        <w:jc w:val="center"/>
        <w:rPr>
          <w:rFonts w:ascii="Arial" w:hAnsi="Arial" w:cs="Arial"/>
          <w:szCs w:val="24"/>
        </w:rPr>
      </w:pPr>
    </w:p>
    <w:p w14:paraId="65518671" w14:textId="77777777" w:rsidR="0047474E" w:rsidRPr="00B20DD0" w:rsidRDefault="0047474E" w:rsidP="00B20DD0">
      <w:pPr>
        <w:spacing w:line="360" w:lineRule="auto"/>
        <w:jc w:val="center"/>
        <w:rPr>
          <w:rFonts w:ascii="Arial" w:hAnsi="Arial" w:cs="Arial"/>
          <w:szCs w:val="24"/>
        </w:rPr>
      </w:pPr>
    </w:p>
    <w:p w14:paraId="039F9AB6" w14:textId="77777777" w:rsidR="0047474E" w:rsidRPr="00B20DD0" w:rsidRDefault="0047474E" w:rsidP="00B20DD0">
      <w:pPr>
        <w:spacing w:line="360" w:lineRule="auto"/>
        <w:jc w:val="center"/>
        <w:rPr>
          <w:rFonts w:ascii="Arial" w:hAnsi="Arial" w:cs="Arial"/>
          <w:szCs w:val="24"/>
        </w:rPr>
      </w:pPr>
    </w:p>
    <w:p w14:paraId="3F57CC8C" w14:textId="4367E0CF" w:rsidR="00BD1779" w:rsidRPr="00B20DD0" w:rsidRDefault="0004515F" w:rsidP="00B20DD0">
      <w:pPr>
        <w:spacing w:line="360" w:lineRule="auto"/>
        <w:jc w:val="center"/>
        <w:rPr>
          <w:rFonts w:ascii="Arial" w:hAnsi="Arial" w:cs="Arial"/>
          <w:szCs w:val="24"/>
        </w:rPr>
      </w:pPr>
      <w:r w:rsidRPr="00B20DD0">
        <w:rPr>
          <w:rFonts w:ascii="Arial" w:hAnsi="Arial" w:cs="Arial"/>
          <w:szCs w:val="24"/>
        </w:rPr>
        <w:t>Short Essay Questions</w:t>
      </w:r>
    </w:p>
    <w:p w14:paraId="6591C02B" w14:textId="1A6D944E" w:rsidR="00BD1779" w:rsidRPr="00B20DD0" w:rsidRDefault="0047474E" w:rsidP="00B20DD0">
      <w:pPr>
        <w:spacing w:line="360" w:lineRule="auto"/>
        <w:jc w:val="center"/>
        <w:rPr>
          <w:rFonts w:ascii="Arial" w:hAnsi="Arial" w:cs="Arial"/>
          <w:szCs w:val="24"/>
        </w:rPr>
      </w:pPr>
      <w:r w:rsidRPr="00B20DD0">
        <w:rPr>
          <w:rFonts w:ascii="Arial" w:hAnsi="Arial" w:cs="Arial"/>
          <w:szCs w:val="24"/>
        </w:rPr>
        <w:t>Student</w:t>
      </w:r>
    </w:p>
    <w:p w14:paraId="4C3CD9DE" w14:textId="54DD612B" w:rsidR="00BD1779" w:rsidRPr="00B20DD0" w:rsidRDefault="0004515F" w:rsidP="00B20DD0">
      <w:pPr>
        <w:spacing w:line="360" w:lineRule="auto"/>
        <w:jc w:val="center"/>
        <w:rPr>
          <w:rFonts w:ascii="Arial" w:hAnsi="Arial" w:cs="Arial"/>
          <w:szCs w:val="24"/>
        </w:rPr>
      </w:pPr>
      <w:r w:rsidRPr="00B20DD0">
        <w:rPr>
          <w:rFonts w:ascii="Arial" w:hAnsi="Arial" w:cs="Arial"/>
          <w:szCs w:val="24"/>
        </w:rPr>
        <w:t>Institution</w:t>
      </w:r>
    </w:p>
    <w:p w14:paraId="2FDFFA81" w14:textId="4F701509" w:rsidR="00BD1779" w:rsidRPr="00B20DD0" w:rsidRDefault="0004515F" w:rsidP="00B20DD0">
      <w:pPr>
        <w:spacing w:line="360" w:lineRule="auto"/>
        <w:jc w:val="center"/>
        <w:rPr>
          <w:rFonts w:ascii="Arial" w:hAnsi="Arial" w:cs="Arial"/>
          <w:szCs w:val="24"/>
        </w:rPr>
      </w:pPr>
      <w:r w:rsidRPr="00B20DD0">
        <w:rPr>
          <w:rFonts w:ascii="Arial" w:hAnsi="Arial" w:cs="Arial"/>
          <w:szCs w:val="24"/>
        </w:rPr>
        <w:t>Course</w:t>
      </w:r>
    </w:p>
    <w:p w14:paraId="481A6C94" w14:textId="5F90AF5B" w:rsidR="0047474E" w:rsidRPr="00B20DD0" w:rsidRDefault="0047474E" w:rsidP="00B20DD0">
      <w:pPr>
        <w:spacing w:line="360" w:lineRule="auto"/>
        <w:jc w:val="center"/>
        <w:rPr>
          <w:rFonts w:ascii="Arial" w:hAnsi="Arial" w:cs="Arial"/>
          <w:szCs w:val="24"/>
        </w:rPr>
      </w:pPr>
      <w:r w:rsidRPr="00B20DD0">
        <w:rPr>
          <w:rFonts w:ascii="Arial" w:hAnsi="Arial" w:cs="Arial"/>
          <w:szCs w:val="24"/>
        </w:rPr>
        <w:t>Instructor</w:t>
      </w:r>
    </w:p>
    <w:p w14:paraId="0BEC1327" w14:textId="1CFEDCAF" w:rsidR="00C219B1" w:rsidRPr="00B20DD0" w:rsidRDefault="0004515F" w:rsidP="00B20DD0">
      <w:pPr>
        <w:spacing w:line="360" w:lineRule="auto"/>
        <w:jc w:val="center"/>
        <w:rPr>
          <w:rFonts w:ascii="Arial" w:hAnsi="Arial" w:cs="Arial"/>
          <w:szCs w:val="24"/>
        </w:rPr>
      </w:pPr>
      <w:r w:rsidRPr="00B20DD0">
        <w:rPr>
          <w:rFonts w:ascii="Arial" w:hAnsi="Arial" w:cs="Arial"/>
          <w:szCs w:val="24"/>
        </w:rPr>
        <w:t>Date</w:t>
      </w:r>
    </w:p>
    <w:p w14:paraId="53966EFA" w14:textId="77777777" w:rsidR="0047474E" w:rsidRPr="00B20DD0" w:rsidRDefault="0047474E" w:rsidP="00B20DD0">
      <w:pPr>
        <w:spacing w:line="360" w:lineRule="auto"/>
        <w:rPr>
          <w:rFonts w:ascii="Arial" w:hAnsi="Arial" w:cs="Arial"/>
          <w:b/>
          <w:bCs/>
          <w:szCs w:val="24"/>
        </w:rPr>
      </w:pPr>
      <w:r w:rsidRPr="00B20DD0">
        <w:rPr>
          <w:rFonts w:ascii="Arial" w:hAnsi="Arial" w:cs="Arial"/>
          <w:b/>
          <w:bCs/>
          <w:szCs w:val="24"/>
        </w:rPr>
        <w:br w:type="page"/>
      </w:r>
    </w:p>
    <w:p w14:paraId="6CC92CA2" w14:textId="7864F1A0" w:rsidR="00BD1779" w:rsidRPr="00B20DD0" w:rsidRDefault="0004515F" w:rsidP="00B20DD0">
      <w:pPr>
        <w:spacing w:line="360" w:lineRule="auto"/>
        <w:jc w:val="center"/>
        <w:rPr>
          <w:rFonts w:ascii="Arial" w:hAnsi="Arial" w:cs="Arial"/>
          <w:b/>
          <w:bCs/>
          <w:szCs w:val="24"/>
        </w:rPr>
      </w:pPr>
      <w:r w:rsidRPr="00B20DD0">
        <w:rPr>
          <w:rFonts w:ascii="Arial" w:hAnsi="Arial" w:cs="Arial"/>
          <w:b/>
          <w:bCs/>
          <w:szCs w:val="24"/>
        </w:rPr>
        <w:lastRenderedPageBreak/>
        <w:t>Short Answer Questions</w:t>
      </w:r>
    </w:p>
    <w:p w14:paraId="38662724" w14:textId="3B52C35C" w:rsidR="00723E37" w:rsidRPr="00B20DD0" w:rsidRDefault="0004515F" w:rsidP="00B20DD0">
      <w:pPr>
        <w:spacing w:line="360" w:lineRule="auto"/>
        <w:jc w:val="center"/>
        <w:rPr>
          <w:rFonts w:ascii="Arial" w:hAnsi="Arial" w:cs="Arial"/>
          <w:b/>
          <w:bCs/>
          <w:szCs w:val="24"/>
        </w:rPr>
      </w:pPr>
      <w:r w:rsidRPr="00B20DD0">
        <w:rPr>
          <w:rFonts w:ascii="Arial" w:hAnsi="Arial" w:cs="Arial"/>
          <w:b/>
          <w:bCs/>
          <w:szCs w:val="24"/>
        </w:rPr>
        <w:t>In relation to Contracts Act 1950, write a short essay on the following.</w:t>
      </w:r>
    </w:p>
    <w:p w14:paraId="2CFA8C05" w14:textId="435A755D" w:rsidR="003A206E" w:rsidRPr="00B20DD0" w:rsidRDefault="0004515F" w:rsidP="007C4CE4">
      <w:pPr>
        <w:spacing w:line="360" w:lineRule="auto"/>
        <w:ind w:firstLine="720"/>
        <w:jc w:val="both"/>
        <w:rPr>
          <w:rFonts w:ascii="Arial" w:hAnsi="Arial" w:cs="Arial"/>
          <w:szCs w:val="24"/>
        </w:rPr>
      </w:pPr>
      <w:r w:rsidRPr="00B20DD0">
        <w:rPr>
          <w:rFonts w:ascii="Arial" w:hAnsi="Arial" w:cs="Arial"/>
          <w:szCs w:val="24"/>
        </w:rPr>
        <w:t xml:space="preserve">Coercion refers to committing or even threatening to commit any forbidden act as indicated in the Indian Penal Code. It refers to unlawfully detaining and even threatening to detain a property to the bias of any person. This is usually done with the intention of causing a given person to get into an agreement. According to section 15, coercion is committing a forbidden act as stated in the Indian Penal </w:t>
      </w:r>
      <w:r w:rsidR="00810601" w:rsidRPr="00B20DD0">
        <w:rPr>
          <w:rFonts w:ascii="Arial" w:hAnsi="Arial" w:cs="Arial"/>
          <w:szCs w:val="24"/>
        </w:rPr>
        <w:t xml:space="preserve">Code, unlawfully detaining property, or even threatening to commit these acts. Coercion in invalidating a contract does not proceed from a party or even </w:t>
      </w:r>
      <w:proofErr w:type="gramStart"/>
      <w:r w:rsidR="00810601" w:rsidRPr="00B20DD0">
        <w:rPr>
          <w:rFonts w:ascii="Arial" w:hAnsi="Arial" w:cs="Arial"/>
          <w:szCs w:val="24"/>
        </w:rPr>
        <w:t>be</w:t>
      </w:r>
      <w:proofErr w:type="gramEnd"/>
      <w:r w:rsidR="00810601" w:rsidRPr="00B20DD0">
        <w:rPr>
          <w:rFonts w:ascii="Arial" w:hAnsi="Arial" w:cs="Arial"/>
          <w:szCs w:val="24"/>
        </w:rPr>
        <w:t xml:space="preserve"> directed against a person to whom it intends to cause to enter into a contract. Coercion, according to this act, refers to unlawfully detaining </w:t>
      </w:r>
      <w:r w:rsidR="00E858C8" w:rsidRPr="00B20DD0">
        <w:rPr>
          <w:rFonts w:ascii="Arial" w:hAnsi="Arial" w:cs="Arial"/>
          <w:szCs w:val="24"/>
        </w:rPr>
        <w:t>property. It</w:t>
      </w:r>
      <w:r w:rsidR="00810601" w:rsidRPr="00B20DD0">
        <w:rPr>
          <w:rFonts w:ascii="Arial" w:hAnsi="Arial" w:cs="Arial"/>
          <w:szCs w:val="24"/>
        </w:rPr>
        <w:t xml:space="preserve"> is immaterial whether the penal code </w:t>
      </w:r>
      <w:r w:rsidR="00E858C8" w:rsidRPr="00B20DD0">
        <w:rPr>
          <w:rFonts w:ascii="Arial" w:hAnsi="Arial" w:cs="Arial"/>
          <w:szCs w:val="24"/>
        </w:rPr>
        <w:t>is in force or not in force in instances where coercion is employed</w:t>
      </w:r>
      <w:r w:rsidR="00B10C02" w:rsidRPr="00B20DD0">
        <w:rPr>
          <w:rFonts w:ascii="Arial" w:hAnsi="Arial" w:cs="Arial"/>
          <w:szCs w:val="24"/>
        </w:rPr>
        <w:t xml:space="preserve"> (Aun, 1975)</w:t>
      </w:r>
      <w:r w:rsidR="00E858C8" w:rsidRPr="00B20DD0">
        <w:rPr>
          <w:rFonts w:ascii="Arial" w:hAnsi="Arial" w:cs="Arial"/>
          <w:szCs w:val="24"/>
        </w:rPr>
        <w:t>.</w:t>
      </w:r>
    </w:p>
    <w:p w14:paraId="1C9479B9" w14:textId="5CCD7BF3" w:rsidR="00E858C8" w:rsidRPr="00B20DD0" w:rsidRDefault="0004515F" w:rsidP="00B20DD0">
      <w:pPr>
        <w:spacing w:line="360" w:lineRule="auto"/>
        <w:jc w:val="center"/>
        <w:rPr>
          <w:rFonts w:ascii="Arial" w:hAnsi="Arial" w:cs="Arial"/>
          <w:b/>
          <w:bCs/>
          <w:szCs w:val="24"/>
        </w:rPr>
      </w:pPr>
      <w:r w:rsidRPr="00B20DD0">
        <w:rPr>
          <w:rFonts w:ascii="Arial" w:hAnsi="Arial" w:cs="Arial"/>
          <w:b/>
          <w:bCs/>
          <w:szCs w:val="24"/>
        </w:rPr>
        <w:t>Example</w:t>
      </w:r>
    </w:p>
    <w:p w14:paraId="24263C44" w14:textId="6B03ACDB" w:rsidR="00E858C8" w:rsidRPr="00B20DD0" w:rsidRDefault="0004515F" w:rsidP="007C4CE4">
      <w:pPr>
        <w:spacing w:line="360" w:lineRule="auto"/>
        <w:ind w:firstLine="720"/>
        <w:jc w:val="both"/>
        <w:rPr>
          <w:rFonts w:ascii="Arial" w:hAnsi="Arial" w:cs="Arial"/>
          <w:szCs w:val="24"/>
        </w:rPr>
      </w:pPr>
      <w:r w:rsidRPr="00B20DD0">
        <w:rPr>
          <w:rFonts w:ascii="Arial" w:hAnsi="Arial" w:cs="Arial"/>
          <w:szCs w:val="24"/>
        </w:rPr>
        <w:t xml:space="preserve">Peter onboards an English ship on high seas even where he causes Zack to criminal intimidation as indicated under the penal code. Later on, Peter sues Zack for breaching the Taiping contract. In this case, </w:t>
      </w:r>
      <w:r w:rsidR="0035450B" w:rsidRPr="00B20DD0">
        <w:rPr>
          <w:rFonts w:ascii="Arial" w:hAnsi="Arial" w:cs="Arial"/>
          <w:szCs w:val="24"/>
        </w:rPr>
        <w:t>Peter has employed coercion even though it is not under England under and even though it is not indicated under section 506 of the penal code.</w:t>
      </w:r>
    </w:p>
    <w:p w14:paraId="070B3497" w14:textId="17311B89" w:rsidR="00B93804" w:rsidRPr="00B20DD0" w:rsidRDefault="0004515F" w:rsidP="007C4CE4">
      <w:pPr>
        <w:spacing w:line="360" w:lineRule="auto"/>
        <w:jc w:val="both"/>
        <w:rPr>
          <w:rFonts w:ascii="Arial" w:hAnsi="Arial" w:cs="Arial"/>
          <w:szCs w:val="24"/>
        </w:rPr>
      </w:pPr>
      <w:r w:rsidRPr="00B20DD0">
        <w:rPr>
          <w:rFonts w:ascii="Arial" w:hAnsi="Arial" w:cs="Arial"/>
          <w:szCs w:val="24"/>
        </w:rPr>
        <w:t xml:space="preserve">As stated in section </w:t>
      </w:r>
      <w:r w:rsidR="00973696" w:rsidRPr="00B20DD0">
        <w:rPr>
          <w:rFonts w:ascii="Arial" w:hAnsi="Arial" w:cs="Arial"/>
          <w:szCs w:val="24"/>
        </w:rPr>
        <w:t>19, in</w:t>
      </w:r>
      <w:r w:rsidRPr="00B20DD0">
        <w:rPr>
          <w:rFonts w:ascii="Arial" w:hAnsi="Arial" w:cs="Arial"/>
          <w:szCs w:val="24"/>
        </w:rPr>
        <w:t xml:space="preserve"> instances where consent is obtained based on coercion, the agreement in the contract is void since there is a party whose </w:t>
      </w:r>
      <w:r w:rsidR="00973696" w:rsidRPr="00B20DD0">
        <w:rPr>
          <w:rFonts w:ascii="Arial" w:hAnsi="Arial" w:cs="Arial"/>
          <w:szCs w:val="24"/>
        </w:rPr>
        <w:t>consent was not free, and this party is referred to as an aggrieved party.</w:t>
      </w:r>
    </w:p>
    <w:p w14:paraId="51FA0D3E" w14:textId="18D2077F" w:rsidR="005F6C0E" w:rsidRPr="00B20DD0" w:rsidRDefault="0004515F" w:rsidP="007C4CE4">
      <w:pPr>
        <w:spacing w:line="360" w:lineRule="auto"/>
        <w:jc w:val="both"/>
        <w:rPr>
          <w:rFonts w:ascii="Arial" w:hAnsi="Arial" w:cs="Arial"/>
          <w:szCs w:val="24"/>
        </w:rPr>
      </w:pPr>
      <w:r w:rsidRPr="00B20DD0">
        <w:rPr>
          <w:rFonts w:ascii="Arial" w:hAnsi="Arial" w:cs="Arial"/>
          <w:szCs w:val="24"/>
        </w:rPr>
        <w:tab/>
        <w:t>As stated in section 19, in the event where consent is obtained through coercion, the agreement is believed to be void since there is a party whose consent was not free, and in this case, the party is the aggrieved party. If the aggrieved party avoids the contract, he cannot be obliged to keep his promise</w:t>
      </w:r>
      <w:r w:rsidR="00B10C02" w:rsidRPr="00B20DD0">
        <w:rPr>
          <w:rFonts w:ascii="Arial" w:hAnsi="Arial" w:cs="Arial"/>
          <w:szCs w:val="24"/>
        </w:rPr>
        <w:t xml:space="preserve"> (Aun, 1975)</w:t>
      </w:r>
      <w:r w:rsidRPr="00B20DD0">
        <w:rPr>
          <w:rFonts w:ascii="Arial" w:hAnsi="Arial" w:cs="Arial"/>
          <w:szCs w:val="24"/>
        </w:rPr>
        <w:t>.</w:t>
      </w:r>
    </w:p>
    <w:p w14:paraId="55F5C9F1" w14:textId="1D131294" w:rsidR="005F6C0E" w:rsidRPr="00B20DD0" w:rsidRDefault="0004515F" w:rsidP="00B20DD0">
      <w:pPr>
        <w:spacing w:line="360" w:lineRule="auto"/>
        <w:jc w:val="center"/>
        <w:rPr>
          <w:rFonts w:ascii="Arial" w:hAnsi="Arial" w:cs="Arial"/>
          <w:b/>
          <w:bCs/>
          <w:szCs w:val="24"/>
        </w:rPr>
      </w:pPr>
      <w:r w:rsidRPr="00B20DD0">
        <w:rPr>
          <w:rFonts w:ascii="Arial" w:hAnsi="Arial" w:cs="Arial"/>
          <w:b/>
          <w:bCs/>
          <w:szCs w:val="24"/>
        </w:rPr>
        <w:t>Example</w:t>
      </w:r>
    </w:p>
    <w:p w14:paraId="7DFFF1F0" w14:textId="0D95CF8C" w:rsidR="005F6C0E" w:rsidRPr="00B20DD0" w:rsidRDefault="0004515F" w:rsidP="007C4CE4">
      <w:pPr>
        <w:spacing w:line="360" w:lineRule="auto"/>
        <w:ind w:firstLine="720"/>
        <w:jc w:val="both"/>
        <w:rPr>
          <w:rFonts w:ascii="Arial" w:hAnsi="Arial" w:cs="Arial"/>
          <w:szCs w:val="24"/>
        </w:rPr>
      </w:pPr>
      <w:r w:rsidRPr="00B20DD0">
        <w:rPr>
          <w:rFonts w:ascii="Arial" w:hAnsi="Arial" w:cs="Arial"/>
          <w:szCs w:val="24"/>
        </w:rPr>
        <w:t xml:space="preserve">Suppose person A threatens to murder person B in the event where he refuses to sell his bike for 1000 pounds to </w:t>
      </w:r>
      <w:proofErr w:type="gramStart"/>
      <w:r w:rsidRPr="00B20DD0">
        <w:rPr>
          <w:rFonts w:ascii="Arial" w:hAnsi="Arial" w:cs="Arial"/>
          <w:szCs w:val="24"/>
        </w:rPr>
        <w:t>him,</w:t>
      </w:r>
      <w:proofErr w:type="gramEnd"/>
      <w:r w:rsidRPr="00B20DD0">
        <w:rPr>
          <w:rFonts w:ascii="Arial" w:hAnsi="Arial" w:cs="Arial"/>
          <w:szCs w:val="24"/>
        </w:rPr>
        <w:t xml:space="preserve"> and B sells him the bike and receives his </w:t>
      </w:r>
      <w:r w:rsidRPr="00B20DD0">
        <w:rPr>
          <w:rFonts w:ascii="Arial" w:hAnsi="Arial" w:cs="Arial"/>
          <w:szCs w:val="24"/>
        </w:rPr>
        <w:lastRenderedPageBreak/>
        <w:t xml:space="preserve">payment in return. In that case, it means that B's consent was not free, and if he, therefore, chooses to avoid the </w:t>
      </w:r>
      <w:r w:rsidR="007547D5" w:rsidRPr="00B20DD0">
        <w:rPr>
          <w:rFonts w:ascii="Arial" w:hAnsi="Arial" w:cs="Arial"/>
          <w:szCs w:val="24"/>
        </w:rPr>
        <w:t>contract,</w:t>
      </w:r>
      <w:r w:rsidRPr="00B20DD0">
        <w:rPr>
          <w:rFonts w:ascii="Arial" w:hAnsi="Arial" w:cs="Arial"/>
          <w:szCs w:val="24"/>
        </w:rPr>
        <w:t xml:space="preserve"> he will return the 1000 pounds he had initially received from person A.</w:t>
      </w:r>
    </w:p>
    <w:p w14:paraId="7C6D0EDF" w14:textId="5162F198" w:rsidR="007547D5" w:rsidRPr="00B20DD0" w:rsidRDefault="0004515F" w:rsidP="007C4CE4">
      <w:pPr>
        <w:spacing w:line="360" w:lineRule="auto"/>
        <w:ind w:firstLine="720"/>
        <w:jc w:val="both"/>
        <w:rPr>
          <w:rFonts w:ascii="Arial" w:hAnsi="Arial" w:cs="Arial"/>
          <w:szCs w:val="24"/>
        </w:rPr>
      </w:pPr>
      <w:r w:rsidRPr="00B20DD0">
        <w:rPr>
          <w:rFonts w:ascii="Arial" w:hAnsi="Arial" w:cs="Arial"/>
          <w:szCs w:val="24"/>
        </w:rPr>
        <w:t>In the event where conditions for coercion are found, the resulting effect is having the whole contract canceled or rescheduled. Once the contract is canceled, both parties will be relieved of their contractual duties as initially stated in the contract or agreement. For any contract to be enforceable legally, all parties involved are required to participate in it willingly. The contract is therefore not valid if one party was forced into undertaking it through threats. The above rule applies to the specific terms required in a contract and the contract in general. Primarily, this means that both parties must be willing to enter into a contract at any time and must therefore agree to all individual terms</w:t>
      </w:r>
      <w:r w:rsidR="00C219B1" w:rsidRPr="00B20DD0">
        <w:rPr>
          <w:rFonts w:ascii="Arial" w:hAnsi="Arial" w:cs="Arial"/>
          <w:szCs w:val="24"/>
        </w:rPr>
        <w:t xml:space="preserve"> (</w:t>
      </w:r>
      <w:proofErr w:type="spellStart"/>
      <w:r w:rsidR="00C219B1" w:rsidRPr="00B20DD0">
        <w:rPr>
          <w:rFonts w:ascii="Arial" w:hAnsi="Arial" w:cs="Arial"/>
          <w:szCs w:val="24"/>
        </w:rPr>
        <w:t>Sivils</w:t>
      </w:r>
      <w:proofErr w:type="spellEnd"/>
      <w:r w:rsidR="00C219B1" w:rsidRPr="00B20DD0">
        <w:rPr>
          <w:rFonts w:ascii="Arial" w:hAnsi="Arial" w:cs="Arial"/>
          <w:szCs w:val="24"/>
        </w:rPr>
        <w:t>, 1962)</w:t>
      </w:r>
      <w:r w:rsidRPr="00B20DD0">
        <w:rPr>
          <w:rFonts w:ascii="Arial" w:hAnsi="Arial" w:cs="Arial"/>
          <w:szCs w:val="24"/>
        </w:rPr>
        <w:t>. A contract may be terminated by reason of one party breaching it. Termination of a breach can arise due to:</w:t>
      </w:r>
    </w:p>
    <w:p w14:paraId="43AEE5BE" w14:textId="49AA508B" w:rsidR="006D2865" w:rsidRPr="00B20DD0" w:rsidRDefault="0004515F" w:rsidP="007C4CE4">
      <w:pPr>
        <w:numPr>
          <w:ilvl w:val="0"/>
          <w:numId w:val="1"/>
        </w:numPr>
        <w:spacing w:line="360" w:lineRule="auto"/>
        <w:jc w:val="both"/>
        <w:rPr>
          <w:rFonts w:ascii="Arial" w:hAnsi="Arial" w:cs="Arial"/>
          <w:szCs w:val="24"/>
        </w:rPr>
      </w:pPr>
      <w:r w:rsidRPr="00B20DD0">
        <w:rPr>
          <w:rFonts w:ascii="Arial" w:hAnsi="Arial" w:cs="Arial"/>
          <w:szCs w:val="24"/>
        </w:rPr>
        <w:t>A single party in the contract breaching the contract.</w:t>
      </w:r>
    </w:p>
    <w:p w14:paraId="39E7C526" w14:textId="077EFF94" w:rsidR="006D2865" w:rsidRPr="00B20DD0" w:rsidRDefault="0004515F" w:rsidP="007C4CE4">
      <w:pPr>
        <w:numPr>
          <w:ilvl w:val="0"/>
          <w:numId w:val="1"/>
        </w:numPr>
        <w:spacing w:line="360" w:lineRule="auto"/>
        <w:jc w:val="both"/>
        <w:rPr>
          <w:rFonts w:ascii="Arial" w:hAnsi="Arial" w:cs="Arial"/>
          <w:szCs w:val="24"/>
        </w:rPr>
      </w:pPr>
      <w:r w:rsidRPr="00B20DD0">
        <w:rPr>
          <w:rFonts w:ascii="Arial" w:hAnsi="Arial" w:cs="Arial"/>
          <w:szCs w:val="24"/>
        </w:rPr>
        <w:t xml:space="preserve">The breach being an anticipatory </w:t>
      </w:r>
      <w:r w:rsidR="006367C9" w:rsidRPr="00B20DD0">
        <w:rPr>
          <w:rFonts w:ascii="Arial" w:hAnsi="Arial" w:cs="Arial"/>
          <w:szCs w:val="24"/>
        </w:rPr>
        <w:t xml:space="preserve">breach or a repudiatory breach  </w:t>
      </w:r>
      <w:r w:rsidRPr="00B20DD0">
        <w:rPr>
          <w:rFonts w:ascii="Arial" w:hAnsi="Arial" w:cs="Arial"/>
          <w:szCs w:val="24"/>
        </w:rPr>
        <w:t xml:space="preserve"> </w:t>
      </w:r>
    </w:p>
    <w:p w14:paraId="26275C8B" w14:textId="13639936" w:rsidR="006D2865" w:rsidRPr="00B20DD0" w:rsidRDefault="0004515F" w:rsidP="007C4CE4">
      <w:pPr>
        <w:numPr>
          <w:ilvl w:val="0"/>
          <w:numId w:val="1"/>
        </w:numPr>
        <w:spacing w:line="360" w:lineRule="auto"/>
        <w:jc w:val="both"/>
        <w:rPr>
          <w:rFonts w:ascii="Arial" w:hAnsi="Arial" w:cs="Arial"/>
          <w:szCs w:val="24"/>
        </w:rPr>
      </w:pPr>
      <w:r w:rsidRPr="00B20DD0">
        <w:rPr>
          <w:rFonts w:ascii="Arial" w:hAnsi="Arial" w:cs="Arial"/>
          <w:szCs w:val="24"/>
        </w:rPr>
        <w:t>The party deemed to be innocent accepting the breach.</w:t>
      </w:r>
    </w:p>
    <w:p w14:paraId="6EF969FB" w14:textId="61784544" w:rsidR="006367C9" w:rsidRPr="00B20DD0" w:rsidRDefault="0004515F" w:rsidP="00B20DD0">
      <w:pPr>
        <w:spacing w:line="360" w:lineRule="auto"/>
        <w:ind w:left="360"/>
        <w:jc w:val="center"/>
        <w:rPr>
          <w:rFonts w:ascii="Arial" w:hAnsi="Arial" w:cs="Arial"/>
          <w:b/>
          <w:bCs/>
          <w:szCs w:val="24"/>
        </w:rPr>
      </w:pPr>
      <w:r w:rsidRPr="00B20DD0">
        <w:rPr>
          <w:rFonts w:ascii="Arial" w:hAnsi="Arial" w:cs="Arial"/>
          <w:b/>
          <w:bCs/>
          <w:szCs w:val="24"/>
        </w:rPr>
        <w:t>b) Mistake</w:t>
      </w:r>
    </w:p>
    <w:p w14:paraId="3AF9934A" w14:textId="48D5C816" w:rsidR="00437390" w:rsidRPr="00B20DD0" w:rsidRDefault="0004515F" w:rsidP="007C4CE4">
      <w:pPr>
        <w:spacing w:line="360" w:lineRule="auto"/>
        <w:ind w:firstLine="360"/>
        <w:jc w:val="both"/>
        <w:rPr>
          <w:rFonts w:ascii="Arial" w:hAnsi="Arial" w:cs="Arial"/>
          <w:bCs/>
          <w:szCs w:val="24"/>
          <w:lang w:val="en-SG"/>
        </w:rPr>
      </w:pPr>
      <w:r w:rsidRPr="00B20DD0">
        <w:rPr>
          <w:rFonts w:ascii="Arial" w:hAnsi="Arial" w:cs="Arial"/>
          <w:bCs/>
          <w:szCs w:val="24"/>
          <w:lang w:val="en-SG"/>
        </w:rPr>
        <w:t xml:space="preserve">When a mistake is done by one party, a contract is valid unless there are elements of a contract that were not met during contract formation. A mistake is classified as a unilateral mistake if it is one party that is </w:t>
      </w:r>
      <w:r w:rsidR="00DE4B93" w:rsidRPr="00B20DD0">
        <w:rPr>
          <w:rFonts w:ascii="Arial" w:hAnsi="Arial" w:cs="Arial"/>
          <w:bCs/>
          <w:szCs w:val="24"/>
          <w:lang w:val="en-SG"/>
        </w:rPr>
        <w:t>mistaken. One</w:t>
      </w:r>
      <w:r w:rsidRPr="00B20DD0">
        <w:rPr>
          <w:rFonts w:ascii="Arial" w:hAnsi="Arial" w:cs="Arial"/>
          <w:bCs/>
          <w:szCs w:val="24"/>
          <w:lang w:val="en-SG"/>
        </w:rPr>
        <w:t xml:space="preserve"> can withdraw from a contract with a unilateral mistake of law only when the other party in the contract knows he has committed a mistake but chooses not to correct thus taking advantage of or even unfairly obtaining the benefit of the withdrawing party</w:t>
      </w:r>
      <w:r w:rsidR="00DE4B93" w:rsidRPr="00B20DD0">
        <w:rPr>
          <w:rFonts w:ascii="Arial" w:hAnsi="Arial" w:cs="Arial"/>
          <w:bCs/>
          <w:szCs w:val="24"/>
          <w:lang w:val="en-SG"/>
        </w:rPr>
        <w:t>’s mistake of law</w:t>
      </w:r>
      <w:r w:rsidR="00C219B1" w:rsidRPr="00B20DD0">
        <w:rPr>
          <w:rFonts w:ascii="Arial" w:hAnsi="Arial" w:cs="Arial"/>
          <w:szCs w:val="24"/>
        </w:rPr>
        <w:t xml:space="preserve"> (</w:t>
      </w:r>
      <w:proofErr w:type="spellStart"/>
      <w:r w:rsidR="00C219B1" w:rsidRPr="00B20DD0">
        <w:rPr>
          <w:rFonts w:ascii="Arial" w:hAnsi="Arial" w:cs="Arial"/>
          <w:bCs/>
          <w:szCs w:val="24"/>
          <w:lang w:val="en-SG"/>
        </w:rPr>
        <w:t>Sivils</w:t>
      </w:r>
      <w:proofErr w:type="spellEnd"/>
      <w:r w:rsidR="00C219B1" w:rsidRPr="00B20DD0">
        <w:rPr>
          <w:rFonts w:ascii="Arial" w:hAnsi="Arial" w:cs="Arial"/>
          <w:bCs/>
          <w:szCs w:val="24"/>
          <w:lang w:val="en-SG"/>
        </w:rPr>
        <w:t>, 1962)</w:t>
      </w:r>
      <w:r w:rsidRPr="00B20DD0">
        <w:rPr>
          <w:rFonts w:ascii="Arial" w:hAnsi="Arial" w:cs="Arial"/>
          <w:bCs/>
          <w:szCs w:val="24"/>
          <w:lang w:val="en-SG"/>
        </w:rPr>
        <w:t>.</w:t>
      </w:r>
    </w:p>
    <w:p w14:paraId="7426EFAF" w14:textId="7C14EA49" w:rsidR="00DE4B93" w:rsidRPr="00B20DD0" w:rsidRDefault="0004515F" w:rsidP="00B20DD0">
      <w:pPr>
        <w:spacing w:line="360" w:lineRule="auto"/>
        <w:ind w:left="360"/>
        <w:jc w:val="center"/>
        <w:rPr>
          <w:rFonts w:ascii="Arial" w:hAnsi="Arial" w:cs="Arial"/>
          <w:b/>
          <w:szCs w:val="24"/>
          <w:lang w:val="en-SG"/>
        </w:rPr>
      </w:pPr>
      <w:r w:rsidRPr="00B20DD0">
        <w:rPr>
          <w:rFonts w:ascii="Arial" w:hAnsi="Arial" w:cs="Arial"/>
          <w:b/>
          <w:szCs w:val="24"/>
          <w:lang w:val="en-SG"/>
        </w:rPr>
        <w:t>Example</w:t>
      </w:r>
    </w:p>
    <w:p w14:paraId="51BF34DB" w14:textId="33BAAFBC" w:rsidR="00DE4B93" w:rsidRPr="00B20DD0" w:rsidRDefault="0004515F" w:rsidP="007C4CE4">
      <w:pPr>
        <w:tabs>
          <w:tab w:val="left" w:pos="360"/>
        </w:tabs>
        <w:spacing w:line="360" w:lineRule="auto"/>
        <w:ind w:firstLine="360"/>
        <w:jc w:val="both"/>
        <w:rPr>
          <w:rFonts w:ascii="Arial" w:hAnsi="Arial" w:cs="Arial"/>
          <w:szCs w:val="24"/>
        </w:rPr>
      </w:pPr>
      <w:r w:rsidRPr="00B20DD0">
        <w:rPr>
          <w:rFonts w:ascii="Arial" w:hAnsi="Arial" w:cs="Arial"/>
          <w:szCs w:val="24"/>
        </w:rPr>
        <w:t xml:space="preserve">In the event where a woman and a man enter into a marital contract based on life misapprehension as stated in the law regarding property rights but at one point the husband fails to make changes on some misunderstandings or even causes a misunderstanding based on his misconduct, the wife has a right to withdraw from the </w:t>
      </w:r>
      <w:r w:rsidRPr="00B20DD0">
        <w:rPr>
          <w:rFonts w:ascii="Arial" w:hAnsi="Arial" w:cs="Arial"/>
          <w:szCs w:val="24"/>
        </w:rPr>
        <w:lastRenderedPageBreak/>
        <w:t>annual contract just as stated under the law of the unilateral mistake though the contract is not void.</w:t>
      </w:r>
    </w:p>
    <w:p w14:paraId="1AA3F2E6" w14:textId="29230C1B" w:rsidR="00DE4B93" w:rsidRPr="00B20DD0" w:rsidRDefault="0004515F" w:rsidP="007C4CE4">
      <w:pPr>
        <w:spacing w:line="360" w:lineRule="auto"/>
        <w:ind w:firstLine="360"/>
        <w:jc w:val="both"/>
        <w:rPr>
          <w:rFonts w:ascii="Arial" w:hAnsi="Arial" w:cs="Arial"/>
          <w:szCs w:val="24"/>
        </w:rPr>
      </w:pPr>
      <w:r w:rsidRPr="00B20DD0">
        <w:rPr>
          <w:rFonts w:ascii="Arial" w:hAnsi="Arial" w:cs="Arial"/>
          <w:szCs w:val="24"/>
        </w:rPr>
        <w:t xml:space="preserve">On the other hand, if both parties under a contract commit a mistake </w:t>
      </w:r>
      <w:r w:rsidR="001F06B5" w:rsidRPr="00B20DD0">
        <w:rPr>
          <w:rFonts w:ascii="Arial" w:hAnsi="Arial" w:cs="Arial"/>
          <w:szCs w:val="24"/>
        </w:rPr>
        <w:t>and, in most cases,</w:t>
      </w:r>
      <w:r w:rsidRPr="00B20DD0">
        <w:rPr>
          <w:rFonts w:ascii="Arial" w:hAnsi="Arial" w:cs="Arial"/>
          <w:szCs w:val="24"/>
        </w:rPr>
        <w:t xml:space="preserve"> breaking a rule that is essential to the contract, the agreement is said to ne</w:t>
      </w:r>
      <w:r w:rsidR="001F06B5" w:rsidRPr="00B20DD0">
        <w:rPr>
          <w:rFonts w:ascii="Arial" w:hAnsi="Arial" w:cs="Arial"/>
          <w:szCs w:val="24"/>
        </w:rPr>
        <w:t>void. However</w:t>
      </w:r>
      <w:r w:rsidRPr="00B20DD0">
        <w:rPr>
          <w:rFonts w:ascii="Arial" w:hAnsi="Arial" w:cs="Arial"/>
          <w:szCs w:val="24"/>
        </w:rPr>
        <w:t xml:space="preserve">, an </w:t>
      </w:r>
      <w:r w:rsidR="001F06B5" w:rsidRPr="00B20DD0">
        <w:rPr>
          <w:rFonts w:ascii="Arial" w:hAnsi="Arial" w:cs="Arial"/>
          <w:szCs w:val="24"/>
        </w:rPr>
        <w:t>inaccurate</w:t>
      </w:r>
      <w:r w:rsidRPr="00B20DD0">
        <w:rPr>
          <w:rFonts w:ascii="Arial" w:hAnsi="Arial" w:cs="Arial"/>
          <w:szCs w:val="24"/>
        </w:rPr>
        <w:t xml:space="preserve"> opinion regarding the value of something which is believed to </w:t>
      </w:r>
      <w:r w:rsidR="001F06B5" w:rsidRPr="00B20DD0">
        <w:rPr>
          <w:rFonts w:ascii="Arial" w:hAnsi="Arial" w:cs="Arial"/>
          <w:szCs w:val="24"/>
        </w:rPr>
        <w:t xml:space="preserve">be the subject matter of a contract is believed to be a mistake. A mistake is deemed to be of purpose if both parties are said to be at cross-purpose. This, therefore, means that such a misunderstanding occurs where there is a misunderstanding regarding material facts of the parties getting into a </w:t>
      </w:r>
      <w:r w:rsidR="008D5C93" w:rsidRPr="00B20DD0">
        <w:rPr>
          <w:rFonts w:ascii="Arial" w:hAnsi="Arial" w:cs="Arial"/>
          <w:szCs w:val="24"/>
        </w:rPr>
        <w:t>contract. However, it is essential to note that a mutual mistake can only affect the validity of a contract of mistake if the mistake is fundamental that it nullifies the existing consent. If the mistake affects the main aim of the contract, the contract is then deemed to be void. In this case, the court has the mandate to conduct an objective test to determine whether the contract can still be kept based on a reasonable person's understanding of the contract. Based on the advantage the contract has on the parties</w:t>
      </w:r>
      <w:r w:rsidR="00416613" w:rsidRPr="00B20DD0">
        <w:rPr>
          <w:rFonts w:ascii="Arial" w:hAnsi="Arial" w:cs="Arial"/>
          <w:szCs w:val="24"/>
        </w:rPr>
        <w:t>, the contract can be deemed to be valid if the reasons for formation are genuine. If a reasonable person is not able to determine why the contract was formed and the meaning the contract holds, the contract is deemed to e void based on a mistake of law</w:t>
      </w:r>
      <w:r w:rsidR="00C219B1" w:rsidRPr="00B20DD0">
        <w:rPr>
          <w:rFonts w:ascii="Arial" w:hAnsi="Arial" w:cs="Arial"/>
          <w:szCs w:val="24"/>
        </w:rPr>
        <w:t xml:space="preserve"> (Coleman &amp; Rosoff, 2013)</w:t>
      </w:r>
      <w:r w:rsidR="00416613" w:rsidRPr="00B20DD0">
        <w:rPr>
          <w:rFonts w:ascii="Arial" w:hAnsi="Arial" w:cs="Arial"/>
          <w:szCs w:val="24"/>
        </w:rPr>
        <w:t>.</w:t>
      </w:r>
    </w:p>
    <w:p w14:paraId="3CBD131B" w14:textId="407EF570" w:rsidR="00BA3A3C" w:rsidRPr="00B20DD0" w:rsidRDefault="0004515F" w:rsidP="00B20DD0">
      <w:pPr>
        <w:spacing w:line="360" w:lineRule="auto"/>
        <w:ind w:left="360"/>
        <w:jc w:val="center"/>
        <w:rPr>
          <w:rFonts w:ascii="Arial" w:hAnsi="Arial" w:cs="Arial"/>
          <w:b/>
          <w:szCs w:val="24"/>
          <w:lang w:val="en-SG"/>
        </w:rPr>
      </w:pPr>
      <w:r w:rsidRPr="00B20DD0">
        <w:rPr>
          <w:rFonts w:ascii="Arial" w:hAnsi="Arial" w:cs="Arial"/>
          <w:b/>
          <w:szCs w:val="24"/>
          <w:lang w:val="en-SG"/>
        </w:rPr>
        <w:t>Example</w:t>
      </w:r>
    </w:p>
    <w:p w14:paraId="5494E308" w14:textId="711D69A0" w:rsidR="00416613" w:rsidRPr="00B20DD0" w:rsidRDefault="0004515F" w:rsidP="007C4CE4">
      <w:pPr>
        <w:spacing w:line="360" w:lineRule="auto"/>
        <w:ind w:firstLine="360"/>
        <w:jc w:val="both"/>
        <w:rPr>
          <w:rFonts w:ascii="Arial" w:hAnsi="Arial" w:cs="Arial"/>
          <w:bCs/>
          <w:szCs w:val="24"/>
          <w:lang w:val="en-SG"/>
        </w:rPr>
      </w:pPr>
      <w:r w:rsidRPr="00B20DD0">
        <w:rPr>
          <w:rFonts w:ascii="Arial" w:hAnsi="Arial" w:cs="Arial"/>
          <w:bCs/>
          <w:szCs w:val="24"/>
          <w:lang w:val="en-SG"/>
        </w:rPr>
        <w:t xml:space="preserve">If person A agrees to sell an asset to person B and suppose the asset is being ferried from an overseas country. The day before </w:t>
      </w:r>
      <w:proofErr w:type="gramStart"/>
      <w:r w:rsidRPr="00B20DD0">
        <w:rPr>
          <w:rFonts w:ascii="Arial" w:hAnsi="Arial" w:cs="Arial"/>
          <w:bCs/>
          <w:szCs w:val="24"/>
          <w:lang w:val="en-SG"/>
        </w:rPr>
        <w:t>A</w:t>
      </w:r>
      <w:proofErr w:type="gramEnd"/>
      <w:r w:rsidRPr="00B20DD0">
        <w:rPr>
          <w:rFonts w:ascii="Arial" w:hAnsi="Arial" w:cs="Arial"/>
          <w:bCs/>
          <w:szCs w:val="24"/>
          <w:lang w:val="en-SG"/>
        </w:rPr>
        <w:t xml:space="preserve"> delivers the asset to </w:t>
      </w:r>
      <w:r w:rsidR="005F10B1" w:rsidRPr="00B20DD0">
        <w:rPr>
          <w:rFonts w:ascii="Arial" w:hAnsi="Arial" w:cs="Arial"/>
          <w:bCs/>
          <w:szCs w:val="24"/>
          <w:lang w:val="en-SG"/>
        </w:rPr>
        <w:t>B,</w:t>
      </w:r>
      <w:r w:rsidRPr="00B20DD0">
        <w:rPr>
          <w:rFonts w:ascii="Arial" w:hAnsi="Arial" w:cs="Arial"/>
          <w:bCs/>
          <w:szCs w:val="24"/>
          <w:lang w:val="en-SG"/>
        </w:rPr>
        <w:t xml:space="preserve"> the ship carrying the asset is cast away, and the asset </w:t>
      </w:r>
      <w:r w:rsidR="005F10B1" w:rsidRPr="00B20DD0">
        <w:rPr>
          <w:rFonts w:ascii="Arial" w:hAnsi="Arial" w:cs="Arial"/>
          <w:bCs/>
          <w:szCs w:val="24"/>
          <w:lang w:val="en-SG"/>
        </w:rPr>
        <w:t>is lost. Th</w:t>
      </w:r>
      <w:r w:rsidRPr="00B20DD0">
        <w:rPr>
          <w:rFonts w:ascii="Arial" w:hAnsi="Arial" w:cs="Arial"/>
          <w:bCs/>
          <w:szCs w:val="24"/>
          <w:lang w:val="en-SG"/>
        </w:rPr>
        <w:t>erefore, this means that no party information regarding the facts and the contract is thus deemed void.</w:t>
      </w:r>
    </w:p>
    <w:p w14:paraId="106A0ABA" w14:textId="51EDBCE2" w:rsidR="00723E37" w:rsidRPr="00B20DD0" w:rsidRDefault="00723E37" w:rsidP="00B20DD0">
      <w:pPr>
        <w:spacing w:line="360" w:lineRule="auto"/>
        <w:ind w:firstLine="360"/>
        <w:rPr>
          <w:rFonts w:ascii="Arial" w:hAnsi="Arial" w:cs="Arial"/>
          <w:bCs/>
          <w:szCs w:val="24"/>
          <w:lang w:val="en-SG"/>
        </w:rPr>
      </w:pPr>
    </w:p>
    <w:p w14:paraId="619A8E3F" w14:textId="19A9AE03" w:rsidR="00BA3A3C" w:rsidRPr="00B20DD0" w:rsidRDefault="0004515F" w:rsidP="00B20DD0">
      <w:pPr>
        <w:spacing w:line="360" w:lineRule="auto"/>
        <w:ind w:firstLine="360"/>
        <w:jc w:val="center"/>
        <w:rPr>
          <w:rFonts w:ascii="Arial" w:hAnsi="Arial" w:cs="Arial"/>
          <w:b/>
          <w:szCs w:val="24"/>
          <w:lang w:val="en-SG"/>
        </w:rPr>
      </w:pPr>
      <w:r w:rsidRPr="00B20DD0">
        <w:rPr>
          <w:rFonts w:ascii="Arial" w:hAnsi="Arial" w:cs="Arial"/>
          <w:b/>
          <w:szCs w:val="24"/>
          <w:lang w:val="en-SG"/>
        </w:rPr>
        <w:t>State the THREE (3) exceptions to the general rule that contracts made by minors (persons below the age of majority) are void.</w:t>
      </w:r>
    </w:p>
    <w:p w14:paraId="32DFE6BB" w14:textId="51754E49" w:rsidR="00D57346" w:rsidRPr="00B20DD0" w:rsidRDefault="0004515F" w:rsidP="00B20DD0">
      <w:pPr>
        <w:spacing w:line="360" w:lineRule="auto"/>
        <w:jc w:val="center"/>
        <w:rPr>
          <w:rFonts w:ascii="Arial" w:hAnsi="Arial" w:cs="Arial"/>
          <w:b/>
          <w:szCs w:val="24"/>
          <w:lang w:val="en-SG"/>
        </w:rPr>
      </w:pPr>
      <w:r w:rsidRPr="00B20DD0">
        <w:rPr>
          <w:rFonts w:ascii="Arial" w:hAnsi="Arial" w:cs="Arial"/>
          <w:b/>
          <w:szCs w:val="24"/>
          <w:lang w:val="en-SG"/>
        </w:rPr>
        <w:t>Question 2</w:t>
      </w:r>
    </w:p>
    <w:p w14:paraId="6A32DC3B" w14:textId="30D40095" w:rsidR="0089604D" w:rsidRPr="00B20DD0" w:rsidRDefault="0004515F" w:rsidP="007C4CE4">
      <w:pPr>
        <w:spacing w:line="360" w:lineRule="auto"/>
        <w:ind w:firstLine="360"/>
        <w:jc w:val="both"/>
        <w:rPr>
          <w:rFonts w:ascii="Arial" w:hAnsi="Arial" w:cs="Arial"/>
          <w:bCs/>
          <w:szCs w:val="24"/>
          <w:lang w:val="en-SG"/>
        </w:rPr>
      </w:pPr>
      <w:r w:rsidRPr="00B20DD0">
        <w:rPr>
          <w:rFonts w:ascii="Arial" w:hAnsi="Arial" w:cs="Arial"/>
          <w:bCs/>
          <w:szCs w:val="24"/>
          <w:lang w:val="en-SG"/>
        </w:rPr>
        <w:lastRenderedPageBreak/>
        <w:t xml:space="preserve">There are always special occasions where a minor cannot disaffirm an agreement. For instance, in most nations, minors cannot disaffirm contracts for essentials like food, clothing, shelter, employment, or healthcare. Besides, a minor cannot make a contract regarding the sale or purchase of an estate. Some of the contracts deemed to be an exemption to minors include; </w:t>
      </w:r>
    </w:p>
    <w:p w14:paraId="3487FD69" w14:textId="1BFB685B" w:rsidR="00D57346" w:rsidRPr="00B20DD0" w:rsidRDefault="0004515F" w:rsidP="00B20DD0">
      <w:pPr>
        <w:pStyle w:val="ListParagraph"/>
        <w:numPr>
          <w:ilvl w:val="0"/>
          <w:numId w:val="2"/>
        </w:numPr>
        <w:spacing w:line="360" w:lineRule="auto"/>
        <w:contextualSpacing w:val="0"/>
        <w:rPr>
          <w:rFonts w:ascii="Arial" w:hAnsi="Arial" w:cs="Arial"/>
          <w:b/>
          <w:szCs w:val="24"/>
          <w:lang w:val="en-SG"/>
        </w:rPr>
      </w:pPr>
      <w:r w:rsidRPr="00B20DD0">
        <w:rPr>
          <w:rFonts w:ascii="Arial" w:hAnsi="Arial" w:cs="Arial"/>
          <w:b/>
          <w:szCs w:val="24"/>
          <w:lang w:val="en-SG"/>
        </w:rPr>
        <w:t>Contracts for Necessaries</w:t>
      </w:r>
    </w:p>
    <w:p w14:paraId="16DF3338" w14:textId="33B2F6CB" w:rsidR="00D57346" w:rsidRPr="00B20DD0" w:rsidRDefault="0004515F" w:rsidP="007C4CE4">
      <w:pPr>
        <w:spacing w:line="360" w:lineRule="auto"/>
        <w:ind w:left="360" w:firstLine="360"/>
        <w:jc w:val="both"/>
        <w:rPr>
          <w:rFonts w:ascii="Arial" w:hAnsi="Arial" w:cs="Arial"/>
          <w:bCs/>
          <w:szCs w:val="24"/>
        </w:rPr>
      </w:pPr>
      <w:r w:rsidRPr="00B20DD0">
        <w:rPr>
          <w:rFonts w:ascii="Arial" w:hAnsi="Arial" w:cs="Arial"/>
          <w:bCs/>
          <w:szCs w:val="24"/>
        </w:rPr>
        <w:t xml:space="preserve">According to section 69, necessities are described as goods </w:t>
      </w:r>
      <w:r w:rsidR="001C6DC4" w:rsidRPr="00B20DD0">
        <w:rPr>
          <w:rFonts w:ascii="Arial" w:hAnsi="Arial" w:cs="Arial"/>
          <w:bCs/>
          <w:szCs w:val="24"/>
        </w:rPr>
        <w:t xml:space="preserve">and services that are deemed necessary among the actual requirements of a minor. This, therefore, means that if </w:t>
      </w:r>
      <w:proofErr w:type="gramStart"/>
      <w:r w:rsidR="001C6DC4" w:rsidRPr="00B20DD0">
        <w:rPr>
          <w:rFonts w:ascii="Arial" w:hAnsi="Arial" w:cs="Arial"/>
          <w:bCs/>
          <w:szCs w:val="24"/>
        </w:rPr>
        <w:t>a person</w:t>
      </w:r>
      <w:proofErr w:type="gramEnd"/>
      <w:r w:rsidR="001C6DC4" w:rsidRPr="00B20DD0">
        <w:rPr>
          <w:rFonts w:ascii="Arial" w:hAnsi="Arial" w:cs="Arial"/>
          <w:bCs/>
          <w:szCs w:val="24"/>
        </w:rPr>
        <w:t xml:space="preserve"> supplies goods to another who is incapable of entering into an agreement with necessities that are meant to suit his life condition, the person who has facilitated such supplies is entitled to receive reimbursements from property owned by the incapable person</w:t>
      </w:r>
      <w:r w:rsidR="00C219B1" w:rsidRPr="00B20DD0">
        <w:rPr>
          <w:rFonts w:ascii="Arial" w:hAnsi="Arial" w:cs="Arial"/>
          <w:szCs w:val="24"/>
        </w:rPr>
        <w:t xml:space="preserve"> (</w:t>
      </w:r>
      <w:r w:rsidR="00C219B1" w:rsidRPr="00B20DD0">
        <w:rPr>
          <w:rFonts w:ascii="Arial" w:hAnsi="Arial" w:cs="Arial"/>
          <w:bCs/>
          <w:szCs w:val="24"/>
        </w:rPr>
        <w:t>Coleman &amp; Rosoff, 2013)</w:t>
      </w:r>
      <w:r w:rsidR="001C6DC4" w:rsidRPr="00B20DD0">
        <w:rPr>
          <w:rFonts w:ascii="Arial" w:hAnsi="Arial" w:cs="Arial"/>
          <w:bCs/>
          <w:szCs w:val="24"/>
        </w:rPr>
        <w:t>.</w:t>
      </w:r>
    </w:p>
    <w:p w14:paraId="13F8EE8C" w14:textId="39A65A2C" w:rsidR="00D57346" w:rsidRPr="00B20DD0" w:rsidRDefault="0004515F" w:rsidP="00B20DD0">
      <w:pPr>
        <w:spacing w:line="360" w:lineRule="auto"/>
        <w:jc w:val="center"/>
        <w:rPr>
          <w:rFonts w:ascii="Arial" w:hAnsi="Arial" w:cs="Arial"/>
          <w:b/>
          <w:szCs w:val="24"/>
          <w:lang w:val="en-SG"/>
        </w:rPr>
      </w:pPr>
      <w:r w:rsidRPr="00B20DD0">
        <w:rPr>
          <w:rFonts w:ascii="Arial" w:hAnsi="Arial" w:cs="Arial"/>
          <w:b/>
          <w:szCs w:val="24"/>
          <w:lang w:val="en-SG"/>
        </w:rPr>
        <w:t>Example</w:t>
      </w:r>
    </w:p>
    <w:p w14:paraId="406E1EE4" w14:textId="74B44C57" w:rsidR="001C6DC4" w:rsidRPr="00B20DD0" w:rsidRDefault="0004515F" w:rsidP="007C4CE4">
      <w:pPr>
        <w:spacing w:line="360" w:lineRule="auto"/>
        <w:ind w:firstLine="360"/>
        <w:jc w:val="both"/>
        <w:rPr>
          <w:rFonts w:ascii="Arial" w:hAnsi="Arial" w:cs="Arial"/>
          <w:bCs/>
          <w:szCs w:val="24"/>
        </w:rPr>
      </w:pPr>
      <w:r w:rsidRPr="00B20DD0">
        <w:rPr>
          <w:rFonts w:ascii="Arial" w:hAnsi="Arial" w:cs="Arial"/>
          <w:bCs/>
          <w:szCs w:val="24"/>
        </w:rPr>
        <w:t xml:space="preserve">In the Nash V Inman case, the tailor sued a minor to whom he had supplied clothes that include 11 waistcoats that were fancy. It was later ruled that the minor was an undergraduate student at the Cambridge </w:t>
      </w:r>
      <w:proofErr w:type="gramStart"/>
      <w:r w:rsidRPr="00B20DD0">
        <w:rPr>
          <w:rFonts w:ascii="Arial" w:hAnsi="Arial" w:cs="Arial"/>
          <w:bCs/>
          <w:szCs w:val="24"/>
        </w:rPr>
        <w:t>university</w:t>
      </w:r>
      <w:proofErr w:type="gramEnd"/>
      <w:r w:rsidRPr="00B20DD0">
        <w:rPr>
          <w:rFonts w:ascii="Arial" w:hAnsi="Arial" w:cs="Arial"/>
          <w:bCs/>
          <w:szCs w:val="24"/>
        </w:rPr>
        <w:t xml:space="preserve"> and that clothes were suitable for the minor’s situation at the time. Further, the case was ruled in favor of the minor and against the tailor as it was stated that at the time the minor got into the </w:t>
      </w:r>
      <w:r w:rsidR="005E7685" w:rsidRPr="00B20DD0">
        <w:rPr>
          <w:rFonts w:ascii="Arial" w:hAnsi="Arial" w:cs="Arial"/>
          <w:bCs/>
          <w:szCs w:val="24"/>
        </w:rPr>
        <w:t>contract,</w:t>
      </w:r>
      <w:r w:rsidRPr="00B20DD0">
        <w:rPr>
          <w:rFonts w:ascii="Arial" w:hAnsi="Arial" w:cs="Arial"/>
          <w:bCs/>
          <w:szCs w:val="24"/>
        </w:rPr>
        <w:t xml:space="preserve"> he already had sufficient clothing.</w:t>
      </w:r>
    </w:p>
    <w:p w14:paraId="0ADB0C51" w14:textId="6A25074E" w:rsidR="00D57346" w:rsidRPr="00B20DD0" w:rsidRDefault="0004515F" w:rsidP="00B20DD0">
      <w:pPr>
        <w:pStyle w:val="ListParagraph"/>
        <w:numPr>
          <w:ilvl w:val="0"/>
          <w:numId w:val="2"/>
        </w:numPr>
        <w:spacing w:line="360" w:lineRule="auto"/>
        <w:contextualSpacing w:val="0"/>
        <w:rPr>
          <w:rFonts w:ascii="Arial" w:hAnsi="Arial" w:cs="Arial"/>
          <w:bCs/>
          <w:szCs w:val="24"/>
          <w:lang w:val="en-SG"/>
        </w:rPr>
      </w:pPr>
      <w:r w:rsidRPr="00B20DD0">
        <w:rPr>
          <w:rFonts w:ascii="Arial" w:hAnsi="Arial" w:cs="Arial"/>
          <w:bCs/>
          <w:szCs w:val="24"/>
          <w:lang w:val="en-SG"/>
        </w:rPr>
        <w:t>Contracts of Scholarships</w:t>
      </w:r>
    </w:p>
    <w:p w14:paraId="6440B5FF" w14:textId="4A90E4DD" w:rsidR="005E7685" w:rsidRPr="00B20DD0" w:rsidRDefault="0004515F" w:rsidP="007C4CE4">
      <w:pPr>
        <w:spacing w:line="360" w:lineRule="auto"/>
        <w:jc w:val="both"/>
        <w:rPr>
          <w:rFonts w:ascii="Arial" w:hAnsi="Arial" w:cs="Arial"/>
          <w:bCs/>
          <w:szCs w:val="24"/>
          <w:lang w:val="en-SG"/>
        </w:rPr>
      </w:pPr>
      <w:r w:rsidRPr="00B20DD0">
        <w:rPr>
          <w:rFonts w:ascii="Arial" w:hAnsi="Arial" w:cs="Arial"/>
          <w:bCs/>
          <w:szCs w:val="24"/>
          <w:lang w:val="en-SG"/>
        </w:rPr>
        <w:t>A scholarship contract may be entered into by an infant is valid when it is a loan or a scholarship to study by the government or institution. The law states that no scholarship agreement shall be deemed invalid on the grounds that the scholar entered the agreement at an age below the consented age of 18 years. The agreement states that in the event where there is a need for payment, the student or guarantor is liable</w:t>
      </w:r>
      <w:r w:rsidR="00B10C02" w:rsidRPr="00B20DD0">
        <w:rPr>
          <w:rFonts w:ascii="Arial" w:hAnsi="Arial" w:cs="Arial"/>
          <w:szCs w:val="24"/>
        </w:rPr>
        <w:t xml:space="preserve"> (</w:t>
      </w:r>
      <w:r w:rsidR="00B10C02" w:rsidRPr="00B20DD0">
        <w:rPr>
          <w:rFonts w:ascii="Arial" w:hAnsi="Arial" w:cs="Arial"/>
          <w:bCs/>
          <w:szCs w:val="24"/>
          <w:lang w:val="en-SG"/>
        </w:rPr>
        <w:t>Coleman</w:t>
      </w:r>
      <w:r w:rsidR="00C219B1" w:rsidRPr="00B20DD0">
        <w:rPr>
          <w:rFonts w:ascii="Arial" w:hAnsi="Arial" w:cs="Arial"/>
          <w:bCs/>
          <w:szCs w:val="24"/>
          <w:lang w:val="en-SG"/>
        </w:rPr>
        <w:t xml:space="preserve"> </w:t>
      </w:r>
      <w:r w:rsidR="00B10C02" w:rsidRPr="00B20DD0">
        <w:rPr>
          <w:rFonts w:ascii="Arial" w:hAnsi="Arial" w:cs="Arial"/>
          <w:bCs/>
          <w:szCs w:val="24"/>
          <w:lang w:val="en-SG"/>
        </w:rPr>
        <w:t>&amp; Rosoff</w:t>
      </w:r>
      <w:r w:rsidR="00C219B1" w:rsidRPr="00B20DD0">
        <w:rPr>
          <w:rFonts w:ascii="Arial" w:hAnsi="Arial" w:cs="Arial"/>
          <w:bCs/>
          <w:szCs w:val="24"/>
          <w:lang w:val="en-SG"/>
        </w:rPr>
        <w:t xml:space="preserve">, </w:t>
      </w:r>
      <w:r w:rsidR="00B10C02" w:rsidRPr="00B20DD0">
        <w:rPr>
          <w:rFonts w:ascii="Arial" w:hAnsi="Arial" w:cs="Arial"/>
          <w:bCs/>
          <w:szCs w:val="24"/>
          <w:lang w:val="en-SG"/>
        </w:rPr>
        <w:t>2013</w:t>
      </w:r>
      <w:r w:rsidR="00C219B1" w:rsidRPr="00B20DD0">
        <w:rPr>
          <w:rFonts w:ascii="Arial" w:hAnsi="Arial" w:cs="Arial"/>
          <w:bCs/>
          <w:szCs w:val="24"/>
          <w:lang w:val="en-SG"/>
        </w:rPr>
        <w:t>)</w:t>
      </w:r>
      <w:r w:rsidRPr="00B20DD0">
        <w:rPr>
          <w:rFonts w:ascii="Arial" w:hAnsi="Arial" w:cs="Arial"/>
          <w:bCs/>
          <w:szCs w:val="24"/>
          <w:lang w:val="en-SG"/>
        </w:rPr>
        <w:t>.</w:t>
      </w:r>
    </w:p>
    <w:p w14:paraId="011F5104" w14:textId="589816B9" w:rsidR="00D55349" w:rsidRPr="00B20DD0" w:rsidRDefault="0004515F" w:rsidP="00B20DD0">
      <w:pPr>
        <w:spacing w:line="360" w:lineRule="auto"/>
        <w:jc w:val="center"/>
        <w:rPr>
          <w:rFonts w:ascii="Arial" w:hAnsi="Arial" w:cs="Arial"/>
          <w:b/>
          <w:szCs w:val="24"/>
          <w:lang w:val="en-SG"/>
        </w:rPr>
      </w:pPr>
      <w:r w:rsidRPr="00B20DD0">
        <w:rPr>
          <w:rFonts w:ascii="Arial" w:hAnsi="Arial" w:cs="Arial"/>
          <w:b/>
          <w:szCs w:val="24"/>
          <w:lang w:val="en-SG"/>
        </w:rPr>
        <w:t>Example</w:t>
      </w:r>
    </w:p>
    <w:p w14:paraId="5DAC9670" w14:textId="0DE7F4F5" w:rsidR="00D55349" w:rsidRPr="00B20DD0" w:rsidRDefault="0004515F" w:rsidP="007C4CE4">
      <w:pPr>
        <w:spacing w:line="360" w:lineRule="auto"/>
        <w:ind w:firstLine="360"/>
        <w:jc w:val="both"/>
        <w:rPr>
          <w:rFonts w:ascii="Arial" w:hAnsi="Arial" w:cs="Arial"/>
          <w:bCs/>
          <w:szCs w:val="24"/>
          <w:lang w:val="en-SG"/>
        </w:rPr>
      </w:pPr>
      <w:r w:rsidRPr="00B20DD0">
        <w:rPr>
          <w:rFonts w:ascii="Arial" w:hAnsi="Arial" w:cs="Arial"/>
          <w:bCs/>
          <w:szCs w:val="24"/>
          <w:lang w:val="en-SG"/>
        </w:rPr>
        <w:lastRenderedPageBreak/>
        <w:t xml:space="preserve">In the government of Malaysian V </w:t>
      </w:r>
      <w:r w:rsidRPr="00B20DD0">
        <w:rPr>
          <w:rFonts w:ascii="Arial" w:hAnsi="Arial" w:cs="Arial"/>
          <w:bCs/>
          <w:szCs w:val="24"/>
        </w:rPr>
        <w:t>Gurcharan Singh &amp; Ors, Gurbachan was given a scholarship by the government where he attended training as a teacher from which he was to serve as a teacher for five years after graduation. Gurbachan left the contract before the five years elapsed and claimed that the contract was void when he was sued since he lacked the capacity to make decisions when he was getting into the contract. The court ruled that Gurbachan was in breach of the contract since education is a necessity to any minor.</w:t>
      </w:r>
    </w:p>
    <w:p w14:paraId="75F46169" w14:textId="3D5971DC" w:rsidR="00D57346" w:rsidRPr="00B20DD0" w:rsidRDefault="0004515F" w:rsidP="00B20DD0">
      <w:pPr>
        <w:pStyle w:val="ListParagraph"/>
        <w:numPr>
          <w:ilvl w:val="0"/>
          <w:numId w:val="2"/>
        </w:numPr>
        <w:spacing w:line="360" w:lineRule="auto"/>
        <w:contextualSpacing w:val="0"/>
        <w:rPr>
          <w:rFonts w:ascii="Arial" w:hAnsi="Arial" w:cs="Arial"/>
          <w:bCs/>
          <w:szCs w:val="24"/>
          <w:lang w:val="en-SG"/>
        </w:rPr>
      </w:pPr>
      <w:r w:rsidRPr="00B20DD0">
        <w:rPr>
          <w:rFonts w:ascii="Arial" w:hAnsi="Arial" w:cs="Arial"/>
          <w:bCs/>
          <w:szCs w:val="24"/>
        </w:rPr>
        <w:t xml:space="preserve">Contracts of Insurance </w:t>
      </w:r>
    </w:p>
    <w:p w14:paraId="07A6FB25" w14:textId="31D8CE55" w:rsidR="00D55349" w:rsidRPr="00B20DD0" w:rsidRDefault="0004515F" w:rsidP="007C4CE4">
      <w:pPr>
        <w:pStyle w:val="ListParagraph"/>
        <w:spacing w:line="360" w:lineRule="auto"/>
        <w:contextualSpacing w:val="0"/>
        <w:jc w:val="both"/>
        <w:rPr>
          <w:rFonts w:ascii="Arial" w:hAnsi="Arial" w:cs="Arial"/>
          <w:bCs/>
          <w:szCs w:val="24"/>
        </w:rPr>
      </w:pPr>
      <w:r w:rsidRPr="00B20DD0">
        <w:rPr>
          <w:rFonts w:ascii="Arial" w:hAnsi="Arial" w:cs="Arial"/>
          <w:bCs/>
          <w:szCs w:val="24"/>
        </w:rPr>
        <w:t>Any minor over ten years of age is allowed to enter into an insurance contract. However, for minors below 16 years of age, getting into a contract can only be done if it is accompanied by written consent from the guardian. In addition, the guardian is required to do so after receiving approval from the court of chancery</w:t>
      </w:r>
      <w:r w:rsidR="00C219B1" w:rsidRPr="00B20DD0">
        <w:rPr>
          <w:rFonts w:ascii="Arial" w:hAnsi="Arial" w:cs="Arial"/>
          <w:bCs/>
          <w:szCs w:val="24"/>
        </w:rPr>
        <w:t xml:space="preserve"> (Coleman &amp; Rosoff, 2013)</w:t>
      </w:r>
      <w:r w:rsidRPr="00B20DD0">
        <w:rPr>
          <w:rFonts w:ascii="Arial" w:hAnsi="Arial" w:cs="Arial"/>
          <w:bCs/>
          <w:szCs w:val="24"/>
        </w:rPr>
        <w:t xml:space="preserve">. </w:t>
      </w:r>
    </w:p>
    <w:p w14:paraId="69B5DBFD" w14:textId="0BA88719" w:rsidR="002C2D21" w:rsidRPr="007C4CE4" w:rsidRDefault="0004515F" w:rsidP="007C4CE4">
      <w:pPr>
        <w:pStyle w:val="ListParagraph"/>
        <w:spacing w:line="360" w:lineRule="auto"/>
        <w:contextualSpacing w:val="0"/>
        <w:jc w:val="center"/>
        <w:rPr>
          <w:rFonts w:ascii="Arial" w:hAnsi="Arial" w:cs="Arial"/>
          <w:b/>
          <w:szCs w:val="24"/>
        </w:rPr>
      </w:pPr>
      <w:r w:rsidRPr="00B20DD0">
        <w:rPr>
          <w:rFonts w:ascii="Arial" w:hAnsi="Arial" w:cs="Arial"/>
          <w:b/>
          <w:szCs w:val="24"/>
        </w:rPr>
        <w:t>Example</w:t>
      </w:r>
    </w:p>
    <w:p w14:paraId="6EA830A8" w14:textId="7C618649" w:rsidR="002C2D21" w:rsidRPr="00B20DD0" w:rsidRDefault="0004515F" w:rsidP="007C4CE4">
      <w:pPr>
        <w:spacing w:line="360" w:lineRule="auto"/>
        <w:ind w:firstLine="720"/>
        <w:jc w:val="both"/>
        <w:rPr>
          <w:rFonts w:ascii="Arial" w:hAnsi="Arial" w:cs="Arial"/>
          <w:bCs/>
          <w:szCs w:val="24"/>
        </w:rPr>
      </w:pPr>
      <w:r w:rsidRPr="00B20DD0">
        <w:rPr>
          <w:rFonts w:ascii="Arial" w:hAnsi="Arial" w:cs="Arial"/>
          <w:bCs/>
          <w:szCs w:val="24"/>
        </w:rPr>
        <w:t>Under the prudential company limited law, the high court in 1928 ruled that any contract for life insurance during the time of formation is made by a minor is deemed a continuing contract. Therefore, this implies that in instances where the minor wants to repudiate the contract, he should do so within a reasonable period of time, especially when he has attained the required age. The length of time after one has reached full age under which a person may avoid a contract that he made during his minority will depend on the circumstances of the case at hand. Therefore, a minor does not have the right to plead ignorance of the right to repudiate as a major excuse for failing to exercise the right within the time deemed reasonable.</w:t>
      </w:r>
    </w:p>
    <w:p w14:paraId="2B71C92F" w14:textId="1814FE4A" w:rsidR="005F172B" w:rsidRPr="00B20DD0" w:rsidRDefault="005F172B" w:rsidP="00B20DD0">
      <w:pPr>
        <w:spacing w:line="360" w:lineRule="auto"/>
        <w:rPr>
          <w:rFonts w:ascii="Arial" w:hAnsi="Arial" w:cs="Arial"/>
          <w:bCs/>
          <w:szCs w:val="24"/>
          <w:lang w:val="en-SG"/>
        </w:rPr>
      </w:pPr>
    </w:p>
    <w:p w14:paraId="786C1DC5" w14:textId="39DDCF6E" w:rsidR="008E3DA1" w:rsidRPr="00B20DD0" w:rsidRDefault="0004515F" w:rsidP="00B20DD0">
      <w:pPr>
        <w:pStyle w:val="ListParagraph"/>
        <w:spacing w:line="360" w:lineRule="auto"/>
        <w:contextualSpacing w:val="0"/>
        <w:jc w:val="center"/>
        <w:rPr>
          <w:rFonts w:ascii="Arial" w:hAnsi="Arial" w:cs="Arial"/>
          <w:b/>
          <w:szCs w:val="24"/>
          <w:lang w:val="en-SG"/>
        </w:rPr>
      </w:pPr>
      <w:r w:rsidRPr="00B20DD0">
        <w:rPr>
          <w:rFonts w:ascii="Arial" w:hAnsi="Arial" w:cs="Arial"/>
          <w:b/>
          <w:szCs w:val="24"/>
          <w:lang w:val="en-SG"/>
        </w:rPr>
        <w:t>Question 3</w:t>
      </w:r>
    </w:p>
    <w:p w14:paraId="5D01D957" w14:textId="36F70E1B" w:rsidR="00742021" w:rsidRPr="00B20DD0" w:rsidRDefault="0004515F" w:rsidP="00B20DD0">
      <w:pPr>
        <w:spacing w:line="360" w:lineRule="auto"/>
        <w:jc w:val="center"/>
        <w:rPr>
          <w:rFonts w:ascii="Arial" w:hAnsi="Arial" w:cs="Arial"/>
          <w:b/>
          <w:bCs/>
          <w:szCs w:val="24"/>
          <w:lang w:val="en-SG"/>
        </w:rPr>
      </w:pPr>
      <w:r w:rsidRPr="00B20DD0">
        <w:rPr>
          <w:rFonts w:ascii="Arial" w:hAnsi="Arial" w:cs="Arial"/>
          <w:b/>
          <w:bCs/>
          <w:szCs w:val="24"/>
        </w:rPr>
        <w:t>Explain the minimum requirement to register as a limited liability partnership.</w:t>
      </w:r>
    </w:p>
    <w:p w14:paraId="3D930A79" w14:textId="45B0532D" w:rsidR="000C667F" w:rsidRPr="00B20DD0" w:rsidRDefault="0004515F" w:rsidP="007C4CE4">
      <w:pPr>
        <w:spacing w:line="360" w:lineRule="auto"/>
        <w:ind w:firstLine="720"/>
        <w:jc w:val="both"/>
        <w:rPr>
          <w:rFonts w:ascii="Arial" w:hAnsi="Arial" w:cs="Arial"/>
          <w:bCs/>
          <w:szCs w:val="24"/>
          <w:lang w:val="en-SG"/>
        </w:rPr>
      </w:pPr>
      <w:r w:rsidRPr="00B20DD0">
        <w:rPr>
          <w:rFonts w:ascii="Arial" w:hAnsi="Arial" w:cs="Arial"/>
          <w:bCs/>
          <w:szCs w:val="24"/>
          <w:lang w:val="en-SG"/>
        </w:rPr>
        <w:t xml:space="preserve">A minimum of two persons should form the company as the law states that two people are required to form and register a limited liability company. This registration can </w:t>
      </w:r>
      <w:r w:rsidRPr="00B20DD0">
        <w:rPr>
          <w:rFonts w:ascii="Arial" w:hAnsi="Arial" w:cs="Arial"/>
          <w:bCs/>
          <w:szCs w:val="24"/>
          <w:lang w:val="en-SG"/>
        </w:rPr>
        <w:lastRenderedPageBreak/>
        <w:t xml:space="preserve">be done by an individual or a </w:t>
      </w:r>
      <w:r w:rsidR="009B2FE8" w:rsidRPr="00B20DD0">
        <w:rPr>
          <w:rFonts w:ascii="Arial" w:hAnsi="Arial" w:cs="Arial"/>
          <w:bCs/>
          <w:szCs w:val="24"/>
          <w:lang w:val="en-SG"/>
        </w:rPr>
        <w:t>corporate. A person</w:t>
      </w:r>
      <w:r w:rsidRPr="00B20DD0">
        <w:rPr>
          <w:rFonts w:ascii="Arial" w:hAnsi="Arial" w:cs="Arial"/>
          <w:bCs/>
          <w:szCs w:val="24"/>
          <w:lang w:val="en-SG"/>
        </w:rPr>
        <w:t xml:space="preserve"> becomes a partner of a limited liability company when he complies with the required requirements of a relevant limited liability partnership and in instances where the agreement is absent by ensuring he gives a 90 days’ notice to other partners his intentions to resign from being a partner</w:t>
      </w:r>
      <w:r w:rsidR="00B10C02" w:rsidRPr="00B20DD0">
        <w:rPr>
          <w:rFonts w:ascii="Arial" w:hAnsi="Arial" w:cs="Arial"/>
          <w:bCs/>
          <w:szCs w:val="24"/>
          <w:lang w:val="en-SG"/>
        </w:rPr>
        <w:t xml:space="preserve"> (Limited liability partnership, 2019)</w:t>
      </w:r>
      <w:r w:rsidRPr="00B20DD0">
        <w:rPr>
          <w:rFonts w:ascii="Arial" w:hAnsi="Arial" w:cs="Arial"/>
          <w:bCs/>
          <w:szCs w:val="24"/>
          <w:lang w:val="en-SG"/>
        </w:rPr>
        <w:t xml:space="preserve">. </w:t>
      </w:r>
      <w:r w:rsidR="009B2FE8" w:rsidRPr="00B20DD0">
        <w:rPr>
          <w:rFonts w:ascii="Arial" w:hAnsi="Arial" w:cs="Arial"/>
          <w:bCs/>
          <w:szCs w:val="24"/>
          <w:lang w:val="en-SG"/>
        </w:rPr>
        <w:t xml:space="preserve">A partner in a limited liability partnership ceases to become a partner in case of death, insanity, or dissolution of the said </w:t>
      </w:r>
      <w:r w:rsidR="00273E3A" w:rsidRPr="00B20DD0">
        <w:rPr>
          <w:rFonts w:ascii="Arial" w:hAnsi="Arial" w:cs="Arial"/>
          <w:bCs/>
          <w:szCs w:val="24"/>
          <w:lang w:val="en-SG"/>
        </w:rPr>
        <w:t xml:space="preserve">partnership. All partners in a limited liability partnership should be 18 years old and above. There is no general law prohibiting persons </w:t>
      </w:r>
      <w:proofErr w:type="gramStart"/>
      <w:r w:rsidR="00273E3A" w:rsidRPr="00B20DD0">
        <w:rPr>
          <w:rFonts w:ascii="Arial" w:hAnsi="Arial" w:cs="Arial"/>
          <w:bCs/>
          <w:szCs w:val="24"/>
          <w:lang w:val="en-SG"/>
        </w:rPr>
        <w:t>under</w:t>
      </w:r>
      <w:proofErr w:type="gramEnd"/>
      <w:r w:rsidR="00273E3A" w:rsidRPr="00B20DD0">
        <w:rPr>
          <w:rFonts w:ascii="Arial" w:hAnsi="Arial" w:cs="Arial"/>
          <w:bCs/>
          <w:szCs w:val="24"/>
          <w:lang w:val="en-SG"/>
        </w:rPr>
        <w:t xml:space="preserve"> 18 years to be proposed as partners in a limited liability partnership, but this is a provision under the general contract law</w:t>
      </w:r>
      <w:r w:rsidR="00B10C02" w:rsidRPr="00B20DD0">
        <w:rPr>
          <w:rFonts w:ascii="Arial" w:hAnsi="Arial" w:cs="Arial"/>
          <w:bCs/>
          <w:szCs w:val="24"/>
          <w:lang w:val="en-SG"/>
        </w:rPr>
        <w:t xml:space="preserve"> (Guide to limited liability partnership registration in Malaysia)</w:t>
      </w:r>
      <w:r w:rsidR="00273E3A" w:rsidRPr="00B20DD0">
        <w:rPr>
          <w:rFonts w:ascii="Arial" w:hAnsi="Arial" w:cs="Arial"/>
          <w:bCs/>
          <w:szCs w:val="24"/>
          <w:lang w:val="en-SG"/>
        </w:rPr>
        <w:t>.</w:t>
      </w:r>
    </w:p>
    <w:p w14:paraId="0D6B8355" w14:textId="047D05CC" w:rsidR="008E3DA1" w:rsidRPr="00B20DD0" w:rsidRDefault="0004515F" w:rsidP="007C4CE4">
      <w:pPr>
        <w:spacing w:line="360" w:lineRule="auto"/>
        <w:ind w:firstLine="720"/>
        <w:jc w:val="both"/>
        <w:rPr>
          <w:rFonts w:ascii="Arial" w:hAnsi="Arial" w:cs="Arial"/>
          <w:bCs/>
          <w:szCs w:val="24"/>
          <w:lang w:val="en-SG"/>
        </w:rPr>
      </w:pPr>
      <w:r w:rsidRPr="00B20DD0">
        <w:rPr>
          <w:rFonts w:ascii="Arial" w:hAnsi="Arial" w:cs="Arial"/>
          <w:bCs/>
          <w:szCs w:val="24"/>
          <w:lang w:val="en-SG"/>
        </w:rPr>
        <w:t xml:space="preserve"> Any form of partnership contract entered by a minor is deemed voidable until the partner attains 18 years of age. This, therefore, means that any partner below 18 years has the right to avoid his duties while under the contract. There are also questions on whether a minor has the ability to give informed consent when signing a contract or whether they understand the legal consequences of being a member of a limited liability partnership. The argument also revolves around whether they are able to make sound decisions regarding the business executed by the limited liability </w:t>
      </w:r>
      <w:r w:rsidR="000C667F" w:rsidRPr="00B20DD0">
        <w:rPr>
          <w:rFonts w:ascii="Arial" w:hAnsi="Arial" w:cs="Arial"/>
          <w:bCs/>
          <w:szCs w:val="24"/>
          <w:lang w:val="en-SG"/>
        </w:rPr>
        <w:t>partnership. In Malaysia, apart from a partner in a limited liability partnership being 18 years and above, he should be a permanent resident of the country with citizenship and living in Malaysia at the time of the partnership formation</w:t>
      </w:r>
      <w:r w:rsidR="00B10C02" w:rsidRPr="00B20DD0">
        <w:rPr>
          <w:rFonts w:ascii="Arial" w:hAnsi="Arial" w:cs="Arial"/>
          <w:bCs/>
          <w:szCs w:val="24"/>
          <w:lang w:val="en-SG"/>
        </w:rPr>
        <w:t xml:space="preserve"> (Guide to limited liability partnership registration in Malaysia)</w:t>
      </w:r>
      <w:r w:rsidR="000C667F" w:rsidRPr="00B20DD0">
        <w:rPr>
          <w:rFonts w:ascii="Arial" w:hAnsi="Arial" w:cs="Arial"/>
          <w:bCs/>
          <w:szCs w:val="24"/>
          <w:lang w:val="en-SG"/>
        </w:rPr>
        <w:t>.</w:t>
      </w:r>
    </w:p>
    <w:p w14:paraId="7FAFDA5E" w14:textId="5B64C1D5" w:rsidR="009B0ACF" w:rsidRPr="00B20DD0" w:rsidRDefault="0004515F" w:rsidP="007C4CE4">
      <w:pPr>
        <w:spacing w:line="360" w:lineRule="auto"/>
        <w:ind w:firstLine="720"/>
        <w:jc w:val="both"/>
        <w:rPr>
          <w:rFonts w:ascii="Arial" w:eastAsia="Times New Roman" w:hAnsi="Arial" w:cs="Arial"/>
          <w:color w:val="000000"/>
          <w:szCs w:val="24"/>
        </w:rPr>
      </w:pPr>
      <w:r w:rsidRPr="00B20DD0">
        <w:rPr>
          <w:rFonts w:ascii="Arial" w:hAnsi="Arial" w:cs="Arial"/>
          <w:bCs/>
          <w:szCs w:val="24"/>
          <w:lang w:val="en-SG"/>
        </w:rPr>
        <w:t>The LLP agreement usually governs the partnership rights and duties of partners in a Limited liability partnership. In the event where the LLP agreement is absent, provisions in the second schedule are applicable. Before</w:t>
      </w:r>
      <w:r w:rsidR="00830B6A" w:rsidRPr="00B20DD0">
        <w:rPr>
          <w:rFonts w:ascii="Arial" w:hAnsi="Arial" w:cs="Arial"/>
          <w:bCs/>
          <w:szCs w:val="24"/>
          <w:lang w:val="en-SG"/>
        </w:rPr>
        <w:t xml:space="preserve"> registering an LLP in Malaysia, members are required to </w:t>
      </w:r>
      <w:r w:rsidRPr="00B20DD0">
        <w:rPr>
          <w:rFonts w:ascii="Arial" w:hAnsi="Arial" w:cs="Arial"/>
          <w:bCs/>
          <w:szCs w:val="24"/>
          <w:lang w:val="en-SG"/>
        </w:rPr>
        <w:t>wait for approval of their LLP name</w:t>
      </w:r>
      <w:r w:rsidR="00B10C02" w:rsidRPr="00B20DD0">
        <w:rPr>
          <w:rFonts w:ascii="Arial" w:hAnsi="Arial" w:cs="Arial"/>
          <w:bCs/>
          <w:szCs w:val="24"/>
          <w:lang w:val="en-SG"/>
        </w:rPr>
        <w:t xml:space="preserve"> (Limited liability partnership, 2019)</w:t>
      </w:r>
      <w:r w:rsidRPr="00B20DD0">
        <w:rPr>
          <w:rFonts w:ascii="Arial" w:hAnsi="Arial" w:cs="Arial"/>
          <w:bCs/>
          <w:szCs w:val="24"/>
          <w:lang w:val="en-SG"/>
        </w:rPr>
        <w:t>.</w:t>
      </w:r>
      <w:r w:rsidRPr="00B20DD0">
        <w:rPr>
          <w:rFonts w:ascii="Arial" w:eastAsia="Times New Roman" w:hAnsi="Arial" w:cs="Arial"/>
          <w:b/>
          <w:bCs/>
          <w:color w:val="000000"/>
          <w:szCs w:val="24"/>
        </w:rPr>
        <w:t xml:space="preserve"> </w:t>
      </w:r>
      <w:r w:rsidRPr="00B20DD0">
        <w:rPr>
          <w:rFonts w:ascii="Arial" w:eastAsia="Times New Roman" w:hAnsi="Arial" w:cs="Arial"/>
          <w:color w:val="000000"/>
          <w:szCs w:val="24"/>
        </w:rPr>
        <w:t xml:space="preserve">The limited liability act of 2012 requires that every partnership should appoint at least one compliance </w:t>
      </w:r>
      <w:r w:rsidR="005F0F06" w:rsidRPr="00B20DD0">
        <w:rPr>
          <w:rFonts w:ascii="Arial" w:eastAsia="Times New Roman" w:hAnsi="Arial" w:cs="Arial"/>
          <w:color w:val="000000"/>
          <w:szCs w:val="24"/>
        </w:rPr>
        <w:t>officer. The</w:t>
      </w:r>
      <w:r w:rsidRPr="00B20DD0">
        <w:rPr>
          <w:rFonts w:ascii="Arial" w:eastAsia="Times New Roman" w:hAnsi="Arial" w:cs="Arial"/>
          <w:color w:val="000000"/>
          <w:szCs w:val="24"/>
        </w:rPr>
        <w:t xml:space="preserve"> compliance officer is required to among the partners of the limited liability partnership or a person qualified to serve as a secretary </w:t>
      </w:r>
      <w:r w:rsidR="005F0F06" w:rsidRPr="00B20DD0">
        <w:rPr>
          <w:rFonts w:ascii="Arial" w:eastAsia="Times New Roman" w:hAnsi="Arial" w:cs="Arial"/>
          <w:color w:val="000000"/>
          <w:szCs w:val="24"/>
        </w:rPr>
        <w:t xml:space="preserve">under the 1965 company’s act. In addition, the officer should have a minimum </w:t>
      </w:r>
      <w:r w:rsidR="005F0F06" w:rsidRPr="00B20DD0">
        <w:rPr>
          <w:rFonts w:ascii="Arial" w:eastAsia="Times New Roman" w:hAnsi="Arial" w:cs="Arial"/>
          <w:color w:val="000000"/>
          <w:szCs w:val="24"/>
        </w:rPr>
        <w:lastRenderedPageBreak/>
        <w:t>of 18 years of age and should be a resident of Malaysia and physically reside in the country</w:t>
      </w:r>
      <w:r w:rsidR="00B10C02" w:rsidRPr="00B20DD0">
        <w:rPr>
          <w:rFonts w:ascii="Arial" w:hAnsi="Arial" w:cs="Arial"/>
          <w:szCs w:val="24"/>
        </w:rPr>
        <w:t xml:space="preserve"> (</w:t>
      </w:r>
      <w:r w:rsidR="00B10C02" w:rsidRPr="00B20DD0">
        <w:rPr>
          <w:rFonts w:ascii="Arial" w:eastAsia="Times New Roman" w:hAnsi="Arial" w:cs="Arial"/>
          <w:color w:val="000000"/>
          <w:szCs w:val="24"/>
        </w:rPr>
        <w:t>Guide to limited liability partnership registration in Malaysia)</w:t>
      </w:r>
      <w:r w:rsidR="005F0F06" w:rsidRPr="00B20DD0">
        <w:rPr>
          <w:rFonts w:ascii="Arial" w:eastAsia="Times New Roman" w:hAnsi="Arial" w:cs="Arial"/>
          <w:color w:val="000000"/>
          <w:szCs w:val="24"/>
        </w:rPr>
        <w:t>.</w:t>
      </w:r>
    </w:p>
    <w:p w14:paraId="24041D96" w14:textId="6D94D1B2" w:rsidR="009B0ACF" w:rsidRPr="00B20DD0" w:rsidRDefault="0004515F" w:rsidP="007C4CE4">
      <w:pPr>
        <w:spacing w:line="360" w:lineRule="auto"/>
        <w:ind w:firstLine="360"/>
        <w:jc w:val="both"/>
        <w:rPr>
          <w:rFonts w:ascii="Arial" w:eastAsia="Times New Roman" w:hAnsi="Arial" w:cs="Arial"/>
          <w:color w:val="000000"/>
          <w:szCs w:val="24"/>
        </w:rPr>
      </w:pPr>
      <w:r w:rsidRPr="00B20DD0">
        <w:rPr>
          <w:rFonts w:ascii="Arial" w:eastAsia="Times New Roman" w:hAnsi="Arial" w:cs="Arial"/>
          <w:color w:val="000000"/>
          <w:szCs w:val="24"/>
        </w:rPr>
        <w:t>The partnership needs to have a registered office located in Malaysia to which all communications and notices will be addressed. The address can either be residential or even commercial but cannot be a post office address</w:t>
      </w:r>
      <w:r w:rsidR="00B10C02" w:rsidRPr="00B20DD0">
        <w:rPr>
          <w:rFonts w:ascii="Arial" w:hAnsi="Arial" w:cs="Arial"/>
          <w:szCs w:val="24"/>
        </w:rPr>
        <w:t xml:space="preserve"> (</w:t>
      </w:r>
      <w:r w:rsidR="00B10C02" w:rsidRPr="00B20DD0">
        <w:rPr>
          <w:rFonts w:ascii="Arial" w:eastAsia="Times New Roman" w:hAnsi="Arial" w:cs="Arial"/>
          <w:color w:val="000000"/>
          <w:szCs w:val="24"/>
        </w:rPr>
        <w:t>Limited liability partnership, 2019)</w:t>
      </w:r>
      <w:r w:rsidRPr="00B20DD0">
        <w:rPr>
          <w:rFonts w:ascii="Arial" w:eastAsia="Times New Roman" w:hAnsi="Arial" w:cs="Arial"/>
          <w:color w:val="000000"/>
          <w:szCs w:val="24"/>
        </w:rPr>
        <w:t xml:space="preserve">. Once the partnership is registered, an email to confirm that your limited liability company is incorporated with the LLP Registration </w:t>
      </w:r>
      <w:r w:rsidR="00F61253" w:rsidRPr="00B20DD0">
        <w:rPr>
          <w:rFonts w:ascii="Arial" w:eastAsia="Times New Roman" w:hAnsi="Arial" w:cs="Arial"/>
          <w:color w:val="000000"/>
          <w:szCs w:val="24"/>
        </w:rPr>
        <w:t>Number. The</w:t>
      </w:r>
      <w:r w:rsidRPr="00B20DD0">
        <w:rPr>
          <w:rFonts w:ascii="Arial" w:eastAsia="Times New Roman" w:hAnsi="Arial" w:cs="Arial"/>
          <w:color w:val="000000"/>
          <w:szCs w:val="24"/>
        </w:rPr>
        <w:t xml:space="preserve"> processing is usually done </w:t>
      </w:r>
      <w:r w:rsidR="00F61253" w:rsidRPr="00B20DD0">
        <w:rPr>
          <w:rFonts w:ascii="Arial" w:eastAsia="Times New Roman" w:hAnsi="Arial" w:cs="Arial"/>
          <w:color w:val="000000"/>
          <w:szCs w:val="24"/>
        </w:rPr>
        <w:t xml:space="preserve">within a period of 3 to 5 business days. The registrar is then </w:t>
      </w:r>
      <w:r w:rsidR="00244307" w:rsidRPr="00B20DD0">
        <w:rPr>
          <w:rFonts w:ascii="Arial" w:eastAsia="Times New Roman" w:hAnsi="Arial" w:cs="Arial"/>
          <w:color w:val="000000"/>
          <w:szCs w:val="24"/>
        </w:rPr>
        <w:t>required to</w:t>
      </w:r>
      <w:r w:rsidR="00F61253" w:rsidRPr="00B20DD0">
        <w:rPr>
          <w:rFonts w:ascii="Arial" w:eastAsia="Times New Roman" w:hAnsi="Arial" w:cs="Arial"/>
          <w:color w:val="000000"/>
          <w:szCs w:val="24"/>
        </w:rPr>
        <w:t xml:space="preserve"> create a business profile for a limited liability partnership once the registration process comes to an </w:t>
      </w:r>
      <w:r w:rsidR="00244307" w:rsidRPr="00B20DD0">
        <w:rPr>
          <w:rFonts w:ascii="Arial" w:eastAsia="Times New Roman" w:hAnsi="Arial" w:cs="Arial"/>
          <w:color w:val="000000"/>
          <w:szCs w:val="24"/>
        </w:rPr>
        <w:t>end</w:t>
      </w:r>
      <w:r w:rsidR="00B10C02" w:rsidRPr="00B20DD0">
        <w:rPr>
          <w:rFonts w:ascii="Arial" w:eastAsia="Times New Roman" w:hAnsi="Arial" w:cs="Arial"/>
          <w:color w:val="000000"/>
          <w:szCs w:val="24"/>
        </w:rPr>
        <w:t xml:space="preserve"> (Guide to limited liability partnership registration in Malaysia)</w:t>
      </w:r>
      <w:r w:rsidR="00244307" w:rsidRPr="00B20DD0">
        <w:rPr>
          <w:rFonts w:ascii="Arial" w:eastAsia="Times New Roman" w:hAnsi="Arial" w:cs="Arial"/>
          <w:color w:val="000000"/>
          <w:szCs w:val="24"/>
        </w:rPr>
        <w:t>. The</w:t>
      </w:r>
      <w:r w:rsidR="00F61253" w:rsidRPr="00B20DD0">
        <w:rPr>
          <w:rFonts w:ascii="Arial" w:eastAsia="Times New Roman" w:hAnsi="Arial" w:cs="Arial"/>
          <w:color w:val="000000"/>
          <w:szCs w:val="24"/>
        </w:rPr>
        <w:t xml:space="preserve"> business</w:t>
      </w:r>
      <w:r w:rsidR="00244307" w:rsidRPr="00B20DD0">
        <w:rPr>
          <w:rFonts w:ascii="Arial" w:eastAsia="Times New Roman" w:hAnsi="Arial" w:cs="Arial"/>
          <w:color w:val="000000"/>
          <w:szCs w:val="24"/>
        </w:rPr>
        <w:t xml:space="preserve"> </w:t>
      </w:r>
      <w:r w:rsidR="00F61253" w:rsidRPr="00B20DD0">
        <w:rPr>
          <w:rFonts w:ascii="Arial" w:eastAsia="Times New Roman" w:hAnsi="Arial" w:cs="Arial"/>
          <w:color w:val="000000"/>
          <w:szCs w:val="24"/>
        </w:rPr>
        <w:t xml:space="preserve">profile issued by the registrar should contain; </w:t>
      </w:r>
    </w:p>
    <w:p w14:paraId="1C31B765" w14:textId="100DCF13" w:rsidR="00F61253" w:rsidRPr="00B20DD0" w:rsidRDefault="0004515F" w:rsidP="00B20DD0">
      <w:pPr>
        <w:numPr>
          <w:ilvl w:val="0"/>
          <w:numId w:val="5"/>
        </w:numPr>
        <w:spacing w:line="360" w:lineRule="auto"/>
        <w:rPr>
          <w:rFonts w:ascii="Arial" w:eastAsia="Times New Roman" w:hAnsi="Arial" w:cs="Arial"/>
          <w:color w:val="000000"/>
          <w:szCs w:val="24"/>
        </w:rPr>
      </w:pPr>
      <w:r w:rsidRPr="00B20DD0">
        <w:rPr>
          <w:rFonts w:ascii="Arial" w:eastAsia="Times New Roman" w:hAnsi="Arial" w:cs="Arial"/>
          <w:color w:val="000000"/>
          <w:szCs w:val="24"/>
        </w:rPr>
        <w:t>The LLPs name and the registration number.</w:t>
      </w:r>
    </w:p>
    <w:p w14:paraId="3A5564CD" w14:textId="71B71955" w:rsidR="00F61253" w:rsidRPr="00B20DD0" w:rsidRDefault="0004515F" w:rsidP="00B20DD0">
      <w:pPr>
        <w:numPr>
          <w:ilvl w:val="0"/>
          <w:numId w:val="5"/>
        </w:numPr>
        <w:spacing w:line="360" w:lineRule="auto"/>
        <w:rPr>
          <w:rFonts w:ascii="Arial" w:eastAsia="Times New Roman" w:hAnsi="Arial" w:cs="Arial"/>
          <w:color w:val="000000"/>
          <w:szCs w:val="24"/>
        </w:rPr>
      </w:pPr>
      <w:r w:rsidRPr="00B20DD0">
        <w:rPr>
          <w:rFonts w:ascii="Arial" w:eastAsia="Times New Roman" w:hAnsi="Arial" w:cs="Arial"/>
          <w:color w:val="000000"/>
          <w:szCs w:val="24"/>
        </w:rPr>
        <w:t>Any previous name of the company, if any, existed.</w:t>
      </w:r>
    </w:p>
    <w:p w14:paraId="7908CE68" w14:textId="79937B00" w:rsidR="00F61253" w:rsidRPr="00B20DD0" w:rsidRDefault="0004515F" w:rsidP="00B20DD0">
      <w:pPr>
        <w:numPr>
          <w:ilvl w:val="0"/>
          <w:numId w:val="5"/>
        </w:numPr>
        <w:spacing w:line="360" w:lineRule="auto"/>
        <w:rPr>
          <w:rFonts w:ascii="Arial" w:eastAsia="Times New Roman" w:hAnsi="Arial" w:cs="Arial"/>
          <w:color w:val="000000"/>
          <w:szCs w:val="24"/>
        </w:rPr>
      </w:pPr>
      <w:r w:rsidRPr="00B20DD0">
        <w:rPr>
          <w:rFonts w:ascii="Arial" w:eastAsia="Times New Roman" w:hAnsi="Arial" w:cs="Arial"/>
          <w:color w:val="000000"/>
          <w:szCs w:val="24"/>
        </w:rPr>
        <w:t xml:space="preserve">The registration dates </w:t>
      </w:r>
    </w:p>
    <w:p w14:paraId="61E365FD" w14:textId="005A4945" w:rsidR="00F61253" w:rsidRPr="00B20DD0" w:rsidRDefault="0004515F" w:rsidP="00B20DD0">
      <w:pPr>
        <w:numPr>
          <w:ilvl w:val="0"/>
          <w:numId w:val="5"/>
        </w:numPr>
        <w:spacing w:line="360" w:lineRule="auto"/>
        <w:rPr>
          <w:rFonts w:ascii="Arial" w:eastAsia="Times New Roman" w:hAnsi="Arial" w:cs="Arial"/>
          <w:color w:val="000000"/>
          <w:szCs w:val="24"/>
        </w:rPr>
      </w:pPr>
      <w:r w:rsidRPr="00B20DD0">
        <w:rPr>
          <w:rFonts w:ascii="Arial" w:eastAsia="Times New Roman" w:hAnsi="Arial" w:cs="Arial"/>
          <w:color w:val="000000"/>
          <w:szCs w:val="24"/>
        </w:rPr>
        <w:t>Type of business</w:t>
      </w:r>
    </w:p>
    <w:p w14:paraId="6BCC7EA3" w14:textId="518782B0" w:rsidR="00F61253" w:rsidRPr="00B20DD0" w:rsidRDefault="0004515F" w:rsidP="00B20DD0">
      <w:pPr>
        <w:numPr>
          <w:ilvl w:val="0"/>
          <w:numId w:val="5"/>
        </w:numPr>
        <w:spacing w:line="360" w:lineRule="auto"/>
        <w:rPr>
          <w:rFonts w:ascii="Arial" w:eastAsia="Times New Roman" w:hAnsi="Arial" w:cs="Arial"/>
          <w:color w:val="000000"/>
          <w:szCs w:val="24"/>
        </w:rPr>
      </w:pPr>
      <w:r w:rsidRPr="00B20DD0">
        <w:rPr>
          <w:rFonts w:ascii="Arial" w:eastAsia="Times New Roman" w:hAnsi="Arial" w:cs="Arial"/>
          <w:color w:val="000000"/>
          <w:szCs w:val="24"/>
        </w:rPr>
        <w:t>The registered address</w:t>
      </w:r>
    </w:p>
    <w:p w14:paraId="1F232A5A" w14:textId="1ABD94BC" w:rsidR="00F61253" w:rsidRPr="00B20DD0" w:rsidRDefault="0004515F" w:rsidP="00B20DD0">
      <w:pPr>
        <w:numPr>
          <w:ilvl w:val="0"/>
          <w:numId w:val="5"/>
        </w:numPr>
        <w:spacing w:line="360" w:lineRule="auto"/>
        <w:rPr>
          <w:rFonts w:ascii="Arial" w:eastAsia="Times New Roman" w:hAnsi="Arial" w:cs="Arial"/>
          <w:color w:val="000000"/>
          <w:szCs w:val="24"/>
        </w:rPr>
      </w:pPr>
      <w:r w:rsidRPr="00B20DD0">
        <w:rPr>
          <w:rFonts w:ascii="Arial" w:eastAsia="Times New Roman" w:hAnsi="Arial" w:cs="Arial"/>
          <w:color w:val="000000"/>
          <w:szCs w:val="24"/>
        </w:rPr>
        <w:t xml:space="preserve">The businesses’ address of operation </w:t>
      </w:r>
    </w:p>
    <w:p w14:paraId="231C9158" w14:textId="621FA833" w:rsidR="00F61253" w:rsidRPr="00B20DD0" w:rsidRDefault="0004515F" w:rsidP="00B20DD0">
      <w:pPr>
        <w:numPr>
          <w:ilvl w:val="0"/>
          <w:numId w:val="5"/>
        </w:numPr>
        <w:spacing w:line="360" w:lineRule="auto"/>
        <w:rPr>
          <w:rFonts w:ascii="Arial" w:eastAsia="Times New Roman" w:hAnsi="Arial" w:cs="Arial"/>
          <w:color w:val="000000"/>
          <w:szCs w:val="24"/>
        </w:rPr>
      </w:pPr>
      <w:r w:rsidRPr="00B20DD0">
        <w:rPr>
          <w:rFonts w:ascii="Arial" w:eastAsia="Times New Roman" w:hAnsi="Arial" w:cs="Arial"/>
          <w:color w:val="000000"/>
          <w:szCs w:val="24"/>
        </w:rPr>
        <w:t xml:space="preserve">Details of partners </w:t>
      </w:r>
    </w:p>
    <w:p w14:paraId="10A60783" w14:textId="09C51AA8" w:rsidR="00F61253" w:rsidRPr="00B20DD0" w:rsidRDefault="0004515F" w:rsidP="00B20DD0">
      <w:pPr>
        <w:pStyle w:val="ListParagraph"/>
        <w:numPr>
          <w:ilvl w:val="0"/>
          <w:numId w:val="5"/>
        </w:numPr>
        <w:spacing w:line="360" w:lineRule="auto"/>
        <w:contextualSpacing w:val="0"/>
        <w:rPr>
          <w:rFonts w:ascii="Arial" w:eastAsia="Times New Roman" w:hAnsi="Arial" w:cs="Arial"/>
          <w:color w:val="000000"/>
          <w:szCs w:val="24"/>
        </w:rPr>
      </w:pPr>
      <w:r w:rsidRPr="00B20DD0">
        <w:rPr>
          <w:rFonts w:ascii="Arial" w:eastAsia="Times New Roman" w:hAnsi="Arial" w:cs="Arial"/>
          <w:color w:val="000000"/>
          <w:szCs w:val="24"/>
        </w:rPr>
        <w:t>Details of a compliance officer</w:t>
      </w:r>
    </w:p>
    <w:p w14:paraId="795A8174" w14:textId="50432B76" w:rsidR="0061296B" w:rsidRPr="00B20DD0" w:rsidRDefault="0004515F" w:rsidP="00B20DD0">
      <w:pPr>
        <w:spacing w:line="360" w:lineRule="auto"/>
        <w:ind w:firstLine="720"/>
        <w:jc w:val="center"/>
        <w:rPr>
          <w:rFonts w:ascii="Arial" w:hAnsi="Arial" w:cs="Arial"/>
          <w:b/>
          <w:szCs w:val="24"/>
          <w:lang w:val="en-SG"/>
        </w:rPr>
      </w:pPr>
      <w:r w:rsidRPr="00B20DD0">
        <w:rPr>
          <w:rFonts w:ascii="Arial" w:hAnsi="Arial" w:cs="Arial"/>
          <w:b/>
          <w:szCs w:val="24"/>
          <w:lang w:val="en-SG"/>
        </w:rPr>
        <w:t>Question 4</w:t>
      </w:r>
    </w:p>
    <w:p w14:paraId="3BE71DAB" w14:textId="53C1F809" w:rsidR="00244307" w:rsidRPr="00B20DD0" w:rsidRDefault="0004515F" w:rsidP="00B20DD0">
      <w:pPr>
        <w:spacing w:line="360" w:lineRule="auto"/>
        <w:ind w:firstLine="720"/>
        <w:jc w:val="center"/>
        <w:rPr>
          <w:rFonts w:ascii="Arial" w:hAnsi="Arial" w:cs="Arial"/>
          <w:b/>
          <w:bCs/>
          <w:szCs w:val="24"/>
        </w:rPr>
      </w:pPr>
      <w:r w:rsidRPr="00B20DD0">
        <w:rPr>
          <w:rFonts w:ascii="Arial" w:hAnsi="Arial" w:cs="Arial"/>
          <w:b/>
          <w:szCs w:val="24"/>
        </w:rPr>
        <w:t>Explain five of the various classifications of agents</w:t>
      </w:r>
      <w:r w:rsidRPr="00B20DD0">
        <w:rPr>
          <w:rFonts w:ascii="Arial" w:hAnsi="Arial" w:cs="Arial"/>
          <w:bCs/>
          <w:szCs w:val="24"/>
        </w:rPr>
        <w:t xml:space="preserve"> </w:t>
      </w:r>
      <w:r w:rsidRPr="00B20DD0">
        <w:rPr>
          <w:rFonts w:ascii="Arial" w:hAnsi="Arial" w:cs="Arial"/>
          <w:b/>
          <w:bCs/>
          <w:szCs w:val="24"/>
        </w:rPr>
        <w:t>with example</w:t>
      </w:r>
    </w:p>
    <w:p w14:paraId="08E4345D" w14:textId="77777777" w:rsidR="00703D0C" w:rsidRPr="00B20DD0" w:rsidRDefault="0004515F" w:rsidP="00B20DD0">
      <w:pPr>
        <w:spacing w:line="360" w:lineRule="auto"/>
        <w:ind w:left="720" w:hanging="630"/>
        <w:rPr>
          <w:rFonts w:ascii="Arial" w:hAnsi="Arial" w:cs="Arial"/>
          <w:szCs w:val="24"/>
        </w:rPr>
      </w:pPr>
      <w:r w:rsidRPr="00B20DD0">
        <w:rPr>
          <w:rFonts w:ascii="Arial" w:hAnsi="Arial" w:cs="Arial"/>
          <w:b/>
          <w:bCs/>
          <w:i/>
          <w:iCs/>
          <w:szCs w:val="24"/>
        </w:rPr>
        <w:t>Factor:</w:t>
      </w:r>
    </w:p>
    <w:p w14:paraId="442670EF" w14:textId="45C5FB2D" w:rsidR="00703D0C" w:rsidRPr="00B20DD0" w:rsidRDefault="0004515F" w:rsidP="007C4CE4">
      <w:pPr>
        <w:spacing w:line="360" w:lineRule="auto"/>
        <w:ind w:left="86" w:firstLine="634"/>
        <w:jc w:val="both"/>
        <w:rPr>
          <w:rFonts w:ascii="Arial" w:hAnsi="Arial" w:cs="Arial"/>
          <w:szCs w:val="24"/>
        </w:rPr>
      </w:pPr>
      <w:r w:rsidRPr="00B20DD0">
        <w:rPr>
          <w:rFonts w:ascii="Arial" w:hAnsi="Arial" w:cs="Arial"/>
          <w:szCs w:val="24"/>
        </w:rPr>
        <w:t xml:space="preserve">A factor refers to mercantile agents that are entrusted with the possession of goods </w:t>
      </w:r>
      <w:r w:rsidR="00EC7459" w:rsidRPr="00B20DD0">
        <w:rPr>
          <w:rFonts w:ascii="Arial" w:hAnsi="Arial" w:cs="Arial"/>
          <w:szCs w:val="24"/>
        </w:rPr>
        <w:t>with</w:t>
      </w:r>
      <w:r w:rsidRPr="00B20DD0">
        <w:rPr>
          <w:rFonts w:ascii="Arial" w:hAnsi="Arial" w:cs="Arial"/>
          <w:szCs w:val="24"/>
        </w:rPr>
        <w:t xml:space="preserve"> </w:t>
      </w:r>
      <w:r w:rsidR="00EC7459" w:rsidRPr="00B20DD0">
        <w:rPr>
          <w:rFonts w:ascii="Arial" w:hAnsi="Arial" w:cs="Arial"/>
          <w:szCs w:val="24"/>
        </w:rPr>
        <w:t xml:space="preserve">the purpose of selling them. The factor has the possible discretionary authority to sell the goods. He sells the goods in his own name as the real owner upon </w:t>
      </w:r>
      <w:r w:rsidR="00EC7459" w:rsidRPr="00B20DD0">
        <w:rPr>
          <w:rFonts w:ascii="Arial" w:hAnsi="Arial" w:cs="Arial"/>
          <w:szCs w:val="24"/>
        </w:rPr>
        <w:lastRenderedPageBreak/>
        <w:t>trams as he thinks fits the price and thus gives the goods to the buyer</w:t>
      </w:r>
      <w:r w:rsidR="00B10C02" w:rsidRPr="00B20DD0">
        <w:rPr>
          <w:rFonts w:ascii="Arial" w:hAnsi="Arial" w:cs="Arial"/>
          <w:szCs w:val="24"/>
        </w:rPr>
        <w:t xml:space="preserve"> (Classification of agents)</w:t>
      </w:r>
      <w:r w:rsidR="00EC7459" w:rsidRPr="00B20DD0">
        <w:rPr>
          <w:rFonts w:ascii="Arial" w:hAnsi="Arial" w:cs="Arial"/>
          <w:szCs w:val="24"/>
        </w:rPr>
        <w:t>.</w:t>
      </w:r>
    </w:p>
    <w:p w14:paraId="2C73470B" w14:textId="3671CD63" w:rsidR="001D29CA" w:rsidRPr="00B20DD0" w:rsidRDefault="0004515F" w:rsidP="00B20DD0">
      <w:pPr>
        <w:spacing w:line="360" w:lineRule="auto"/>
        <w:ind w:left="86"/>
        <w:rPr>
          <w:rFonts w:ascii="Arial" w:hAnsi="Arial" w:cs="Arial"/>
          <w:szCs w:val="24"/>
        </w:rPr>
      </w:pPr>
      <w:r w:rsidRPr="00B20DD0">
        <w:rPr>
          <w:rFonts w:ascii="Arial" w:hAnsi="Arial" w:cs="Arial"/>
          <w:b/>
          <w:bCs/>
          <w:i/>
          <w:iCs/>
          <w:szCs w:val="24"/>
        </w:rPr>
        <w:t>Auctioneer:</w:t>
      </w:r>
    </w:p>
    <w:p w14:paraId="0108D1E5" w14:textId="1E06AF43" w:rsidR="001D29CA" w:rsidRPr="00B20DD0" w:rsidRDefault="00703D0C" w:rsidP="007C4CE4">
      <w:pPr>
        <w:spacing w:line="360" w:lineRule="auto"/>
        <w:ind w:left="86" w:firstLine="634"/>
        <w:jc w:val="both"/>
        <w:rPr>
          <w:rFonts w:ascii="Arial" w:hAnsi="Arial" w:cs="Arial"/>
          <w:szCs w:val="24"/>
        </w:rPr>
      </w:pPr>
      <w:r w:rsidRPr="00B20DD0">
        <w:rPr>
          <w:rFonts w:ascii="Arial" w:hAnsi="Arial" w:cs="Arial"/>
          <w:szCs w:val="24"/>
        </w:rPr>
        <w:t xml:space="preserve"> An auctioneer is defined as an agent </w:t>
      </w:r>
      <w:r w:rsidR="008C2A40" w:rsidRPr="00B20DD0">
        <w:rPr>
          <w:rFonts w:ascii="Arial" w:hAnsi="Arial" w:cs="Arial"/>
          <w:szCs w:val="24"/>
        </w:rPr>
        <w:t xml:space="preserve">that the seller appoints to carry out the action of selling his goods by auctioning for a reward that, in most cases, comes in the form of a commission. The auctioneer is basically the seller's agent, but once the sale takes place, he then becomes an agent of the purchaser. </w:t>
      </w:r>
      <w:proofErr w:type="gramStart"/>
      <w:r w:rsidR="008C2A40" w:rsidRPr="00B20DD0">
        <w:rPr>
          <w:rFonts w:ascii="Arial" w:hAnsi="Arial" w:cs="Arial"/>
          <w:szCs w:val="24"/>
        </w:rPr>
        <w:t>He</w:t>
      </w:r>
      <w:proofErr w:type="gramEnd"/>
      <w:r w:rsidR="008C2A40" w:rsidRPr="00B20DD0">
        <w:rPr>
          <w:rFonts w:ascii="Arial" w:hAnsi="Arial" w:cs="Arial"/>
          <w:szCs w:val="24"/>
        </w:rPr>
        <w:t xml:space="preserve"> liens on the goods based on his charges and has the authority to receive the money from which the goods are </w:t>
      </w:r>
      <w:r w:rsidR="003A0B83" w:rsidRPr="00B20DD0">
        <w:rPr>
          <w:rFonts w:ascii="Arial" w:hAnsi="Arial" w:cs="Arial"/>
          <w:szCs w:val="24"/>
        </w:rPr>
        <w:t xml:space="preserve">sold. He </w:t>
      </w:r>
      <w:r w:rsidR="008C2A40" w:rsidRPr="00B20DD0">
        <w:rPr>
          <w:rFonts w:ascii="Arial" w:hAnsi="Arial" w:cs="Arial"/>
          <w:szCs w:val="24"/>
        </w:rPr>
        <w:t xml:space="preserve">can also for the price just like any other agent though he is required to receive </w:t>
      </w:r>
      <w:r w:rsidR="003A0B83" w:rsidRPr="00B20DD0">
        <w:rPr>
          <w:rFonts w:ascii="Arial" w:hAnsi="Arial" w:cs="Arial"/>
          <w:szCs w:val="24"/>
        </w:rPr>
        <w:t>instructions</w:t>
      </w:r>
      <w:r w:rsidR="008C2A40" w:rsidRPr="00B20DD0">
        <w:rPr>
          <w:rFonts w:ascii="Arial" w:hAnsi="Arial" w:cs="Arial"/>
          <w:szCs w:val="24"/>
        </w:rPr>
        <w:t xml:space="preserve"> or directives from the </w:t>
      </w:r>
      <w:r w:rsidR="003A0B83" w:rsidRPr="00B20DD0">
        <w:rPr>
          <w:rFonts w:ascii="Arial" w:hAnsi="Arial" w:cs="Arial"/>
          <w:szCs w:val="24"/>
        </w:rPr>
        <w:t>principal. The</w:t>
      </w:r>
      <w:r w:rsidR="008C2A40" w:rsidRPr="00B20DD0">
        <w:rPr>
          <w:rFonts w:ascii="Arial" w:hAnsi="Arial" w:cs="Arial"/>
          <w:szCs w:val="24"/>
        </w:rPr>
        <w:t xml:space="preserve"> principal, on the other hand, is liable to third parties for any undesirable acts that are likely to occur </w:t>
      </w:r>
      <w:r w:rsidR="003A0B83" w:rsidRPr="00B20DD0">
        <w:rPr>
          <w:rFonts w:ascii="Arial" w:hAnsi="Arial" w:cs="Arial"/>
          <w:szCs w:val="24"/>
        </w:rPr>
        <w:t>during the</w:t>
      </w:r>
      <w:r w:rsidR="008C2A40" w:rsidRPr="00B20DD0">
        <w:rPr>
          <w:rFonts w:ascii="Arial" w:hAnsi="Arial" w:cs="Arial"/>
          <w:szCs w:val="24"/>
        </w:rPr>
        <w:t xml:space="preserve"> auctioneering </w:t>
      </w:r>
      <w:r w:rsidR="003A0B83" w:rsidRPr="00B20DD0">
        <w:rPr>
          <w:rFonts w:ascii="Arial" w:hAnsi="Arial" w:cs="Arial"/>
          <w:szCs w:val="24"/>
        </w:rPr>
        <w:t>process</w:t>
      </w:r>
      <w:r w:rsidR="008C2A40" w:rsidRPr="00B20DD0">
        <w:rPr>
          <w:rFonts w:ascii="Arial" w:hAnsi="Arial" w:cs="Arial"/>
          <w:szCs w:val="24"/>
        </w:rPr>
        <w:t xml:space="preserve"> in instances where the auctioneer acts within the scope of the authority given to him even </w:t>
      </w:r>
      <w:r w:rsidR="003A0B83" w:rsidRPr="00B20DD0">
        <w:rPr>
          <w:rFonts w:ascii="Arial" w:hAnsi="Arial" w:cs="Arial"/>
          <w:szCs w:val="24"/>
        </w:rPr>
        <w:t>though</w:t>
      </w:r>
      <w:r w:rsidR="008C2A40" w:rsidRPr="00B20DD0">
        <w:rPr>
          <w:rFonts w:ascii="Arial" w:hAnsi="Arial" w:cs="Arial"/>
          <w:szCs w:val="24"/>
        </w:rPr>
        <w:t xml:space="preserve"> he may have </w:t>
      </w:r>
      <w:r w:rsidR="003A0B83" w:rsidRPr="00B20DD0">
        <w:rPr>
          <w:rFonts w:ascii="Arial" w:hAnsi="Arial" w:cs="Arial"/>
          <w:szCs w:val="24"/>
        </w:rPr>
        <w:t>privately failed to abide by the instructions given to him</w:t>
      </w:r>
      <w:r w:rsidR="00B10C02" w:rsidRPr="00B20DD0">
        <w:rPr>
          <w:rFonts w:ascii="Arial" w:hAnsi="Arial" w:cs="Arial"/>
          <w:szCs w:val="24"/>
        </w:rPr>
        <w:t xml:space="preserve"> (Classification of agents)</w:t>
      </w:r>
      <w:r w:rsidR="003A0B83" w:rsidRPr="00B20DD0">
        <w:rPr>
          <w:rFonts w:ascii="Arial" w:hAnsi="Arial" w:cs="Arial"/>
          <w:szCs w:val="24"/>
        </w:rPr>
        <w:t>.</w:t>
      </w:r>
    </w:p>
    <w:p w14:paraId="4A68F244" w14:textId="5B538EA4" w:rsidR="001D29CA" w:rsidRPr="00B20DD0" w:rsidRDefault="0004515F" w:rsidP="00B20DD0">
      <w:pPr>
        <w:spacing w:line="360" w:lineRule="auto"/>
        <w:ind w:left="86"/>
        <w:rPr>
          <w:rFonts w:ascii="Arial" w:hAnsi="Arial" w:cs="Arial"/>
          <w:szCs w:val="24"/>
        </w:rPr>
      </w:pPr>
      <w:r w:rsidRPr="00B20DD0">
        <w:rPr>
          <w:rFonts w:ascii="Arial" w:hAnsi="Arial" w:cs="Arial"/>
          <w:b/>
          <w:bCs/>
          <w:i/>
          <w:iCs/>
          <w:szCs w:val="24"/>
        </w:rPr>
        <w:t>Broker:</w:t>
      </w:r>
    </w:p>
    <w:p w14:paraId="3722FDC3" w14:textId="2F940B23" w:rsidR="001D29CA" w:rsidRPr="00B20DD0" w:rsidRDefault="0004515F" w:rsidP="007C4CE4">
      <w:pPr>
        <w:spacing w:line="360" w:lineRule="auto"/>
        <w:ind w:left="86" w:firstLine="720"/>
        <w:jc w:val="both"/>
        <w:rPr>
          <w:rFonts w:ascii="Arial" w:hAnsi="Arial" w:cs="Arial"/>
          <w:szCs w:val="24"/>
        </w:rPr>
      </w:pPr>
      <w:r w:rsidRPr="00B20DD0">
        <w:rPr>
          <w:rFonts w:ascii="Arial" w:hAnsi="Arial" w:cs="Arial"/>
          <w:szCs w:val="24"/>
        </w:rPr>
        <w:t>On the other hand, a broker refers to an agent that is always employed to buy and sell goods on behalf of another person, in this case, referred to as the principal. He is primarily employed to create a contractual relationship between the third party and the owner of the goods, who is the principal. However, during exchanging goods, the broker is not entrusted with possessing the goods. Therefore, this means that a broker cannot act or sue his own name since he does not have the right to lien and has no possession of the goods.</w:t>
      </w:r>
    </w:p>
    <w:p w14:paraId="348C8360" w14:textId="3AC77E4C" w:rsidR="008C210F" w:rsidRPr="00B20DD0" w:rsidRDefault="0004515F" w:rsidP="00B20DD0">
      <w:pPr>
        <w:spacing w:line="360" w:lineRule="auto"/>
        <w:rPr>
          <w:rFonts w:ascii="Arial" w:hAnsi="Arial" w:cs="Arial"/>
          <w:szCs w:val="24"/>
        </w:rPr>
      </w:pPr>
      <w:r w:rsidRPr="00B20DD0">
        <w:rPr>
          <w:rFonts w:ascii="Arial" w:hAnsi="Arial" w:cs="Arial"/>
          <w:b/>
          <w:bCs/>
          <w:i/>
          <w:iCs/>
          <w:szCs w:val="24"/>
        </w:rPr>
        <w:t>Commission agent:</w:t>
      </w:r>
    </w:p>
    <w:p w14:paraId="546DE5B9" w14:textId="1245077F" w:rsidR="008C210F" w:rsidRPr="00B20DD0" w:rsidRDefault="001D29CA" w:rsidP="007C4CE4">
      <w:pPr>
        <w:spacing w:line="360" w:lineRule="auto"/>
        <w:ind w:firstLine="720"/>
        <w:jc w:val="both"/>
        <w:rPr>
          <w:rFonts w:ascii="Arial" w:hAnsi="Arial" w:cs="Arial"/>
          <w:szCs w:val="24"/>
        </w:rPr>
      </w:pPr>
      <w:r w:rsidRPr="00B20DD0">
        <w:rPr>
          <w:rFonts w:ascii="Arial" w:hAnsi="Arial" w:cs="Arial"/>
          <w:szCs w:val="24"/>
        </w:rPr>
        <w:t xml:space="preserve">A commission agent is classified under a group of indefinite agents who are employed to buy and sell goods or even transact business for other persons in exchange for </w:t>
      </w:r>
      <w:proofErr w:type="gramStart"/>
      <w:r w:rsidRPr="00B20DD0">
        <w:rPr>
          <w:rFonts w:ascii="Arial" w:hAnsi="Arial" w:cs="Arial"/>
          <w:szCs w:val="24"/>
        </w:rPr>
        <w:t>which</w:t>
      </w:r>
      <w:proofErr w:type="gramEnd"/>
      <w:r w:rsidRPr="00B20DD0">
        <w:rPr>
          <w:rFonts w:ascii="Arial" w:hAnsi="Arial" w:cs="Arial"/>
          <w:szCs w:val="24"/>
        </w:rPr>
        <w:t xml:space="preserve"> he receives money for his labor and payment </w:t>
      </w:r>
      <w:r w:rsidR="0004515F" w:rsidRPr="00B20DD0">
        <w:rPr>
          <w:rFonts w:ascii="Arial" w:hAnsi="Arial" w:cs="Arial"/>
          <w:szCs w:val="24"/>
        </w:rPr>
        <w:t>in the form of money or a payment called commission</w:t>
      </w:r>
      <w:r w:rsidR="00B10C02" w:rsidRPr="00B20DD0">
        <w:rPr>
          <w:rFonts w:ascii="Arial" w:hAnsi="Arial" w:cs="Arial"/>
          <w:szCs w:val="24"/>
        </w:rPr>
        <w:t xml:space="preserve"> (Classification of agents)</w:t>
      </w:r>
      <w:r w:rsidR="0004515F" w:rsidRPr="00B20DD0">
        <w:rPr>
          <w:rFonts w:ascii="Arial" w:hAnsi="Arial" w:cs="Arial"/>
          <w:szCs w:val="24"/>
        </w:rPr>
        <w:t xml:space="preserve">. </w:t>
      </w:r>
    </w:p>
    <w:p w14:paraId="1712D9C7" w14:textId="34CB214F" w:rsidR="008C210F" w:rsidRPr="00B20DD0" w:rsidRDefault="0004515F" w:rsidP="00B20DD0">
      <w:pPr>
        <w:spacing w:line="360" w:lineRule="auto"/>
        <w:rPr>
          <w:rFonts w:ascii="Arial" w:hAnsi="Arial" w:cs="Arial"/>
          <w:szCs w:val="24"/>
        </w:rPr>
      </w:pPr>
      <w:r w:rsidRPr="00B20DD0">
        <w:rPr>
          <w:rFonts w:ascii="Arial" w:hAnsi="Arial" w:cs="Arial"/>
          <w:b/>
          <w:bCs/>
          <w:i/>
          <w:iCs/>
          <w:szCs w:val="24"/>
        </w:rPr>
        <w:t xml:space="preserve">Del </w:t>
      </w:r>
      <w:proofErr w:type="spellStart"/>
      <w:r w:rsidRPr="00B20DD0">
        <w:rPr>
          <w:rFonts w:ascii="Arial" w:hAnsi="Arial" w:cs="Arial"/>
          <w:b/>
          <w:bCs/>
          <w:i/>
          <w:iCs/>
          <w:szCs w:val="24"/>
        </w:rPr>
        <w:t>credere</w:t>
      </w:r>
      <w:proofErr w:type="spellEnd"/>
      <w:r w:rsidRPr="00B20DD0">
        <w:rPr>
          <w:rFonts w:ascii="Arial" w:hAnsi="Arial" w:cs="Arial"/>
          <w:b/>
          <w:bCs/>
          <w:i/>
          <w:iCs/>
          <w:szCs w:val="24"/>
        </w:rPr>
        <w:t>: </w:t>
      </w:r>
    </w:p>
    <w:p w14:paraId="49396C87" w14:textId="6FC9A704" w:rsidR="008C210F" w:rsidRPr="00B20DD0" w:rsidRDefault="0004515F" w:rsidP="007C4CE4">
      <w:pPr>
        <w:spacing w:line="360" w:lineRule="auto"/>
        <w:ind w:firstLine="720"/>
        <w:jc w:val="both"/>
        <w:rPr>
          <w:rFonts w:ascii="Arial" w:hAnsi="Arial" w:cs="Arial"/>
          <w:szCs w:val="24"/>
        </w:rPr>
      </w:pPr>
      <w:r w:rsidRPr="00B20DD0">
        <w:rPr>
          <w:rFonts w:ascii="Arial" w:hAnsi="Arial" w:cs="Arial"/>
          <w:szCs w:val="24"/>
        </w:rPr>
        <w:lastRenderedPageBreak/>
        <w:t xml:space="preserve">A de </w:t>
      </w:r>
      <w:proofErr w:type="spellStart"/>
      <w:r w:rsidRPr="00B20DD0">
        <w:rPr>
          <w:rFonts w:ascii="Arial" w:hAnsi="Arial" w:cs="Arial"/>
          <w:szCs w:val="24"/>
        </w:rPr>
        <w:t>credere</w:t>
      </w:r>
      <w:proofErr w:type="spellEnd"/>
      <w:r w:rsidRPr="00B20DD0">
        <w:rPr>
          <w:rFonts w:ascii="Arial" w:hAnsi="Arial" w:cs="Arial"/>
          <w:szCs w:val="24"/>
        </w:rPr>
        <w:t xml:space="preserve"> agent is one who is put under consideration for earning an extra commission. The commission guarantees the principal that the person with whom they have entered into a contract with shall perform their obligation. A de credere agent occupies the position of an agent and a guarantor at the same time.</w:t>
      </w:r>
    </w:p>
    <w:p w14:paraId="4693DC42" w14:textId="5CDA892E" w:rsidR="008C210F" w:rsidRPr="00B20DD0" w:rsidRDefault="0004515F" w:rsidP="00B20DD0">
      <w:pPr>
        <w:spacing w:line="360" w:lineRule="auto"/>
        <w:rPr>
          <w:rFonts w:ascii="Arial" w:hAnsi="Arial" w:cs="Arial"/>
          <w:szCs w:val="24"/>
        </w:rPr>
      </w:pPr>
      <w:r w:rsidRPr="00B20DD0">
        <w:rPr>
          <w:rFonts w:ascii="Arial" w:hAnsi="Arial" w:cs="Arial"/>
          <w:b/>
          <w:bCs/>
          <w:i/>
          <w:iCs/>
          <w:szCs w:val="24"/>
        </w:rPr>
        <w:t>Banker:</w:t>
      </w:r>
    </w:p>
    <w:p w14:paraId="7012E1FB" w14:textId="46CD8486" w:rsidR="002C2147" w:rsidRPr="00B20DD0" w:rsidRDefault="0004515F" w:rsidP="002D02C3">
      <w:pPr>
        <w:spacing w:line="360" w:lineRule="auto"/>
        <w:ind w:firstLine="720"/>
        <w:jc w:val="both"/>
        <w:rPr>
          <w:rFonts w:ascii="Arial" w:hAnsi="Arial" w:cs="Arial"/>
          <w:szCs w:val="24"/>
        </w:rPr>
      </w:pPr>
      <w:r w:rsidRPr="00B20DD0">
        <w:rPr>
          <w:rFonts w:ascii="Arial" w:hAnsi="Arial" w:cs="Arial"/>
          <w:szCs w:val="24"/>
        </w:rPr>
        <w:t xml:space="preserve">The association between a banker and his clients is that that exists between a creditor and a </w:t>
      </w:r>
      <w:r w:rsidR="00D16C14" w:rsidRPr="00B20DD0">
        <w:rPr>
          <w:rFonts w:ascii="Arial" w:hAnsi="Arial" w:cs="Arial"/>
          <w:szCs w:val="24"/>
        </w:rPr>
        <w:t>debtor. The</w:t>
      </w:r>
      <w:r w:rsidRPr="00B20DD0">
        <w:rPr>
          <w:rFonts w:ascii="Arial" w:hAnsi="Arial" w:cs="Arial"/>
          <w:szCs w:val="24"/>
        </w:rPr>
        <w:t xml:space="preserve"> banker has a superadded role of paying debts when he is called upon </w:t>
      </w:r>
      <w:r w:rsidR="00D16C14" w:rsidRPr="00B20DD0">
        <w:rPr>
          <w:rFonts w:ascii="Arial" w:hAnsi="Arial" w:cs="Arial"/>
          <w:szCs w:val="24"/>
        </w:rPr>
        <w:t>to do so by the client through a draft. In this way, a banker is an agent to his customer</w:t>
      </w:r>
      <w:r w:rsidR="00B10C02" w:rsidRPr="00B20DD0">
        <w:rPr>
          <w:rFonts w:ascii="Arial" w:hAnsi="Arial" w:cs="Arial"/>
          <w:szCs w:val="24"/>
        </w:rPr>
        <w:t xml:space="preserve"> (Classification of agents)</w:t>
      </w:r>
      <w:r w:rsidR="00D16C14" w:rsidRPr="00B20DD0">
        <w:rPr>
          <w:rFonts w:ascii="Arial" w:hAnsi="Arial" w:cs="Arial"/>
          <w:szCs w:val="24"/>
        </w:rPr>
        <w:t>.</w:t>
      </w:r>
    </w:p>
    <w:p w14:paraId="0AA71635" w14:textId="77777777" w:rsidR="00600309" w:rsidRPr="00B20DD0" w:rsidRDefault="00600309" w:rsidP="00B20DD0">
      <w:pPr>
        <w:spacing w:line="360" w:lineRule="auto"/>
        <w:rPr>
          <w:rFonts w:ascii="Arial" w:hAnsi="Arial" w:cs="Arial"/>
          <w:szCs w:val="24"/>
        </w:rPr>
      </w:pPr>
      <w:r w:rsidRPr="00B20DD0">
        <w:rPr>
          <w:rFonts w:ascii="Arial" w:hAnsi="Arial" w:cs="Arial"/>
          <w:szCs w:val="24"/>
        </w:rPr>
        <w:br w:type="page"/>
      </w:r>
      <w:bookmarkStart w:id="0" w:name="_GoBack"/>
      <w:bookmarkEnd w:id="0"/>
    </w:p>
    <w:p w14:paraId="7198E08C" w14:textId="6B71DFE4" w:rsidR="00C219B1" w:rsidRPr="00B20DD0" w:rsidRDefault="008F195B" w:rsidP="00B20DD0">
      <w:pPr>
        <w:spacing w:line="360" w:lineRule="auto"/>
        <w:jc w:val="center"/>
        <w:rPr>
          <w:rFonts w:ascii="Arial" w:hAnsi="Arial" w:cs="Arial"/>
          <w:szCs w:val="24"/>
        </w:rPr>
      </w:pPr>
      <w:r w:rsidRPr="00B20DD0">
        <w:rPr>
          <w:rFonts w:ascii="Arial" w:hAnsi="Arial" w:cs="Arial"/>
          <w:szCs w:val="24"/>
        </w:rPr>
        <w:lastRenderedPageBreak/>
        <w:t>References</w:t>
      </w:r>
    </w:p>
    <w:p w14:paraId="10EB6016" w14:textId="77777777" w:rsidR="00C219B1" w:rsidRPr="00B20DD0" w:rsidRDefault="00C219B1" w:rsidP="00B20DD0">
      <w:pPr>
        <w:spacing w:line="360" w:lineRule="auto"/>
        <w:ind w:left="720" w:hanging="720"/>
        <w:rPr>
          <w:rFonts w:ascii="Arial" w:hAnsi="Arial" w:cs="Arial"/>
          <w:szCs w:val="24"/>
        </w:rPr>
      </w:pPr>
      <w:r w:rsidRPr="00B20DD0">
        <w:rPr>
          <w:rFonts w:ascii="Arial" w:hAnsi="Arial" w:cs="Arial"/>
          <w:szCs w:val="24"/>
        </w:rPr>
        <w:t>Aun, W. M. (1975). </w:t>
      </w:r>
      <w:proofErr w:type="gramStart"/>
      <w:r w:rsidRPr="00B20DD0">
        <w:rPr>
          <w:rFonts w:ascii="Arial" w:hAnsi="Arial" w:cs="Arial"/>
          <w:i/>
          <w:iCs/>
          <w:szCs w:val="24"/>
        </w:rPr>
        <w:t>An introduction to the Malaysian legal system</w:t>
      </w:r>
      <w:r w:rsidRPr="00B20DD0">
        <w:rPr>
          <w:rFonts w:ascii="Arial" w:hAnsi="Arial" w:cs="Arial"/>
          <w:szCs w:val="24"/>
        </w:rPr>
        <w:t>.</w:t>
      </w:r>
      <w:proofErr w:type="gramEnd"/>
      <w:r w:rsidRPr="00B20DD0">
        <w:rPr>
          <w:rFonts w:ascii="Arial" w:hAnsi="Arial" w:cs="Arial"/>
          <w:szCs w:val="24"/>
        </w:rPr>
        <w:t xml:space="preserve"> </w:t>
      </w:r>
      <w:proofErr w:type="gramStart"/>
      <w:r w:rsidRPr="00B20DD0">
        <w:rPr>
          <w:rFonts w:ascii="Arial" w:hAnsi="Arial" w:cs="Arial"/>
          <w:szCs w:val="24"/>
        </w:rPr>
        <w:t>Heinemann Educational Books (Asia).</w:t>
      </w:r>
      <w:proofErr w:type="gramEnd"/>
    </w:p>
    <w:p w14:paraId="30D1DDF8" w14:textId="77777777" w:rsidR="00C219B1" w:rsidRPr="00B20DD0" w:rsidRDefault="00C219B1" w:rsidP="00B20DD0">
      <w:pPr>
        <w:spacing w:line="360" w:lineRule="auto"/>
        <w:ind w:left="720" w:hanging="720"/>
        <w:rPr>
          <w:rFonts w:ascii="Arial" w:hAnsi="Arial" w:cs="Arial"/>
          <w:szCs w:val="24"/>
        </w:rPr>
      </w:pPr>
      <w:proofErr w:type="gramStart"/>
      <w:r w:rsidRPr="00B20DD0">
        <w:rPr>
          <w:rFonts w:ascii="Arial" w:hAnsi="Arial" w:cs="Arial"/>
          <w:szCs w:val="24"/>
        </w:rPr>
        <w:t>Classification of agents.</w:t>
      </w:r>
      <w:proofErr w:type="gramEnd"/>
      <w:r w:rsidRPr="00B20DD0">
        <w:rPr>
          <w:rFonts w:ascii="Arial" w:hAnsi="Arial" w:cs="Arial"/>
          <w:szCs w:val="24"/>
        </w:rPr>
        <w:t xml:space="preserve"> </w:t>
      </w:r>
      <w:proofErr w:type="gramStart"/>
      <w:r w:rsidRPr="00B20DD0">
        <w:rPr>
          <w:rFonts w:ascii="Arial" w:hAnsi="Arial" w:cs="Arial"/>
          <w:szCs w:val="24"/>
        </w:rPr>
        <w:t>(n.d.).</w:t>
      </w:r>
      <w:proofErr w:type="gramEnd"/>
      <w:r w:rsidRPr="00B20DD0">
        <w:rPr>
          <w:rFonts w:ascii="Arial" w:hAnsi="Arial" w:cs="Arial"/>
          <w:szCs w:val="24"/>
        </w:rPr>
        <w:t> </w:t>
      </w:r>
      <w:proofErr w:type="gramStart"/>
      <w:r w:rsidRPr="00B20DD0">
        <w:rPr>
          <w:rFonts w:ascii="Arial" w:hAnsi="Arial" w:cs="Arial"/>
          <w:i/>
          <w:iCs/>
          <w:szCs w:val="24"/>
        </w:rPr>
        <w:t>SRD Law Notes</w:t>
      </w:r>
      <w:r w:rsidRPr="00B20DD0">
        <w:rPr>
          <w:rFonts w:ascii="Arial" w:hAnsi="Arial" w:cs="Arial"/>
          <w:szCs w:val="24"/>
        </w:rPr>
        <w:t>.</w:t>
      </w:r>
      <w:proofErr w:type="gramEnd"/>
      <w:r w:rsidRPr="00B20DD0">
        <w:rPr>
          <w:rFonts w:ascii="Arial" w:hAnsi="Arial" w:cs="Arial"/>
          <w:szCs w:val="24"/>
        </w:rPr>
        <w:t> </w:t>
      </w:r>
      <w:hyperlink r:id="rId9" w:history="1">
        <w:r w:rsidRPr="00B20DD0">
          <w:rPr>
            <w:rStyle w:val="Hyperlink"/>
            <w:rFonts w:ascii="Arial" w:hAnsi="Arial" w:cs="Arial"/>
            <w:szCs w:val="24"/>
          </w:rPr>
          <w:t>https://www.srdlawnotes.com/2017/08/classification-of-agents.html</w:t>
        </w:r>
      </w:hyperlink>
    </w:p>
    <w:p w14:paraId="7E3D52D9" w14:textId="77777777" w:rsidR="00C219B1" w:rsidRPr="00B20DD0" w:rsidRDefault="00C219B1" w:rsidP="00B20DD0">
      <w:pPr>
        <w:spacing w:line="360" w:lineRule="auto"/>
        <w:ind w:left="720" w:hanging="720"/>
        <w:rPr>
          <w:rFonts w:ascii="Arial" w:hAnsi="Arial" w:cs="Arial"/>
          <w:szCs w:val="24"/>
        </w:rPr>
      </w:pPr>
      <w:r w:rsidRPr="00B20DD0">
        <w:rPr>
          <w:rFonts w:ascii="Arial" w:hAnsi="Arial" w:cs="Arial"/>
          <w:szCs w:val="24"/>
        </w:rPr>
        <w:t xml:space="preserve">Coleman, D. L., &amp; Rosoff, P. M. (2013). </w:t>
      </w:r>
      <w:proofErr w:type="gramStart"/>
      <w:r w:rsidRPr="00B20DD0">
        <w:rPr>
          <w:rFonts w:ascii="Arial" w:hAnsi="Arial" w:cs="Arial"/>
          <w:szCs w:val="24"/>
        </w:rPr>
        <w:t>The legal authority of mature minors to consent to general medical treatment.</w:t>
      </w:r>
      <w:proofErr w:type="gramEnd"/>
      <w:r w:rsidRPr="00B20DD0">
        <w:rPr>
          <w:rFonts w:ascii="Arial" w:hAnsi="Arial" w:cs="Arial"/>
          <w:szCs w:val="24"/>
        </w:rPr>
        <w:t xml:space="preserve"> Pediatrics, 131(4), 786-793.</w:t>
      </w:r>
    </w:p>
    <w:p w14:paraId="11A05448" w14:textId="77777777" w:rsidR="00C219B1" w:rsidRPr="00B20DD0" w:rsidRDefault="00C219B1" w:rsidP="00B20DD0">
      <w:pPr>
        <w:spacing w:line="360" w:lineRule="auto"/>
        <w:ind w:left="720" w:hanging="720"/>
        <w:rPr>
          <w:rFonts w:ascii="Arial" w:hAnsi="Arial" w:cs="Arial"/>
          <w:szCs w:val="24"/>
        </w:rPr>
      </w:pPr>
      <w:r w:rsidRPr="00B20DD0">
        <w:rPr>
          <w:rFonts w:ascii="Arial" w:hAnsi="Arial" w:cs="Arial"/>
          <w:szCs w:val="24"/>
        </w:rPr>
        <w:t>Guide to limited liability partnership registration in Malaysia. (2016, July 2). </w:t>
      </w:r>
      <w:proofErr w:type="gramStart"/>
      <w:r w:rsidRPr="00B20DD0">
        <w:rPr>
          <w:rFonts w:ascii="Arial" w:hAnsi="Arial" w:cs="Arial"/>
          <w:i/>
          <w:iCs/>
          <w:szCs w:val="24"/>
        </w:rPr>
        <w:t>3E Accounting Firm Malaysia</w:t>
      </w:r>
      <w:r w:rsidRPr="00B20DD0">
        <w:rPr>
          <w:rFonts w:ascii="Arial" w:hAnsi="Arial" w:cs="Arial"/>
          <w:szCs w:val="24"/>
        </w:rPr>
        <w:t>.</w:t>
      </w:r>
      <w:proofErr w:type="gramEnd"/>
      <w:r w:rsidRPr="00B20DD0">
        <w:rPr>
          <w:rFonts w:ascii="Arial" w:hAnsi="Arial" w:cs="Arial"/>
          <w:szCs w:val="24"/>
        </w:rPr>
        <w:t> </w:t>
      </w:r>
      <w:hyperlink r:id="rId10" w:history="1">
        <w:r w:rsidRPr="00B20DD0">
          <w:rPr>
            <w:rStyle w:val="Hyperlink"/>
            <w:rFonts w:ascii="Arial" w:hAnsi="Arial" w:cs="Arial"/>
            <w:szCs w:val="24"/>
          </w:rPr>
          <w:t>https://www.3ecpa.com.my/limited-liability-partnership/guide-to-llp-setup/</w:t>
        </w:r>
      </w:hyperlink>
    </w:p>
    <w:p w14:paraId="4ECE14F7" w14:textId="77777777" w:rsidR="00C219B1" w:rsidRPr="00B20DD0" w:rsidRDefault="00C219B1" w:rsidP="00B20DD0">
      <w:pPr>
        <w:spacing w:line="360" w:lineRule="auto"/>
        <w:ind w:left="720" w:hanging="720"/>
        <w:rPr>
          <w:rFonts w:ascii="Arial" w:hAnsi="Arial" w:cs="Arial"/>
          <w:szCs w:val="24"/>
        </w:rPr>
      </w:pPr>
      <w:proofErr w:type="gramStart"/>
      <w:r w:rsidRPr="00B20DD0">
        <w:rPr>
          <w:rFonts w:ascii="Arial" w:hAnsi="Arial" w:cs="Arial"/>
          <w:szCs w:val="24"/>
        </w:rPr>
        <w:t>Limited liability partnership (LLP).</w:t>
      </w:r>
      <w:proofErr w:type="gramEnd"/>
      <w:r w:rsidRPr="00B20DD0">
        <w:rPr>
          <w:rFonts w:ascii="Arial" w:hAnsi="Arial" w:cs="Arial"/>
          <w:szCs w:val="24"/>
        </w:rPr>
        <w:t xml:space="preserve"> (2019, September 20). </w:t>
      </w:r>
      <w:proofErr w:type="gramStart"/>
      <w:r w:rsidRPr="00B20DD0">
        <w:rPr>
          <w:rFonts w:ascii="Arial" w:hAnsi="Arial" w:cs="Arial"/>
          <w:i/>
          <w:iCs/>
          <w:szCs w:val="24"/>
        </w:rPr>
        <w:t>Malaysia Company Registration - Company Secretary</w:t>
      </w:r>
      <w:r w:rsidRPr="00B20DD0">
        <w:rPr>
          <w:rFonts w:ascii="Arial" w:hAnsi="Arial" w:cs="Arial"/>
          <w:szCs w:val="24"/>
        </w:rPr>
        <w:t>.</w:t>
      </w:r>
      <w:proofErr w:type="gramEnd"/>
      <w:r w:rsidRPr="00B20DD0">
        <w:rPr>
          <w:rFonts w:ascii="Arial" w:hAnsi="Arial" w:cs="Arial"/>
          <w:szCs w:val="24"/>
        </w:rPr>
        <w:t> </w:t>
      </w:r>
      <w:hyperlink r:id="rId11" w:history="1">
        <w:r w:rsidRPr="00B20DD0">
          <w:rPr>
            <w:rStyle w:val="Hyperlink"/>
            <w:rFonts w:ascii="Arial" w:hAnsi="Arial" w:cs="Arial"/>
            <w:szCs w:val="24"/>
          </w:rPr>
          <w:t>https://hoosecretarial.com/limited-liability-partnership-llp/</w:t>
        </w:r>
      </w:hyperlink>
    </w:p>
    <w:p w14:paraId="53071428" w14:textId="77777777" w:rsidR="00C219B1" w:rsidRPr="00B20DD0" w:rsidRDefault="00C219B1" w:rsidP="00B20DD0">
      <w:pPr>
        <w:spacing w:line="360" w:lineRule="auto"/>
        <w:ind w:left="720" w:hanging="720"/>
        <w:rPr>
          <w:rFonts w:ascii="Arial" w:hAnsi="Arial" w:cs="Arial"/>
          <w:szCs w:val="24"/>
        </w:rPr>
      </w:pPr>
      <w:proofErr w:type="spellStart"/>
      <w:r w:rsidRPr="00B20DD0">
        <w:rPr>
          <w:rFonts w:ascii="Arial" w:hAnsi="Arial" w:cs="Arial"/>
          <w:szCs w:val="24"/>
        </w:rPr>
        <w:t>Sivils</w:t>
      </w:r>
      <w:proofErr w:type="spellEnd"/>
      <w:r w:rsidRPr="00B20DD0">
        <w:rPr>
          <w:rFonts w:ascii="Arial" w:hAnsi="Arial" w:cs="Arial"/>
          <w:szCs w:val="24"/>
        </w:rPr>
        <w:t xml:space="preserve"> </w:t>
      </w:r>
      <w:proofErr w:type="spellStart"/>
      <w:r w:rsidRPr="00B20DD0">
        <w:rPr>
          <w:rFonts w:ascii="Arial" w:hAnsi="Arial" w:cs="Arial"/>
          <w:szCs w:val="24"/>
        </w:rPr>
        <w:t>Jr</w:t>
      </w:r>
      <w:proofErr w:type="spellEnd"/>
      <w:r w:rsidRPr="00B20DD0">
        <w:rPr>
          <w:rFonts w:ascii="Arial" w:hAnsi="Arial" w:cs="Arial"/>
          <w:szCs w:val="24"/>
        </w:rPr>
        <w:t xml:space="preserve">, J. L. (1962). </w:t>
      </w:r>
      <w:proofErr w:type="gramStart"/>
      <w:r w:rsidRPr="00B20DD0">
        <w:rPr>
          <w:rFonts w:ascii="Arial" w:hAnsi="Arial" w:cs="Arial"/>
          <w:szCs w:val="24"/>
        </w:rPr>
        <w:t>Contracts-Capacity of the Older Minor.</w:t>
      </w:r>
      <w:proofErr w:type="gramEnd"/>
      <w:r w:rsidRPr="00B20DD0">
        <w:rPr>
          <w:rFonts w:ascii="Arial" w:hAnsi="Arial" w:cs="Arial"/>
          <w:szCs w:val="24"/>
        </w:rPr>
        <w:t xml:space="preserve"> U. Kan. City L. Rev., 30, 230.</w:t>
      </w:r>
    </w:p>
    <w:sectPr w:rsidR="00C219B1" w:rsidRPr="00B20DD0" w:rsidSect="00C037F7">
      <w:headerReference w:type="default" r:id="rId12"/>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A88A4F" w14:textId="77777777" w:rsidR="005B6883" w:rsidRDefault="005B6883">
      <w:pPr>
        <w:spacing w:after="0" w:line="240" w:lineRule="auto"/>
      </w:pPr>
      <w:r>
        <w:separator/>
      </w:r>
    </w:p>
  </w:endnote>
  <w:endnote w:type="continuationSeparator" w:id="0">
    <w:p w14:paraId="7A1C6D8D" w14:textId="77777777" w:rsidR="005B6883" w:rsidRDefault="005B68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30A6B6" w14:textId="77777777" w:rsidR="005B6883" w:rsidRDefault="005B6883">
      <w:pPr>
        <w:spacing w:after="0" w:line="240" w:lineRule="auto"/>
      </w:pPr>
      <w:r>
        <w:separator/>
      </w:r>
    </w:p>
  </w:footnote>
  <w:footnote w:type="continuationSeparator" w:id="0">
    <w:p w14:paraId="74F0CCB9" w14:textId="77777777" w:rsidR="005B6883" w:rsidRDefault="005B68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9787946"/>
      <w:docPartObj>
        <w:docPartGallery w:val="Page Numbers (Top of Page)"/>
        <w:docPartUnique/>
      </w:docPartObj>
    </w:sdtPr>
    <w:sdtEndPr>
      <w:rPr>
        <w:noProof/>
      </w:rPr>
    </w:sdtEndPr>
    <w:sdtContent>
      <w:p w14:paraId="002BFBF5" w14:textId="2B09B62F" w:rsidR="00C037F7" w:rsidRDefault="0004515F">
        <w:pPr>
          <w:pStyle w:val="Header"/>
          <w:jc w:val="right"/>
        </w:pPr>
        <w:r>
          <w:t>SHORT ANSWER QUESTIONS</w:t>
        </w:r>
        <w:r>
          <w:tab/>
        </w:r>
        <w:r>
          <w:tab/>
        </w:r>
        <w:r>
          <w:fldChar w:fldCharType="begin"/>
        </w:r>
        <w:r>
          <w:instrText xml:space="preserve"> PAGE   \* MERGEFORMAT </w:instrText>
        </w:r>
        <w:r>
          <w:fldChar w:fldCharType="separate"/>
        </w:r>
        <w:r w:rsidR="00070AC8">
          <w:rPr>
            <w:noProof/>
          </w:rPr>
          <w:t>10</w:t>
        </w:r>
        <w:r>
          <w:rPr>
            <w:noProof/>
          </w:rPr>
          <w:fldChar w:fldCharType="end"/>
        </w:r>
      </w:p>
    </w:sdtContent>
  </w:sdt>
  <w:p w14:paraId="69F71AC0" w14:textId="77777777" w:rsidR="00C037F7" w:rsidRDefault="00C037F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86C5A2" w14:textId="60022E68" w:rsidR="00C037F7" w:rsidRPr="002C2147" w:rsidRDefault="0004515F">
    <w:pPr>
      <w:pStyle w:val="Header"/>
      <w:jc w:val="right"/>
      <w:rPr>
        <w:rFonts w:ascii="Arial" w:hAnsi="Arial" w:cs="Arial"/>
      </w:rPr>
    </w:pPr>
    <w:r w:rsidRPr="002C2147">
      <w:rPr>
        <w:rFonts w:ascii="Arial" w:hAnsi="Arial" w:cs="Arial"/>
      </w:rPr>
      <w:t xml:space="preserve">Running Head: SHORT ESSAY QUESTIONS </w:t>
    </w:r>
    <w:r w:rsidRPr="002C2147">
      <w:rPr>
        <w:rFonts w:ascii="Arial" w:hAnsi="Arial" w:cs="Arial"/>
      </w:rPr>
      <w:tab/>
    </w:r>
    <w:sdt>
      <w:sdtPr>
        <w:rPr>
          <w:rFonts w:ascii="Arial" w:hAnsi="Arial" w:cs="Arial"/>
        </w:rPr>
        <w:id w:val="566919932"/>
        <w:docPartObj>
          <w:docPartGallery w:val="Page Numbers (Top of Page)"/>
          <w:docPartUnique/>
        </w:docPartObj>
      </w:sdtPr>
      <w:sdtEndPr>
        <w:rPr>
          <w:noProof/>
        </w:rPr>
      </w:sdtEndPr>
      <w:sdtContent>
        <w:r w:rsidRPr="002C2147">
          <w:rPr>
            <w:rFonts w:ascii="Arial" w:hAnsi="Arial" w:cs="Arial"/>
          </w:rPr>
          <w:fldChar w:fldCharType="begin"/>
        </w:r>
        <w:r w:rsidRPr="002C2147">
          <w:rPr>
            <w:rFonts w:ascii="Arial" w:hAnsi="Arial" w:cs="Arial"/>
          </w:rPr>
          <w:instrText xml:space="preserve"> PAGE   \* MERGEFORMAT </w:instrText>
        </w:r>
        <w:r w:rsidRPr="002C2147">
          <w:rPr>
            <w:rFonts w:ascii="Arial" w:hAnsi="Arial" w:cs="Arial"/>
          </w:rPr>
          <w:fldChar w:fldCharType="separate"/>
        </w:r>
        <w:r w:rsidR="00070AC8">
          <w:rPr>
            <w:rFonts w:ascii="Arial" w:hAnsi="Arial" w:cs="Arial"/>
            <w:noProof/>
          </w:rPr>
          <w:t>1</w:t>
        </w:r>
        <w:r w:rsidRPr="002C2147">
          <w:rPr>
            <w:rFonts w:ascii="Arial" w:hAnsi="Arial" w:cs="Arial"/>
            <w:noProof/>
          </w:rPr>
          <w:fldChar w:fldCharType="end"/>
        </w:r>
      </w:sdtContent>
    </w:sdt>
  </w:p>
  <w:p w14:paraId="2033A3FB" w14:textId="77777777" w:rsidR="00C037F7" w:rsidRPr="002C2147" w:rsidRDefault="00C037F7">
    <w:pPr>
      <w:pStyle w:val="Header"/>
      <w:rPr>
        <w:rFonts w:ascii="Arial" w:hAnsi="Arial" w:cs="Aria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245A55"/>
    <w:multiLevelType w:val="hybridMultilevel"/>
    <w:tmpl w:val="7952DD34"/>
    <w:lvl w:ilvl="0" w:tplc="5D8645A6">
      <w:start w:val="1"/>
      <w:numFmt w:val="decimal"/>
      <w:lvlText w:val="(%1)"/>
      <w:lvlJc w:val="left"/>
      <w:pPr>
        <w:ind w:left="15750" w:hanging="360"/>
      </w:pPr>
      <w:rPr>
        <w:rFonts w:hint="default"/>
        <w:b/>
        <w:i/>
      </w:rPr>
    </w:lvl>
    <w:lvl w:ilvl="1" w:tplc="5204D6A0" w:tentative="1">
      <w:start w:val="1"/>
      <w:numFmt w:val="lowerLetter"/>
      <w:lvlText w:val="%2."/>
      <w:lvlJc w:val="left"/>
      <w:pPr>
        <w:ind w:left="16470" w:hanging="360"/>
      </w:pPr>
    </w:lvl>
    <w:lvl w:ilvl="2" w:tplc="4C0E04D4" w:tentative="1">
      <w:start w:val="1"/>
      <w:numFmt w:val="lowerRoman"/>
      <w:lvlText w:val="%3."/>
      <w:lvlJc w:val="right"/>
      <w:pPr>
        <w:ind w:left="17190" w:hanging="180"/>
      </w:pPr>
    </w:lvl>
    <w:lvl w:ilvl="3" w:tplc="A09C1930" w:tentative="1">
      <w:start w:val="1"/>
      <w:numFmt w:val="decimal"/>
      <w:lvlText w:val="%4."/>
      <w:lvlJc w:val="left"/>
      <w:pPr>
        <w:ind w:left="17910" w:hanging="360"/>
      </w:pPr>
    </w:lvl>
    <w:lvl w:ilvl="4" w:tplc="96E6781E" w:tentative="1">
      <w:start w:val="1"/>
      <w:numFmt w:val="lowerLetter"/>
      <w:lvlText w:val="%5."/>
      <w:lvlJc w:val="left"/>
      <w:pPr>
        <w:ind w:left="18630" w:hanging="360"/>
      </w:pPr>
    </w:lvl>
    <w:lvl w:ilvl="5" w:tplc="90DCC2B0" w:tentative="1">
      <w:start w:val="1"/>
      <w:numFmt w:val="lowerRoman"/>
      <w:lvlText w:val="%6."/>
      <w:lvlJc w:val="right"/>
      <w:pPr>
        <w:ind w:left="19350" w:hanging="180"/>
      </w:pPr>
    </w:lvl>
    <w:lvl w:ilvl="6" w:tplc="7584ECEC" w:tentative="1">
      <w:start w:val="1"/>
      <w:numFmt w:val="decimal"/>
      <w:lvlText w:val="%7."/>
      <w:lvlJc w:val="left"/>
      <w:pPr>
        <w:ind w:left="20070" w:hanging="360"/>
      </w:pPr>
    </w:lvl>
    <w:lvl w:ilvl="7" w:tplc="AAFAE32C" w:tentative="1">
      <w:start w:val="1"/>
      <w:numFmt w:val="lowerLetter"/>
      <w:lvlText w:val="%8."/>
      <w:lvlJc w:val="left"/>
      <w:pPr>
        <w:ind w:left="20790" w:hanging="360"/>
      </w:pPr>
    </w:lvl>
    <w:lvl w:ilvl="8" w:tplc="A7CA6652" w:tentative="1">
      <w:start w:val="1"/>
      <w:numFmt w:val="lowerRoman"/>
      <w:lvlText w:val="%9."/>
      <w:lvlJc w:val="right"/>
      <w:pPr>
        <w:ind w:left="21510" w:hanging="180"/>
      </w:pPr>
    </w:lvl>
  </w:abstractNum>
  <w:abstractNum w:abstractNumId="1">
    <w:nsid w:val="3BBF4B35"/>
    <w:multiLevelType w:val="multilevel"/>
    <w:tmpl w:val="F9280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BF85195"/>
    <w:multiLevelType w:val="multilevel"/>
    <w:tmpl w:val="EFC29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0D73F30"/>
    <w:multiLevelType w:val="hybridMultilevel"/>
    <w:tmpl w:val="8F4491FC"/>
    <w:lvl w:ilvl="0" w:tplc="0B88BB6A">
      <w:start w:val="1"/>
      <w:numFmt w:val="bullet"/>
      <w:lvlText w:val="•"/>
      <w:lvlJc w:val="left"/>
      <w:pPr>
        <w:tabs>
          <w:tab w:val="num" w:pos="720"/>
        </w:tabs>
        <w:ind w:left="720" w:hanging="360"/>
      </w:pPr>
      <w:rPr>
        <w:rFonts w:ascii="Arial" w:hAnsi="Arial" w:cs="Times New Roman" w:hint="default"/>
      </w:rPr>
    </w:lvl>
    <w:lvl w:ilvl="1" w:tplc="89C60D48">
      <w:numFmt w:val="bullet"/>
      <w:lvlText w:val="•"/>
      <w:lvlJc w:val="left"/>
      <w:pPr>
        <w:tabs>
          <w:tab w:val="num" w:pos="1440"/>
        </w:tabs>
        <w:ind w:left="1440" w:hanging="360"/>
      </w:pPr>
      <w:rPr>
        <w:rFonts w:ascii="Arial" w:hAnsi="Arial" w:cs="Times New Roman" w:hint="default"/>
      </w:rPr>
    </w:lvl>
    <w:lvl w:ilvl="2" w:tplc="D662FA74">
      <w:start w:val="1"/>
      <w:numFmt w:val="bullet"/>
      <w:lvlText w:val="•"/>
      <w:lvlJc w:val="left"/>
      <w:pPr>
        <w:tabs>
          <w:tab w:val="num" w:pos="2160"/>
        </w:tabs>
        <w:ind w:left="2160" w:hanging="360"/>
      </w:pPr>
      <w:rPr>
        <w:rFonts w:ascii="Arial" w:hAnsi="Arial" w:cs="Times New Roman" w:hint="default"/>
      </w:rPr>
    </w:lvl>
    <w:lvl w:ilvl="3" w:tplc="F2765CA4">
      <w:start w:val="1"/>
      <w:numFmt w:val="bullet"/>
      <w:lvlText w:val="•"/>
      <w:lvlJc w:val="left"/>
      <w:pPr>
        <w:tabs>
          <w:tab w:val="num" w:pos="2880"/>
        </w:tabs>
        <w:ind w:left="2880" w:hanging="360"/>
      </w:pPr>
      <w:rPr>
        <w:rFonts w:ascii="Arial" w:hAnsi="Arial" w:cs="Times New Roman" w:hint="default"/>
      </w:rPr>
    </w:lvl>
    <w:lvl w:ilvl="4" w:tplc="936883DC">
      <w:start w:val="1"/>
      <w:numFmt w:val="bullet"/>
      <w:lvlText w:val="•"/>
      <w:lvlJc w:val="left"/>
      <w:pPr>
        <w:tabs>
          <w:tab w:val="num" w:pos="3600"/>
        </w:tabs>
        <w:ind w:left="3600" w:hanging="360"/>
      </w:pPr>
      <w:rPr>
        <w:rFonts w:ascii="Arial" w:hAnsi="Arial" w:cs="Times New Roman" w:hint="default"/>
      </w:rPr>
    </w:lvl>
    <w:lvl w:ilvl="5" w:tplc="26DE633E">
      <w:start w:val="1"/>
      <w:numFmt w:val="bullet"/>
      <w:lvlText w:val="•"/>
      <w:lvlJc w:val="left"/>
      <w:pPr>
        <w:tabs>
          <w:tab w:val="num" w:pos="4320"/>
        </w:tabs>
        <w:ind w:left="4320" w:hanging="360"/>
      </w:pPr>
      <w:rPr>
        <w:rFonts w:ascii="Arial" w:hAnsi="Arial" w:cs="Times New Roman" w:hint="default"/>
      </w:rPr>
    </w:lvl>
    <w:lvl w:ilvl="6" w:tplc="A99A0FF8">
      <w:start w:val="1"/>
      <w:numFmt w:val="bullet"/>
      <w:lvlText w:val="•"/>
      <w:lvlJc w:val="left"/>
      <w:pPr>
        <w:tabs>
          <w:tab w:val="num" w:pos="5040"/>
        </w:tabs>
        <w:ind w:left="5040" w:hanging="360"/>
      </w:pPr>
      <w:rPr>
        <w:rFonts w:ascii="Arial" w:hAnsi="Arial" w:cs="Times New Roman" w:hint="default"/>
      </w:rPr>
    </w:lvl>
    <w:lvl w:ilvl="7" w:tplc="1F2E8A5A">
      <w:start w:val="1"/>
      <w:numFmt w:val="bullet"/>
      <w:lvlText w:val="•"/>
      <w:lvlJc w:val="left"/>
      <w:pPr>
        <w:tabs>
          <w:tab w:val="num" w:pos="5760"/>
        </w:tabs>
        <w:ind w:left="5760" w:hanging="360"/>
      </w:pPr>
      <w:rPr>
        <w:rFonts w:ascii="Arial" w:hAnsi="Arial" w:cs="Times New Roman" w:hint="default"/>
      </w:rPr>
    </w:lvl>
    <w:lvl w:ilvl="8" w:tplc="27AEBF08">
      <w:start w:val="1"/>
      <w:numFmt w:val="bullet"/>
      <w:lvlText w:val="•"/>
      <w:lvlJc w:val="left"/>
      <w:pPr>
        <w:tabs>
          <w:tab w:val="num" w:pos="6480"/>
        </w:tabs>
        <w:ind w:left="6480" w:hanging="360"/>
      </w:pPr>
      <w:rPr>
        <w:rFonts w:ascii="Arial" w:hAnsi="Arial" w:cs="Times New Roman" w:hint="default"/>
      </w:rPr>
    </w:lvl>
  </w:abstractNum>
  <w:abstractNum w:abstractNumId="4">
    <w:nsid w:val="6F293597"/>
    <w:multiLevelType w:val="multilevel"/>
    <w:tmpl w:val="20B04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E265C42"/>
    <w:multiLevelType w:val="hybridMultilevel"/>
    <w:tmpl w:val="4BE061BC"/>
    <w:lvl w:ilvl="0" w:tplc="6AB297BC">
      <w:start w:val="1"/>
      <w:numFmt w:val="bullet"/>
      <w:lvlText w:val=""/>
      <w:lvlJc w:val="left"/>
      <w:pPr>
        <w:ind w:left="720" w:hanging="360"/>
      </w:pPr>
      <w:rPr>
        <w:rFonts w:ascii="Symbol" w:hAnsi="Symbol" w:hint="default"/>
      </w:rPr>
    </w:lvl>
    <w:lvl w:ilvl="1" w:tplc="7BCCD28C" w:tentative="1">
      <w:start w:val="1"/>
      <w:numFmt w:val="bullet"/>
      <w:lvlText w:val="o"/>
      <w:lvlJc w:val="left"/>
      <w:pPr>
        <w:ind w:left="1440" w:hanging="360"/>
      </w:pPr>
      <w:rPr>
        <w:rFonts w:ascii="Courier New" w:hAnsi="Courier New" w:cs="Courier New" w:hint="default"/>
      </w:rPr>
    </w:lvl>
    <w:lvl w:ilvl="2" w:tplc="F09AEB98" w:tentative="1">
      <w:start w:val="1"/>
      <w:numFmt w:val="bullet"/>
      <w:lvlText w:val=""/>
      <w:lvlJc w:val="left"/>
      <w:pPr>
        <w:ind w:left="2160" w:hanging="360"/>
      </w:pPr>
      <w:rPr>
        <w:rFonts w:ascii="Wingdings" w:hAnsi="Wingdings" w:hint="default"/>
      </w:rPr>
    </w:lvl>
    <w:lvl w:ilvl="3" w:tplc="BDD2D828" w:tentative="1">
      <w:start w:val="1"/>
      <w:numFmt w:val="bullet"/>
      <w:lvlText w:val=""/>
      <w:lvlJc w:val="left"/>
      <w:pPr>
        <w:ind w:left="2880" w:hanging="360"/>
      </w:pPr>
      <w:rPr>
        <w:rFonts w:ascii="Symbol" w:hAnsi="Symbol" w:hint="default"/>
      </w:rPr>
    </w:lvl>
    <w:lvl w:ilvl="4" w:tplc="0FF821B4" w:tentative="1">
      <w:start w:val="1"/>
      <w:numFmt w:val="bullet"/>
      <w:lvlText w:val="o"/>
      <w:lvlJc w:val="left"/>
      <w:pPr>
        <w:ind w:left="3600" w:hanging="360"/>
      </w:pPr>
      <w:rPr>
        <w:rFonts w:ascii="Courier New" w:hAnsi="Courier New" w:cs="Courier New" w:hint="default"/>
      </w:rPr>
    </w:lvl>
    <w:lvl w:ilvl="5" w:tplc="74C0432C" w:tentative="1">
      <w:start w:val="1"/>
      <w:numFmt w:val="bullet"/>
      <w:lvlText w:val=""/>
      <w:lvlJc w:val="left"/>
      <w:pPr>
        <w:ind w:left="4320" w:hanging="360"/>
      </w:pPr>
      <w:rPr>
        <w:rFonts w:ascii="Wingdings" w:hAnsi="Wingdings" w:hint="default"/>
      </w:rPr>
    </w:lvl>
    <w:lvl w:ilvl="6" w:tplc="5BC05088" w:tentative="1">
      <w:start w:val="1"/>
      <w:numFmt w:val="bullet"/>
      <w:lvlText w:val=""/>
      <w:lvlJc w:val="left"/>
      <w:pPr>
        <w:ind w:left="5040" w:hanging="360"/>
      </w:pPr>
      <w:rPr>
        <w:rFonts w:ascii="Symbol" w:hAnsi="Symbol" w:hint="default"/>
      </w:rPr>
    </w:lvl>
    <w:lvl w:ilvl="7" w:tplc="D7ECF1B0" w:tentative="1">
      <w:start w:val="1"/>
      <w:numFmt w:val="bullet"/>
      <w:lvlText w:val="o"/>
      <w:lvlJc w:val="left"/>
      <w:pPr>
        <w:ind w:left="5760" w:hanging="360"/>
      </w:pPr>
      <w:rPr>
        <w:rFonts w:ascii="Courier New" w:hAnsi="Courier New" w:cs="Courier New" w:hint="default"/>
      </w:rPr>
    </w:lvl>
    <w:lvl w:ilvl="8" w:tplc="823CD7BC"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6DB"/>
    <w:rsid w:val="0004515F"/>
    <w:rsid w:val="00070AC8"/>
    <w:rsid w:val="000C667F"/>
    <w:rsid w:val="001C6CC9"/>
    <w:rsid w:val="001C6DC4"/>
    <w:rsid w:val="001D29CA"/>
    <w:rsid w:val="001F06B5"/>
    <w:rsid w:val="00244307"/>
    <w:rsid w:val="00273E3A"/>
    <w:rsid w:val="002C2147"/>
    <w:rsid w:val="002C2D21"/>
    <w:rsid w:val="002D02C3"/>
    <w:rsid w:val="0035450B"/>
    <w:rsid w:val="00371115"/>
    <w:rsid w:val="003A0B83"/>
    <w:rsid w:val="003A206E"/>
    <w:rsid w:val="00416613"/>
    <w:rsid w:val="00437390"/>
    <w:rsid w:val="004675D3"/>
    <w:rsid w:val="0047474E"/>
    <w:rsid w:val="004C49DA"/>
    <w:rsid w:val="005A5FB3"/>
    <w:rsid w:val="005B6883"/>
    <w:rsid w:val="005E7685"/>
    <w:rsid w:val="005F0F06"/>
    <w:rsid w:val="005F10B1"/>
    <w:rsid w:val="005F172B"/>
    <w:rsid w:val="005F6C0E"/>
    <w:rsid w:val="00600309"/>
    <w:rsid w:val="0061296B"/>
    <w:rsid w:val="006136DB"/>
    <w:rsid w:val="006367C9"/>
    <w:rsid w:val="006778D5"/>
    <w:rsid w:val="006D2865"/>
    <w:rsid w:val="006D4F8B"/>
    <w:rsid w:val="00703D0C"/>
    <w:rsid w:val="00723E37"/>
    <w:rsid w:val="00742021"/>
    <w:rsid w:val="007547D5"/>
    <w:rsid w:val="007C4CE4"/>
    <w:rsid w:val="00810601"/>
    <w:rsid w:val="00830B6A"/>
    <w:rsid w:val="0089604D"/>
    <w:rsid w:val="008C210F"/>
    <w:rsid w:val="008C2A40"/>
    <w:rsid w:val="008D4F9D"/>
    <w:rsid w:val="008D5C93"/>
    <w:rsid w:val="008E24EF"/>
    <w:rsid w:val="008E3DA1"/>
    <w:rsid w:val="008F195B"/>
    <w:rsid w:val="00951556"/>
    <w:rsid w:val="00973696"/>
    <w:rsid w:val="009B0ACF"/>
    <w:rsid w:val="009B2FE8"/>
    <w:rsid w:val="00A67CFE"/>
    <w:rsid w:val="00AE4773"/>
    <w:rsid w:val="00B10C02"/>
    <w:rsid w:val="00B20DD0"/>
    <w:rsid w:val="00B93804"/>
    <w:rsid w:val="00BA3A3C"/>
    <w:rsid w:val="00BB6D3E"/>
    <w:rsid w:val="00BD1779"/>
    <w:rsid w:val="00C037F7"/>
    <w:rsid w:val="00C219B1"/>
    <w:rsid w:val="00D16C14"/>
    <w:rsid w:val="00D55349"/>
    <w:rsid w:val="00D57346"/>
    <w:rsid w:val="00D87D90"/>
    <w:rsid w:val="00DA7EC6"/>
    <w:rsid w:val="00DC3D30"/>
    <w:rsid w:val="00DE4B93"/>
    <w:rsid w:val="00E858C8"/>
    <w:rsid w:val="00EC045D"/>
    <w:rsid w:val="00EC7459"/>
    <w:rsid w:val="00F61253"/>
    <w:rsid w:val="00FB2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B0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C037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37F7"/>
  </w:style>
  <w:style w:type="paragraph" w:styleId="Footer">
    <w:name w:val="footer"/>
    <w:basedOn w:val="Normal"/>
    <w:link w:val="FooterChar"/>
    <w:uiPriority w:val="99"/>
    <w:unhideWhenUsed/>
    <w:rsid w:val="00C037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37F7"/>
  </w:style>
  <w:style w:type="paragraph" w:styleId="NormalWeb">
    <w:name w:val="Normal (Web)"/>
    <w:basedOn w:val="Normal"/>
    <w:uiPriority w:val="99"/>
    <w:semiHidden/>
    <w:unhideWhenUsed/>
    <w:rsid w:val="006D2865"/>
    <w:rPr>
      <w:rFonts w:cs="Times New Roman"/>
      <w:szCs w:val="24"/>
    </w:rPr>
  </w:style>
  <w:style w:type="paragraph" w:styleId="ListParagraph">
    <w:name w:val="List Paragraph"/>
    <w:basedOn w:val="Normal"/>
    <w:uiPriority w:val="34"/>
    <w:qFormat/>
    <w:rsid w:val="00D57346"/>
    <w:pPr>
      <w:ind w:left="720"/>
      <w:contextualSpacing/>
    </w:pPr>
  </w:style>
  <w:style w:type="paragraph" w:customStyle="1" w:styleId="Default">
    <w:name w:val="Default"/>
    <w:rsid w:val="000C667F"/>
    <w:pPr>
      <w:autoSpaceDE w:val="0"/>
      <w:autoSpaceDN w:val="0"/>
      <w:adjustRightInd w:val="0"/>
      <w:spacing w:after="0" w:line="240" w:lineRule="auto"/>
    </w:pPr>
    <w:rPr>
      <w:rFonts w:ascii="Arial" w:hAnsi="Arial" w:cs="Arial"/>
      <w:color w:val="000000"/>
      <w:szCs w:val="24"/>
      <w:lang w:val="en-SG"/>
    </w:rPr>
  </w:style>
  <w:style w:type="character" w:styleId="Hyperlink">
    <w:name w:val="Hyperlink"/>
    <w:basedOn w:val="DefaultParagraphFont"/>
    <w:uiPriority w:val="99"/>
    <w:unhideWhenUsed/>
    <w:rsid w:val="008E24EF"/>
    <w:rPr>
      <w:color w:val="0563C1" w:themeColor="hyperlink"/>
      <w:u w:val="single"/>
    </w:rPr>
  </w:style>
  <w:style w:type="character" w:customStyle="1" w:styleId="UnresolvedMention">
    <w:name w:val="Unresolved Mention"/>
    <w:basedOn w:val="DefaultParagraphFont"/>
    <w:uiPriority w:val="99"/>
    <w:rsid w:val="008E24E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C037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37F7"/>
  </w:style>
  <w:style w:type="paragraph" w:styleId="Footer">
    <w:name w:val="footer"/>
    <w:basedOn w:val="Normal"/>
    <w:link w:val="FooterChar"/>
    <w:uiPriority w:val="99"/>
    <w:unhideWhenUsed/>
    <w:rsid w:val="00C037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37F7"/>
  </w:style>
  <w:style w:type="paragraph" w:styleId="NormalWeb">
    <w:name w:val="Normal (Web)"/>
    <w:basedOn w:val="Normal"/>
    <w:uiPriority w:val="99"/>
    <w:semiHidden/>
    <w:unhideWhenUsed/>
    <w:rsid w:val="006D2865"/>
    <w:rPr>
      <w:rFonts w:cs="Times New Roman"/>
      <w:szCs w:val="24"/>
    </w:rPr>
  </w:style>
  <w:style w:type="paragraph" w:styleId="ListParagraph">
    <w:name w:val="List Paragraph"/>
    <w:basedOn w:val="Normal"/>
    <w:uiPriority w:val="34"/>
    <w:qFormat/>
    <w:rsid w:val="00D57346"/>
    <w:pPr>
      <w:ind w:left="720"/>
      <w:contextualSpacing/>
    </w:pPr>
  </w:style>
  <w:style w:type="paragraph" w:customStyle="1" w:styleId="Default">
    <w:name w:val="Default"/>
    <w:rsid w:val="000C667F"/>
    <w:pPr>
      <w:autoSpaceDE w:val="0"/>
      <w:autoSpaceDN w:val="0"/>
      <w:adjustRightInd w:val="0"/>
      <w:spacing w:after="0" w:line="240" w:lineRule="auto"/>
    </w:pPr>
    <w:rPr>
      <w:rFonts w:ascii="Arial" w:hAnsi="Arial" w:cs="Arial"/>
      <w:color w:val="000000"/>
      <w:szCs w:val="24"/>
      <w:lang w:val="en-SG"/>
    </w:rPr>
  </w:style>
  <w:style w:type="character" w:styleId="Hyperlink">
    <w:name w:val="Hyperlink"/>
    <w:basedOn w:val="DefaultParagraphFont"/>
    <w:uiPriority w:val="99"/>
    <w:unhideWhenUsed/>
    <w:rsid w:val="008E24EF"/>
    <w:rPr>
      <w:color w:val="0563C1" w:themeColor="hyperlink"/>
      <w:u w:val="single"/>
    </w:rPr>
  </w:style>
  <w:style w:type="character" w:customStyle="1" w:styleId="UnresolvedMention">
    <w:name w:val="Unresolved Mention"/>
    <w:basedOn w:val="DefaultParagraphFont"/>
    <w:uiPriority w:val="99"/>
    <w:rsid w:val="008E24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811796">
      <w:bodyDiv w:val="1"/>
      <w:marLeft w:val="0"/>
      <w:marRight w:val="0"/>
      <w:marTop w:val="0"/>
      <w:marBottom w:val="0"/>
      <w:divBdr>
        <w:top w:val="none" w:sz="0" w:space="0" w:color="auto"/>
        <w:left w:val="none" w:sz="0" w:space="0" w:color="auto"/>
        <w:bottom w:val="none" w:sz="0" w:space="0" w:color="auto"/>
        <w:right w:val="none" w:sz="0" w:space="0" w:color="auto"/>
      </w:divBdr>
    </w:div>
    <w:div w:id="1831406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osecretarial.com/limited-liability-partnership-llp/"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3ecpa.com.my/limited-liability-partnership/guide-to-llp-setup/" TargetMode="External"/><Relationship Id="rId4" Type="http://schemas.microsoft.com/office/2007/relationships/stylesWithEffects" Target="stylesWithEffects.xml"/><Relationship Id="rId9" Type="http://schemas.openxmlformats.org/officeDocument/2006/relationships/hyperlink" Target="https://www.srdlawnotes.com/2017/08/classification-of-agents.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73C39-A9EB-4130-A179-CF295BD8B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2579</Words>
  <Characters>14705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clinton otieno</cp:lastModifiedBy>
  <cp:revision>12</cp:revision>
  <dcterms:created xsi:type="dcterms:W3CDTF">2021-06-23T14:49:00Z</dcterms:created>
  <dcterms:modified xsi:type="dcterms:W3CDTF">2021-06-24T05:49:00Z</dcterms:modified>
</cp:coreProperties>
</file>