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F8" w:rsidRDefault="00E271F8" w:rsidP="00F65985">
      <w:pPr>
        <w:jc w:val="center"/>
        <w:rPr>
          <w:b/>
        </w:rPr>
      </w:pPr>
    </w:p>
    <w:p w:rsidR="00E271F8" w:rsidRDefault="00E271F8" w:rsidP="00F65985">
      <w:pPr>
        <w:jc w:val="center"/>
        <w:rPr>
          <w:b/>
        </w:rPr>
      </w:pPr>
    </w:p>
    <w:p w:rsidR="00E271F8" w:rsidRDefault="00E271F8" w:rsidP="00F65985">
      <w:pPr>
        <w:jc w:val="center"/>
        <w:rPr>
          <w:b/>
        </w:rPr>
      </w:pPr>
    </w:p>
    <w:p w:rsidR="00E271F8" w:rsidRDefault="00E271F8" w:rsidP="00F65985">
      <w:pPr>
        <w:jc w:val="center"/>
        <w:rPr>
          <w:b/>
        </w:rPr>
      </w:pPr>
    </w:p>
    <w:p w:rsidR="00E271F8" w:rsidRDefault="00E271F8" w:rsidP="00F65985">
      <w:pPr>
        <w:jc w:val="center"/>
        <w:rPr>
          <w:b/>
        </w:rPr>
      </w:pPr>
    </w:p>
    <w:p w:rsidR="00E271F8" w:rsidRDefault="00E271F8" w:rsidP="00F65985">
      <w:pPr>
        <w:jc w:val="center"/>
      </w:pPr>
      <w:r w:rsidRPr="00E271F8">
        <w:t>Will, Trust and Estate</w:t>
      </w:r>
      <w:r>
        <w:t xml:space="preserve"> in </w:t>
      </w:r>
      <w:r w:rsidRPr="00E271F8">
        <w:t>California</w:t>
      </w:r>
    </w:p>
    <w:p w:rsidR="00E271F8" w:rsidRDefault="00E271F8" w:rsidP="00F65985">
      <w:pPr>
        <w:jc w:val="center"/>
      </w:pPr>
      <w:r>
        <w:t>Student</w:t>
      </w:r>
    </w:p>
    <w:p w:rsidR="00E271F8" w:rsidRDefault="00E271F8" w:rsidP="00F65985">
      <w:pPr>
        <w:jc w:val="center"/>
      </w:pPr>
      <w:r>
        <w:t>Institution</w:t>
      </w:r>
    </w:p>
    <w:p w:rsidR="00E271F8" w:rsidRDefault="00E271F8" w:rsidP="00F65985">
      <w:pPr>
        <w:jc w:val="center"/>
      </w:pPr>
      <w:r>
        <w:t>Class</w:t>
      </w:r>
    </w:p>
    <w:p w:rsidR="00E271F8" w:rsidRDefault="00E271F8" w:rsidP="00F65985">
      <w:pPr>
        <w:jc w:val="center"/>
      </w:pPr>
      <w:r>
        <w:t>Professor</w:t>
      </w:r>
    </w:p>
    <w:p w:rsidR="00E271F8" w:rsidRPr="00E271F8" w:rsidRDefault="00E271F8" w:rsidP="00F65985">
      <w:pPr>
        <w:jc w:val="center"/>
      </w:pPr>
      <w:r>
        <w:t>Date</w:t>
      </w:r>
    </w:p>
    <w:p w:rsidR="00E271F8" w:rsidRDefault="00E271F8">
      <w:pPr>
        <w:rPr>
          <w:b/>
        </w:rPr>
      </w:pPr>
      <w:r>
        <w:rPr>
          <w:b/>
        </w:rPr>
        <w:br w:type="page"/>
      </w:r>
    </w:p>
    <w:p w:rsidR="00B96D53" w:rsidRPr="00B96D53" w:rsidRDefault="00B96D53" w:rsidP="00B96D53">
      <w:pPr>
        <w:jc w:val="center"/>
      </w:pPr>
      <w:r w:rsidRPr="00B96D53">
        <w:lastRenderedPageBreak/>
        <w:t>Will, Trust and Estate in California</w:t>
      </w:r>
    </w:p>
    <w:p w:rsidR="00EF6406" w:rsidRDefault="009D4054" w:rsidP="00F65985">
      <w:pPr>
        <w:jc w:val="center"/>
        <w:rPr>
          <w:b/>
        </w:rPr>
      </w:pPr>
      <w:r>
        <w:rPr>
          <w:b/>
        </w:rPr>
        <w:t>Question 1</w:t>
      </w:r>
    </w:p>
    <w:p w:rsidR="00734CDC" w:rsidRPr="00734CDC" w:rsidRDefault="00734CDC" w:rsidP="00734CDC">
      <w:pPr>
        <w:ind w:firstLine="720"/>
      </w:pPr>
      <w:r w:rsidRPr="00734CDC">
        <w:t>A handwritten page, also known as holographic wills, is valid as a testamentary instrument in California and other states in the United States. According to California laws on will writing, the holographic does not necessarily need witnesses, provided that the will is written using the testator’s personal handwriting. The California laws also consider the handwritten page valid as a testamentary instrument only if the testator intended the document to be a will. Another key requirement is that the document must be signed with the testator’s signature, and the testator must write and sign the handwritten page under full consciousness. In this case, Brittany’s handwritten page is valid as a testamentary instrument because it meets all the requirements of the California law about holographic wills. California considers holographic wills valid even without witnesses provided that it is signed in the testator’s own signature and handwriting. Yvonne’s testimony to be in conversation with Brittany on July 17 is relevant, admissible, and an added advantage since Yvonne serves as a witness.</w:t>
      </w:r>
    </w:p>
    <w:p w:rsidR="00734CDC" w:rsidRPr="00734CDC" w:rsidRDefault="00734CDC" w:rsidP="00C348FF">
      <w:pPr>
        <w:jc w:val="center"/>
      </w:pPr>
      <w:r w:rsidRPr="00734CDC">
        <w:rPr>
          <w:b/>
          <w:bCs/>
        </w:rPr>
        <w:t>Question 2</w:t>
      </w:r>
    </w:p>
    <w:p w:rsidR="00734CDC" w:rsidRPr="00734CDC" w:rsidRDefault="00734CDC" w:rsidP="00734CDC">
      <w:pPr>
        <w:ind w:firstLine="720"/>
      </w:pPr>
      <w:r w:rsidRPr="00734CDC">
        <w:t>The handwritten page does not mention the $10 000 gifts but only talks about the changes in the distribution of the house and the estate. This implies that there would be no cash gifts for the grandchildren. However, if the court examines the two wills closely and rules that the second will only revoke the mentioned parts of the original will, the grandchildren would still get the $10 000 gifts. The changes would only be made on the house inheritance and distribution ratio of the assets and the $10 000 gifts would still count as part of the second will.</w:t>
      </w:r>
    </w:p>
    <w:p w:rsidR="00734CDC" w:rsidRPr="00734CDC" w:rsidRDefault="00734CDC" w:rsidP="003B5F50">
      <w:pPr>
        <w:keepNext/>
        <w:jc w:val="center"/>
      </w:pPr>
      <w:r w:rsidRPr="00734CDC">
        <w:rPr>
          <w:b/>
          <w:bCs/>
        </w:rPr>
        <w:lastRenderedPageBreak/>
        <w:t>Question 3</w:t>
      </w:r>
    </w:p>
    <w:p w:rsidR="00734CDC" w:rsidRPr="00734CDC" w:rsidRDefault="00734CDC" w:rsidP="003B5F50">
      <w:pPr>
        <w:keepNext/>
        <w:ind w:firstLine="720"/>
      </w:pPr>
      <w:r w:rsidRPr="00734CDC">
        <w:t>Charles and Suzanne’s arguments can succeed provided that the court finds adequate evidence and reason to rule out the handwritten page. The court can consider the second will void if it finds that the testator made it under influence or incapacity. Charles and Suzanne’s arguments are likely to succeed since Brittany must have changed her mind suddenly due to influence and incapacity. Based on the aspect of influence, Brittany changed her mind following the influence placed on her by Anthony. Anthony kept on pressurizing Brittany to give him more shares than the rest since he had a bigger family and was in need of money more than Charles, Suzanne, and Walter. This violates the requirement of the California law that forbids influence in will writing. Based on the incapacity aspect, Brittany was diagnosed with a terminal heart problem, and since then, suffered from severe depression that possibly influenced her level of consciousness. California Probate Code considers a holographic will void if the testator lacked testamentary capacity when executing the will. Brittany must have suddenly changed her mind because she lacked the capacity to make a decision following her depressed condition.</w:t>
      </w:r>
    </w:p>
    <w:p w:rsidR="00734CDC" w:rsidRPr="00734CDC" w:rsidRDefault="00734CDC" w:rsidP="00734CDC">
      <w:pPr>
        <w:jc w:val="center"/>
      </w:pPr>
      <w:r w:rsidRPr="00734CDC">
        <w:rPr>
          <w:b/>
          <w:bCs/>
        </w:rPr>
        <w:t>Question 4</w:t>
      </w:r>
    </w:p>
    <w:p w:rsidR="00734CDC" w:rsidRPr="00734CDC" w:rsidRDefault="00734CDC" w:rsidP="00734CDC">
      <w:pPr>
        <w:ind w:firstLine="720"/>
      </w:pPr>
      <w:r w:rsidRPr="00734CDC">
        <w:t>California’s anti-lapse statute entitles the blood relatives of the deceased to be immediate beneficiaries of the inheritance. In this case, Walter’s three children are entitled to his share of the estate since they are blood relatives to Brittany. However, the wife Mercy is not entitled to the share of the inheritance since she is not a blood relative to Brittany, as noted in the California law. In case Walter did not have children, Charles, Anthony, and Suzanne would be entitled to his share since they are blood relatives to Brittany.</w:t>
      </w:r>
    </w:p>
    <w:p w:rsidR="00734CDC" w:rsidRPr="00734CDC" w:rsidRDefault="00734CDC" w:rsidP="00AD1ADE">
      <w:pPr>
        <w:keepNext/>
        <w:jc w:val="center"/>
      </w:pPr>
      <w:r w:rsidRPr="00734CDC">
        <w:rPr>
          <w:b/>
          <w:bCs/>
        </w:rPr>
        <w:lastRenderedPageBreak/>
        <w:t>Question 5</w:t>
      </w:r>
    </w:p>
    <w:p w:rsidR="00B72079" w:rsidRPr="00B72079" w:rsidRDefault="00734CDC" w:rsidP="00AD1ADE">
      <w:pPr>
        <w:keepNext/>
        <w:ind w:firstLine="720"/>
      </w:pPr>
      <w:r w:rsidRPr="00734CDC">
        <w:t>The California Probate Code entitles only the beneficiaries of the will to notice after the will is accepted for probate. In this context, the three grandchildren of Brittany and Walter’s children are entitled to probate notice. The notice is usually done through e</w:t>
      </w:r>
      <w:bookmarkStart w:id="0" w:name="_GoBack"/>
      <w:bookmarkEnd w:id="0"/>
      <w:r w:rsidRPr="00734CDC">
        <w:t>xpress mail services or personal delivery to the will beneficiary. Upon receiving the notice, any beneficiary who contests against the will is granted 120 days to file a petition. The trustee then notifies all other beneficiaries of the will contest since the petition’s hearing begins within 30 days after the petition is filed.</w:t>
      </w:r>
    </w:p>
    <w:sectPr w:rsidR="00B72079" w:rsidRPr="00B7207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09CB" w:rsidRDefault="00E209CB" w:rsidP="00E271F8">
      <w:pPr>
        <w:spacing w:after="0" w:line="240" w:lineRule="auto"/>
      </w:pPr>
      <w:r>
        <w:separator/>
      </w:r>
    </w:p>
  </w:endnote>
  <w:endnote w:type="continuationSeparator" w:id="0">
    <w:p w:rsidR="00E209CB" w:rsidRDefault="00E209CB" w:rsidP="00E27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09CB" w:rsidRDefault="00E209CB" w:rsidP="00E271F8">
      <w:pPr>
        <w:spacing w:after="0" w:line="240" w:lineRule="auto"/>
      </w:pPr>
      <w:r>
        <w:separator/>
      </w:r>
    </w:p>
  </w:footnote>
  <w:footnote w:type="continuationSeparator" w:id="0">
    <w:p w:rsidR="00E209CB" w:rsidRDefault="00E209CB" w:rsidP="00E271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5795044"/>
      <w:docPartObj>
        <w:docPartGallery w:val="Page Numbers (Top of Page)"/>
        <w:docPartUnique/>
      </w:docPartObj>
    </w:sdtPr>
    <w:sdtEndPr>
      <w:rPr>
        <w:noProof/>
      </w:rPr>
    </w:sdtEndPr>
    <w:sdtContent>
      <w:p w:rsidR="00E271F8" w:rsidRDefault="00E271F8">
        <w:pPr>
          <w:pStyle w:val="Header"/>
        </w:pPr>
        <w:r w:rsidRPr="00E271F8">
          <w:t>WILL, TRUST AND ESTATE</w:t>
        </w:r>
        <w:r>
          <w:tab/>
        </w:r>
        <w:r>
          <w:tab/>
        </w:r>
        <w:r>
          <w:fldChar w:fldCharType="begin"/>
        </w:r>
        <w:r>
          <w:instrText xml:space="preserve"> PAGE   \* MERGEFORMAT </w:instrText>
        </w:r>
        <w:r>
          <w:fldChar w:fldCharType="separate"/>
        </w:r>
        <w:r w:rsidR="00AD1ADE">
          <w:rPr>
            <w:noProof/>
          </w:rPr>
          <w:t>4</w:t>
        </w:r>
        <w:r>
          <w:rPr>
            <w:noProof/>
          </w:rPr>
          <w:fldChar w:fldCharType="end"/>
        </w:r>
      </w:p>
    </w:sdtContent>
  </w:sdt>
  <w:p w:rsidR="00E271F8" w:rsidRDefault="00E271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B14"/>
    <w:rsid w:val="00032419"/>
    <w:rsid w:val="00043D85"/>
    <w:rsid w:val="00055F8D"/>
    <w:rsid w:val="000A21B8"/>
    <w:rsid w:val="0013773A"/>
    <w:rsid w:val="00206A30"/>
    <w:rsid w:val="00237A23"/>
    <w:rsid w:val="002479A8"/>
    <w:rsid w:val="003072E1"/>
    <w:rsid w:val="00334B14"/>
    <w:rsid w:val="003447CA"/>
    <w:rsid w:val="003524DE"/>
    <w:rsid w:val="00361276"/>
    <w:rsid w:val="003B5F50"/>
    <w:rsid w:val="00407613"/>
    <w:rsid w:val="00422189"/>
    <w:rsid w:val="00423E67"/>
    <w:rsid w:val="004326B8"/>
    <w:rsid w:val="004E2506"/>
    <w:rsid w:val="00500F07"/>
    <w:rsid w:val="005D7DB9"/>
    <w:rsid w:val="00622DB2"/>
    <w:rsid w:val="006616CF"/>
    <w:rsid w:val="00665B76"/>
    <w:rsid w:val="006662DF"/>
    <w:rsid w:val="0068572B"/>
    <w:rsid w:val="006E2820"/>
    <w:rsid w:val="007278F3"/>
    <w:rsid w:val="00734CDC"/>
    <w:rsid w:val="00770CF8"/>
    <w:rsid w:val="00772A61"/>
    <w:rsid w:val="00791C53"/>
    <w:rsid w:val="008027EB"/>
    <w:rsid w:val="00884885"/>
    <w:rsid w:val="008D7811"/>
    <w:rsid w:val="008E21A4"/>
    <w:rsid w:val="009117E1"/>
    <w:rsid w:val="00956F50"/>
    <w:rsid w:val="009A389A"/>
    <w:rsid w:val="009B33BD"/>
    <w:rsid w:val="009D4054"/>
    <w:rsid w:val="00A36650"/>
    <w:rsid w:val="00A40AFD"/>
    <w:rsid w:val="00AD1ADE"/>
    <w:rsid w:val="00AF0871"/>
    <w:rsid w:val="00B01742"/>
    <w:rsid w:val="00B1291F"/>
    <w:rsid w:val="00B21215"/>
    <w:rsid w:val="00B72079"/>
    <w:rsid w:val="00B96D53"/>
    <w:rsid w:val="00BE0D25"/>
    <w:rsid w:val="00C06FE0"/>
    <w:rsid w:val="00C256B5"/>
    <w:rsid w:val="00C348FF"/>
    <w:rsid w:val="00C85DAC"/>
    <w:rsid w:val="00D26EA6"/>
    <w:rsid w:val="00D40211"/>
    <w:rsid w:val="00D92F12"/>
    <w:rsid w:val="00D93BFD"/>
    <w:rsid w:val="00DB06B2"/>
    <w:rsid w:val="00DF30E3"/>
    <w:rsid w:val="00E209CB"/>
    <w:rsid w:val="00E271F8"/>
    <w:rsid w:val="00EA2448"/>
    <w:rsid w:val="00ED6B31"/>
    <w:rsid w:val="00EF61BF"/>
    <w:rsid w:val="00EF6406"/>
    <w:rsid w:val="00F65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7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71F8"/>
  </w:style>
  <w:style w:type="paragraph" w:styleId="Footer">
    <w:name w:val="footer"/>
    <w:basedOn w:val="Normal"/>
    <w:link w:val="FooterChar"/>
    <w:uiPriority w:val="99"/>
    <w:unhideWhenUsed/>
    <w:rsid w:val="00E27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1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7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71F8"/>
  </w:style>
  <w:style w:type="paragraph" w:styleId="Footer">
    <w:name w:val="footer"/>
    <w:basedOn w:val="Normal"/>
    <w:link w:val="FooterChar"/>
    <w:uiPriority w:val="99"/>
    <w:unhideWhenUsed/>
    <w:rsid w:val="00E27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1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5392587">
      <w:bodyDiv w:val="1"/>
      <w:marLeft w:val="0"/>
      <w:marRight w:val="0"/>
      <w:marTop w:val="0"/>
      <w:marBottom w:val="0"/>
      <w:divBdr>
        <w:top w:val="none" w:sz="0" w:space="0" w:color="auto"/>
        <w:left w:val="none" w:sz="0" w:space="0" w:color="auto"/>
        <w:bottom w:val="none" w:sz="0" w:space="0" w:color="auto"/>
        <w:right w:val="none" w:sz="0" w:space="0" w:color="auto"/>
      </w:divBdr>
    </w:div>
    <w:div w:id="186412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4</Pages>
  <Words>623</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68</cp:revision>
  <dcterms:created xsi:type="dcterms:W3CDTF">2021-06-13T07:18:00Z</dcterms:created>
  <dcterms:modified xsi:type="dcterms:W3CDTF">2021-06-13T09:12:00Z</dcterms:modified>
</cp:coreProperties>
</file>