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6000" w:rsidRDefault="00456000" w:rsidP="000B7D66">
      <w:pPr>
        <w:spacing w:line="480" w:lineRule="auto"/>
        <w:rPr>
          <w:rFonts w:ascii="Times New Roman" w:hAnsi="Times New Roman" w:cs="Times New Roman"/>
          <w:b/>
          <w:sz w:val="24"/>
          <w:szCs w:val="24"/>
        </w:rPr>
      </w:pPr>
    </w:p>
    <w:p w:rsidR="004C74B3" w:rsidRDefault="004C74B3" w:rsidP="00456000">
      <w:pPr>
        <w:spacing w:line="480" w:lineRule="auto"/>
        <w:jc w:val="center"/>
        <w:rPr>
          <w:rFonts w:ascii="Times New Roman" w:hAnsi="Times New Roman" w:cs="Times New Roman"/>
          <w:b/>
          <w:noProof/>
          <w:sz w:val="24"/>
          <w:szCs w:val="24"/>
        </w:rPr>
      </w:pPr>
    </w:p>
    <w:p w:rsidR="004C74B3" w:rsidRDefault="004C74B3" w:rsidP="00456000">
      <w:pPr>
        <w:spacing w:line="480" w:lineRule="auto"/>
        <w:jc w:val="center"/>
        <w:rPr>
          <w:rFonts w:ascii="Times New Roman" w:hAnsi="Times New Roman" w:cs="Times New Roman"/>
          <w:b/>
          <w:noProof/>
          <w:sz w:val="24"/>
          <w:szCs w:val="24"/>
        </w:rPr>
      </w:pPr>
    </w:p>
    <w:p w:rsidR="004C74B3" w:rsidRDefault="004C74B3" w:rsidP="00456000">
      <w:pPr>
        <w:spacing w:line="480" w:lineRule="auto"/>
        <w:jc w:val="center"/>
        <w:rPr>
          <w:rFonts w:ascii="Times New Roman" w:hAnsi="Times New Roman" w:cs="Times New Roman"/>
          <w:b/>
          <w:noProof/>
          <w:sz w:val="24"/>
          <w:szCs w:val="24"/>
        </w:rPr>
      </w:pPr>
    </w:p>
    <w:p w:rsidR="004C74B3" w:rsidRDefault="004C74B3" w:rsidP="00456000">
      <w:pPr>
        <w:spacing w:line="480" w:lineRule="auto"/>
        <w:jc w:val="center"/>
        <w:rPr>
          <w:rFonts w:ascii="Times New Roman" w:hAnsi="Times New Roman" w:cs="Times New Roman"/>
          <w:b/>
          <w:noProof/>
          <w:sz w:val="24"/>
          <w:szCs w:val="24"/>
        </w:rPr>
      </w:pPr>
    </w:p>
    <w:p w:rsidR="004C74B3" w:rsidRDefault="004C74B3" w:rsidP="00456000">
      <w:pPr>
        <w:spacing w:line="480" w:lineRule="auto"/>
        <w:jc w:val="center"/>
        <w:rPr>
          <w:rFonts w:ascii="Times New Roman" w:hAnsi="Times New Roman" w:cs="Times New Roman"/>
          <w:b/>
          <w:noProof/>
          <w:sz w:val="24"/>
          <w:szCs w:val="24"/>
        </w:rPr>
      </w:pPr>
    </w:p>
    <w:p w:rsidR="00456000" w:rsidRDefault="00456000" w:rsidP="00456000">
      <w:pPr>
        <w:spacing w:line="480" w:lineRule="auto"/>
        <w:jc w:val="center"/>
        <w:rPr>
          <w:rFonts w:ascii="Times New Roman" w:hAnsi="Times New Roman" w:cs="Times New Roman"/>
          <w:b/>
          <w:noProof/>
          <w:sz w:val="24"/>
          <w:szCs w:val="24"/>
        </w:rPr>
      </w:pPr>
      <w:r w:rsidRPr="00456000">
        <w:rPr>
          <w:rFonts w:ascii="Times New Roman" w:hAnsi="Times New Roman" w:cs="Times New Roman"/>
          <w:b/>
          <w:noProof/>
          <w:sz w:val="24"/>
          <w:szCs w:val="24"/>
        </w:rPr>
        <w:t>Does early-life misfortune increase the likelihood of psychotropic medication use in later life?</w:t>
      </w:r>
    </w:p>
    <w:p w:rsidR="00456000" w:rsidRPr="00456000" w:rsidRDefault="00456000" w:rsidP="00456000">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t xml:space="preserve">Name of the student </w:t>
      </w:r>
      <w:bookmarkStart w:id="0" w:name="_GoBack"/>
      <w:bookmarkEnd w:id="0"/>
    </w:p>
    <w:p w:rsidR="00456000" w:rsidRDefault="00456000">
      <w:pPr>
        <w:rPr>
          <w:rFonts w:ascii="Times New Roman" w:hAnsi="Times New Roman" w:cs="Times New Roman"/>
          <w:b/>
          <w:sz w:val="24"/>
          <w:szCs w:val="24"/>
        </w:rPr>
      </w:pPr>
      <w:r>
        <w:rPr>
          <w:rFonts w:ascii="Times New Roman" w:hAnsi="Times New Roman" w:cs="Times New Roman"/>
          <w:b/>
          <w:sz w:val="24"/>
          <w:szCs w:val="24"/>
        </w:rPr>
        <w:br w:type="page"/>
      </w:r>
    </w:p>
    <w:p w:rsidR="00FA0B95" w:rsidRPr="000B7D66" w:rsidRDefault="00FA0B95" w:rsidP="000B7D66">
      <w:pPr>
        <w:spacing w:line="480" w:lineRule="auto"/>
        <w:rPr>
          <w:rFonts w:ascii="Times New Roman" w:hAnsi="Times New Roman" w:cs="Times New Roman"/>
          <w:b/>
          <w:sz w:val="24"/>
          <w:szCs w:val="24"/>
        </w:rPr>
      </w:pPr>
      <w:r w:rsidRPr="000B7D66">
        <w:rPr>
          <w:rFonts w:ascii="Times New Roman" w:hAnsi="Times New Roman" w:cs="Times New Roman"/>
          <w:b/>
          <w:sz w:val="24"/>
          <w:szCs w:val="24"/>
        </w:rPr>
        <w:lastRenderedPageBreak/>
        <w:t xml:space="preserve">Analysis section </w:t>
      </w:r>
    </w:p>
    <w:p w:rsidR="000B7D66" w:rsidRPr="000B7D66" w:rsidRDefault="006E1F98" w:rsidP="000B7D66">
      <w:pPr>
        <w:spacing w:line="480" w:lineRule="auto"/>
        <w:rPr>
          <w:rFonts w:ascii="Times New Roman" w:hAnsi="Times New Roman" w:cs="Times New Roman"/>
          <w:sz w:val="24"/>
          <w:szCs w:val="24"/>
        </w:rPr>
      </w:pPr>
      <w:r w:rsidRPr="000B7D66">
        <w:rPr>
          <w:rFonts w:ascii="Times New Roman" w:hAnsi="Times New Roman" w:cs="Times New Roman"/>
          <w:sz w:val="24"/>
          <w:szCs w:val="24"/>
        </w:rPr>
        <w:t xml:space="preserve"> </w:t>
      </w:r>
      <w:r w:rsidR="000B7D66" w:rsidRPr="000B7D66">
        <w:rPr>
          <w:rFonts w:ascii="Times New Roman" w:hAnsi="Times New Roman" w:cs="Times New Roman"/>
          <w:sz w:val="24"/>
          <w:szCs w:val="24"/>
        </w:rPr>
        <w:tab/>
      </w:r>
      <w:r w:rsidRPr="000B7D66">
        <w:rPr>
          <w:rFonts w:ascii="Times New Roman" w:hAnsi="Times New Roman" w:cs="Times New Roman"/>
          <w:sz w:val="24"/>
          <w:szCs w:val="24"/>
        </w:rPr>
        <w:t xml:space="preserve">Logistic regression was utilized to determine the relationship between child misfortune and adult psychometric drug use. This was applicable because the response variable was binary in nature (0, 1) creating the need to model the probability of one taking the drugs. The response variable was use of psychometric drug use while predictor variables were; child misfortune, family social economic and demographic characters among other variables. </w:t>
      </w:r>
      <w:r w:rsidR="000B7D66" w:rsidRPr="000B7D66">
        <w:rPr>
          <w:rFonts w:ascii="Times New Roman" w:hAnsi="Times New Roman" w:cs="Times New Roman"/>
          <w:sz w:val="24"/>
          <w:szCs w:val="24"/>
        </w:rPr>
        <w:t>D</w:t>
      </w:r>
      <w:r w:rsidR="002E02B2" w:rsidRPr="000B7D66">
        <w:rPr>
          <w:rFonts w:ascii="Times New Roman" w:hAnsi="Times New Roman" w:cs="Times New Roman"/>
          <w:sz w:val="24"/>
          <w:szCs w:val="24"/>
        </w:rPr>
        <w:t>ifferent models were models were fitted using different predictor variables. The first model that had additive child misfortune revealed presence of significant positive association between the psychometric drug use and the child misfortune. It showed that for an increase in the additive child misfortune could increase the odd of taking psychometric drug by 44% (odd = 1.435</w:t>
      </w:r>
      <w:r w:rsidR="00043F95" w:rsidRPr="000B7D66">
        <w:rPr>
          <w:rFonts w:ascii="Times New Roman" w:hAnsi="Times New Roman" w:cs="Times New Roman"/>
          <w:sz w:val="24"/>
          <w:szCs w:val="24"/>
        </w:rPr>
        <w:t>, p value &lt;0.001</w:t>
      </w:r>
      <w:r w:rsidR="002E02B2" w:rsidRPr="000B7D66">
        <w:rPr>
          <w:rFonts w:ascii="Times New Roman" w:hAnsi="Times New Roman" w:cs="Times New Roman"/>
          <w:sz w:val="24"/>
          <w:szCs w:val="24"/>
        </w:rPr>
        <w:t>).</w:t>
      </w:r>
      <w:r w:rsidR="00043F95" w:rsidRPr="000B7D66">
        <w:rPr>
          <w:rFonts w:ascii="Times New Roman" w:hAnsi="Times New Roman" w:cs="Times New Roman"/>
          <w:sz w:val="24"/>
          <w:szCs w:val="24"/>
        </w:rPr>
        <w:t xml:space="preserve"> Second model included other control covariates, however, the association between additive child misfortune and drug use was significant. </w:t>
      </w:r>
    </w:p>
    <w:p w:rsidR="00FA0B95" w:rsidRPr="000B7D66" w:rsidRDefault="00043F95" w:rsidP="000B7D66">
      <w:pPr>
        <w:spacing w:line="480" w:lineRule="auto"/>
        <w:ind w:firstLine="720"/>
        <w:rPr>
          <w:rFonts w:ascii="Times New Roman" w:hAnsi="Times New Roman" w:cs="Times New Roman"/>
          <w:sz w:val="24"/>
          <w:szCs w:val="24"/>
        </w:rPr>
      </w:pPr>
      <w:r w:rsidRPr="000B7D66">
        <w:rPr>
          <w:rFonts w:ascii="Times New Roman" w:hAnsi="Times New Roman" w:cs="Times New Roman"/>
          <w:sz w:val="24"/>
          <w:szCs w:val="24"/>
        </w:rPr>
        <w:t>Model 2 showed that an increase in the additive child misfortune could increase the odd of using psychometric drug by increased by 27% (odd = 1.272, p value &lt;0.001).</w:t>
      </w:r>
      <w:r w:rsidR="00E96F85" w:rsidRPr="000B7D66">
        <w:rPr>
          <w:rFonts w:ascii="Times New Roman" w:hAnsi="Times New Roman" w:cs="Times New Roman"/>
          <w:sz w:val="24"/>
          <w:szCs w:val="24"/>
        </w:rPr>
        <w:t xml:space="preserve"> Other covariates in model 2 also had significant relationship with psychometric medication use. </w:t>
      </w:r>
      <w:r w:rsidR="00C71A85" w:rsidRPr="000B7D66">
        <w:rPr>
          <w:rFonts w:ascii="Times New Roman" w:hAnsi="Times New Roman" w:cs="Times New Roman"/>
          <w:sz w:val="24"/>
          <w:szCs w:val="24"/>
        </w:rPr>
        <w:t xml:space="preserve">Older participants were more likely use psychotropic medication (OR = 1.019, p &lt; .01) than younger people. Women were more than twice as likely to take psychotropic drugs (OR =2.259, p &lt; .001) than men. Those who divorced had more close to double risk of taking psychotropic medication (OR =1.810, p &lt; .01) as compared to married people. Those who experienced higher levels of family strain showed a higher risk of taking psychotropic medication (OR = 1.548, p value &lt; .01) than those who experienced lower family strain. Smoking increased the odd of using psychotropic medication by 0.06 (OR =1.066, p value &lt; .01). Persons whose health insurance covered mental health had more risk of taking psychotropic medication (OR =2.192, p &lt; .001). Education and </w:t>
      </w:r>
      <w:r w:rsidR="00C71A85" w:rsidRPr="000B7D66">
        <w:rPr>
          <w:rFonts w:ascii="Times New Roman" w:hAnsi="Times New Roman" w:cs="Times New Roman"/>
          <w:sz w:val="24"/>
          <w:szCs w:val="24"/>
        </w:rPr>
        <w:lastRenderedPageBreak/>
        <w:t>private health insurance</w:t>
      </w:r>
      <w:r w:rsidR="00D014C0" w:rsidRPr="000B7D66">
        <w:rPr>
          <w:rFonts w:ascii="Times New Roman" w:hAnsi="Times New Roman" w:cs="Times New Roman"/>
          <w:sz w:val="24"/>
          <w:szCs w:val="24"/>
        </w:rPr>
        <w:t xml:space="preserve"> were negatively associated with</w:t>
      </w:r>
      <w:r w:rsidR="00C71A85" w:rsidRPr="000B7D66">
        <w:rPr>
          <w:rFonts w:ascii="Times New Roman" w:hAnsi="Times New Roman" w:cs="Times New Roman"/>
          <w:sz w:val="24"/>
          <w:szCs w:val="24"/>
        </w:rPr>
        <w:t xml:space="preserve"> taki</w:t>
      </w:r>
      <w:r w:rsidR="00D014C0" w:rsidRPr="000B7D66">
        <w:rPr>
          <w:rFonts w:ascii="Times New Roman" w:hAnsi="Times New Roman" w:cs="Times New Roman"/>
          <w:sz w:val="24"/>
          <w:szCs w:val="24"/>
        </w:rPr>
        <w:t>ng psychotropic medication (OR =</w:t>
      </w:r>
      <w:r w:rsidR="00C71A85" w:rsidRPr="000B7D66">
        <w:rPr>
          <w:rFonts w:ascii="Times New Roman" w:hAnsi="Times New Roman" w:cs="Times New Roman"/>
          <w:sz w:val="24"/>
          <w:szCs w:val="24"/>
        </w:rPr>
        <w:t xml:space="preserve"> 0.934, p &lt; .05; OR</w:t>
      </w:r>
      <w:r w:rsidR="00D014C0" w:rsidRPr="000B7D66">
        <w:rPr>
          <w:rFonts w:ascii="Times New Roman" w:hAnsi="Times New Roman" w:cs="Times New Roman"/>
          <w:sz w:val="24"/>
          <w:szCs w:val="24"/>
        </w:rPr>
        <w:t xml:space="preserve"> = </w:t>
      </w:r>
      <w:r w:rsidR="00C71A85" w:rsidRPr="000B7D66">
        <w:rPr>
          <w:rFonts w:ascii="Times New Roman" w:hAnsi="Times New Roman" w:cs="Times New Roman"/>
          <w:sz w:val="24"/>
          <w:szCs w:val="24"/>
        </w:rPr>
        <w:t>0.551, p &lt; .001, respectively)</w:t>
      </w:r>
      <w:r w:rsidR="00D014C0" w:rsidRPr="000B7D66">
        <w:rPr>
          <w:rFonts w:ascii="Times New Roman" w:hAnsi="Times New Roman" w:cs="Times New Roman"/>
          <w:sz w:val="24"/>
          <w:szCs w:val="24"/>
        </w:rPr>
        <w:t>. This means that increase in level of education and health insurance provision decrease the risk of individual taking psychometric drugs.</w:t>
      </w:r>
    </w:p>
    <w:p w:rsidR="00FA0B95" w:rsidRPr="00CD4D8B" w:rsidRDefault="00CD4D8B" w:rsidP="000B7D66">
      <w:pPr>
        <w:spacing w:line="480" w:lineRule="auto"/>
        <w:rPr>
          <w:rFonts w:ascii="Times New Roman" w:hAnsi="Times New Roman" w:cs="Times New Roman"/>
          <w:b/>
          <w:sz w:val="24"/>
          <w:szCs w:val="24"/>
        </w:rPr>
      </w:pPr>
      <w:r w:rsidRPr="00CD4D8B">
        <w:rPr>
          <w:rFonts w:ascii="Times New Roman" w:hAnsi="Times New Roman" w:cs="Times New Roman"/>
          <w:b/>
          <w:sz w:val="24"/>
          <w:szCs w:val="24"/>
        </w:rPr>
        <w:t xml:space="preserve">Conclusion </w:t>
      </w:r>
    </w:p>
    <w:p w:rsidR="00CD4D8B" w:rsidRDefault="00CD4D8B" w:rsidP="00CD4D8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researcher concluded the following from the analysis. It was found that child misfortune increases use of psychometric drugs among the adults. This was because results revealed existence of positive relationship between additive child misfortune and psychometric medication. Age of a person was also related to psychometric medication. The odd of using the drug was higher among adults as compared to the youths. This suggested that adults are more at risk of using the medication as compared to the youths. Women were also more at risk of using the psychometric medication at old age as compared to </w:t>
      </w:r>
      <w:r w:rsidR="00E1474C">
        <w:rPr>
          <w:rFonts w:ascii="Times New Roman" w:hAnsi="Times New Roman" w:cs="Times New Roman"/>
          <w:sz w:val="24"/>
          <w:szCs w:val="24"/>
        </w:rPr>
        <w:t>men;</w:t>
      </w:r>
      <w:r>
        <w:rPr>
          <w:rFonts w:ascii="Times New Roman" w:hAnsi="Times New Roman" w:cs="Times New Roman"/>
          <w:sz w:val="24"/>
          <w:szCs w:val="24"/>
        </w:rPr>
        <w:t xml:space="preserve"> the odd of women using the medication was higher as compared to men.</w:t>
      </w:r>
      <w:r w:rsidR="00E1474C">
        <w:rPr>
          <w:rFonts w:ascii="Times New Roman" w:hAnsi="Times New Roman" w:cs="Times New Roman"/>
          <w:sz w:val="24"/>
          <w:szCs w:val="24"/>
        </w:rPr>
        <w:t xml:space="preserve"> It was also found that divorced are more at risk of using psychometric medication as compared to married people. This was because the odd of divorced using the medication was higher as compared to for married individuals. Family stain is also associated with the medication. Those facing more stains from the family had more risk of using the drugs as compared to those who experienced low family strain. </w:t>
      </w:r>
      <w:r w:rsidR="007C3D74">
        <w:rPr>
          <w:rFonts w:ascii="Times New Roman" w:hAnsi="Times New Roman" w:cs="Times New Roman"/>
          <w:sz w:val="24"/>
          <w:szCs w:val="24"/>
        </w:rPr>
        <w:t xml:space="preserve">It was also found that those who smoke are at more risk of using psychometric medication as compared to those who do not smoke. Therefore, smoking increases use of the medication. </w:t>
      </w:r>
    </w:p>
    <w:p w:rsidR="007C3D74" w:rsidRDefault="0035791E" w:rsidP="00CD4D8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Logistic regression method used to determine the association between psychometric drug use and child misfortune was appropriate. This is because of the binary nature of the response variable. Therefore, corresponding p values could be used to test for significance. </w:t>
      </w:r>
      <w:r w:rsidR="007C3D74">
        <w:rPr>
          <w:rFonts w:ascii="Times New Roman" w:hAnsi="Times New Roman" w:cs="Times New Roman"/>
          <w:sz w:val="24"/>
          <w:szCs w:val="24"/>
        </w:rPr>
        <w:t xml:space="preserve">The sample </w:t>
      </w:r>
      <w:r w:rsidR="007C3D74">
        <w:rPr>
          <w:rFonts w:ascii="Times New Roman" w:hAnsi="Times New Roman" w:cs="Times New Roman"/>
          <w:sz w:val="24"/>
          <w:szCs w:val="24"/>
        </w:rPr>
        <w:lastRenderedPageBreak/>
        <w:t>siz</w:t>
      </w:r>
      <w:r>
        <w:rPr>
          <w:rFonts w:ascii="Times New Roman" w:hAnsi="Times New Roman" w:cs="Times New Roman"/>
          <w:sz w:val="24"/>
          <w:szCs w:val="24"/>
        </w:rPr>
        <w:t>e of 2999 that was used was</w:t>
      </w:r>
      <w:r w:rsidR="007C3D74">
        <w:rPr>
          <w:rFonts w:ascii="Times New Roman" w:hAnsi="Times New Roman" w:cs="Times New Roman"/>
          <w:sz w:val="24"/>
          <w:szCs w:val="24"/>
        </w:rPr>
        <w:t xml:space="preserve"> large and representative, therefore the finding</w:t>
      </w:r>
      <w:r>
        <w:rPr>
          <w:rFonts w:ascii="Times New Roman" w:hAnsi="Times New Roman" w:cs="Times New Roman"/>
          <w:sz w:val="24"/>
          <w:szCs w:val="24"/>
        </w:rPr>
        <w:t>s and generalization</w:t>
      </w:r>
      <w:r w:rsidR="007C3D74">
        <w:rPr>
          <w:rFonts w:ascii="Times New Roman" w:hAnsi="Times New Roman" w:cs="Times New Roman"/>
          <w:sz w:val="24"/>
          <w:szCs w:val="24"/>
        </w:rPr>
        <w:t xml:space="preserve"> might be reliable to a large extent.</w:t>
      </w:r>
    </w:p>
    <w:p w:rsidR="00CD4D8B" w:rsidRDefault="00CD4D8B" w:rsidP="000B7D66">
      <w:pPr>
        <w:spacing w:line="480" w:lineRule="auto"/>
        <w:rPr>
          <w:rFonts w:ascii="Times New Roman" w:hAnsi="Times New Roman" w:cs="Times New Roman"/>
          <w:sz w:val="24"/>
          <w:szCs w:val="24"/>
        </w:rPr>
      </w:pPr>
    </w:p>
    <w:p w:rsidR="00CD4D8B" w:rsidRDefault="00CD4D8B" w:rsidP="000B7D66">
      <w:pPr>
        <w:spacing w:line="480" w:lineRule="auto"/>
        <w:rPr>
          <w:rFonts w:ascii="Times New Roman" w:hAnsi="Times New Roman" w:cs="Times New Roman"/>
          <w:sz w:val="24"/>
          <w:szCs w:val="24"/>
        </w:rPr>
      </w:pPr>
    </w:p>
    <w:p w:rsidR="00456000" w:rsidRDefault="00456000">
      <w:pPr>
        <w:rPr>
          <w:rFonts w:ascii="Times New Roman" w:hAnsi="Times New Roman" w:cs="Times New Roman"/>
          <w:sz w:val="24"/>
          <w:szCs w:val="24"/>
        </w:rPr>
      </w:pPr>
      <w:r>
        <w:rPr>
          <w:rFonts w:ascii="Times New Roman" w:hAnsi="Times New Roman" w:cs="Times New Roman"/>
          <w:sz w:val="24"/>
          <w:szCs w:val="24"/>
        </w:rPr>
        <w:br w:type="page"/>
      </w:r>
    </w:p>
    <w:p w:rsidR="00CD4D8B" w:rsidRPr="000B7D66" w:rsidRDefault="00CD4D8B" w:rsidP="000B7D66">
      <w:pPr>
        <w:spacing w:line="480" w:lineRule="auto"/>
        <w:rPr>
          <w:rFonts w:ascii="Times New Roman" w:hAnsi="Times New Roman" w:cs="Times New Roman"/>
          <w:sz w:val="24"/>
          <w:szCs w:val="24"/>
        </w:rPr>
      </w:pPr>
    </w:p>
    <w:sdt>
      <w:sdtPr>
        <w:rPr>
          <w:rFonts w:ascii="Times New Roman" w:hAnsi="Times New Roman" w:cs="Times New Roman"/>
          <w:sz w:val="24"/>
          <w:szCs w:val="24"/>
        </w:rPr>
        <w:id w:val="241143847"/>
        <w:docPartObj>
          <w:docPartGallery w:val="Bibliographies"/>
          <w:docPartUnique/>
        </w:docPartObj>
      </w:sdtPr>
      <w:sdtEndPr/>
      <w:sdtContent>
        <w:p w:rsidR="008B1182" w:rsidRPr="000B7D66" w:rsidRDefault="008B1182" w:rsidP="000B7D66">
          <w:pPr>
            <w:spacing w:line="480" w:lineRule="auto"/>
            <w:rPr>
              <w:rFonts w:ascii="Times New Roman" w:hAnsi="Times New Roman" w:cs="Times New Roman"/>
              <w:sz w:val="24"/>
              <w:szCs w:val="24"/>
            </w:rPr>
          </w:pPr>
          <w:r w:rsidRPr="000B7D66">
            <w:rPr>
              <w:rFonts w:ascii="Times New Roman" w:hAnsi="Times New Roman" w:cs="Times New Roman"/>
              <w:sz w:val="24"/>
              <w:szCs w:val="24"/>
            </w:rPr>
            <w:t>Works Cited</w:t>
          </w:r>
        </w:p>
        <w:p w:rsidR="008B1182" w:rsidRPr="000B7D66" w:rsidRDefault="008B1182" w:rsidP="000B7D66">
          <w:pPr>
            <w:spacing w:line="480" w:lineRule="auto"/>
            <w:rPr>
              <w:rFonts w:ascii="Times New Roman" w:hAnsi="Times New Roman" w:cs="Times New Roman"/>
              <w:sz w:val="24"/>
              <w:szCs w:val="24"/>
            </w:rPr>
          </w:pPr>
          <w:r w:rsidRPr="000B7D66">
            <w:rPr>
              <w:rFonts w:ascii="Times New Roman" w:hAnsi="Times New Roman" w:cs="Times New Roman"/>
              <w:sz w:val="24"/>
              <w:szCs w:val="24"/>
            </w:rPr>
            <w:fldChar w:fldCharType="begin"/>
          </w:r>
          <w:r w:rsidRPr="000B7D66">
            <w:rPr>
              <w:rFonts w:ascii="Times New Roman" w:hAnsi="Times New Roman" w:cs="Times New Roman"/>
              <w:sz w:val="24"/>
              <w:szCs w:val="24"/>
            </w:rPr>
            <w:instrText xml:space="preserve"> BIBLIOGRAPHY </w:instrText>
          </w:r>
          <w:r w:rsidRPr="000B7D66">
            <w:rPr>
              <w:rFonts w:ascii="Times New Roman" w:hAnsi="Times New Roman" w:cs="Times New Roman"/>
              <w:sz w:val="24"/>
              <w:szCs w:val="24"/>
            </w:rPr>
            <w:fldChar w:fldCharType="separate"/>
          </w:r>
          <w:r w:rsidRPr="000B7D66">
            <w:rPr>
              <w:rFonts w:ascii="Times New Roman" w:hAnsi="Times New Roman" w:cs="Times New Roman"/>
              <w:noProof/>
              <w:sz w:val="24"/>
              <w:szCs w:val="24"/>
            </w:rPr>
            <w:t xml:space="preserve">Morton &amp; Ferraro. (2017). Does early-life misfortune increase the likelihood of psychotropic medication use in later life? </w:t>
          </w:r>
          <w:r w:rsidRPr="000B7D66">
            <w:rPr>
              <w:rFonts w:ascii="Times New Roman" w:hAnsi="Times New Roman" w:cs="Times New Roman"/>
              <w:i/>
              <w:iCs/>
              <w:noProof/>
              <w:sz w:val="24"/>
              <w:szCs w:val="24"/>
            </w:rPr>
            <w:t>Research on aging</w:t>
          </w:r>
          <w:r w:rsidRPr="000B7D66">
            <w:rPr>
              <w:rFonts w:ascii="Times New Roman" w:hAnsi="Times New Roman" w:cs="Times New Roman"/>
              <w:noProof/>
              <w:sz w:val="24"/>
              <w:szCs w:val="24"/>
            </w:rPr>
            <w:t>.</w:t>
          </w:r>
          <w:r w:rsidRPr="000B7D66">
            <w:rPr>
              <w:rFonts w:ascii="Times New Roman" w:hAnsi="Times New Roman" w:cs="Times New Roman"/>
              <w:sz w:val="24"/>
              <w:szCs w:val="24"/>
            </w:rPr>
            <w:fldChar w:fldCharType="end"/>
          </w:r>
        </w:p>
      </w:sdtContent>
    </w:sdt>
    <w:p w:rsidR="00FF41D7" w:rsidRPr="000B7D66" w:rsidRDefault="00C84D1D" w:rsidP="000B7D66">
      <w:pPr>
        <w:spacing w:line="480" w:lineRule="auto"/>
        <w:rPr>
          <w:rFonts w:ascii="Times New Roman" w:hAnsi="Times New Roman" w:cs="Times New Roman"/>
          <w:sz w:val="24"/>
          <w:szCs w:val="24"/>
        </w:rPr>
      </w:pPr>
      <w:hyperlink r:id="rId8" w:history="1">
        <w:r w:rsidR="00FF41D7" w:rsidRPr="000B7D66">
          <w:rPr>
            <w:rStyle w:val="Hyperlink"/>
            <w:rFonts w:ascii="Times New Roman" w:hAnsi="Times New Roman" w:cs="Times New Roman"/>
            <w:sz w:val="24"/>
            <w:szCs w:val="24"/>
          </w:rPr>
          <w:t>https://ezproxy.snhu.edu/login?url=https://journals.sagepub.com/doi/10.1177/016402751771704 5</w:t>
        </w:r>
      </w:hyperlink>
    </w:p>
    <w:p w:rsidR="00FF41D7" w:rsidRPr="000B7D66" w:rsidRDefault="00FF41D7" w:rsidP="000B7D66">
      <w:pPr>
        <w:spacing w:line="480" w:lineRule="auto"/>
        <w:rPr>
          <w:rFonts w:ascii="Times New Roman" w:hAnsi="Times New Roman" w:cs="Times New Roman"/>
          <w:sz w:val="24"/>
          <w:szCs w:val="24"/>
        </w:rPr>
      </w:pPr>
    </w:p>
    <w:sectPr w:rsidR="00FF41D7" w:rsidRPr="000B7D66">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4D1D" w:rsidRDefault="00C84D1D" w:rsidP="00443533">
      <w:pPr>
        <w:spacing w:after="0" w:line="240" w:lineRule="auto"/>
      </w:pPr>
      <w:r>
        <w:separator/>
      </w:r>
    </w:p>
  </w:endnote>
  <w:endnote w:type="continuationSeparator" w:id="0">
    <w:p w:rsidR="00C84D1D" w:rsidRDefault="00C84D1D" w:rsidP="004435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4D1D" w:rsidRDefault="00C84D1D" w:rsidP="00443533">
      <w:pPr>
        <w:spacing w:after="0" w:line="240" w:lineRule="auto"/>
      </w:pPr>
      <w:r>
        <w:separator/>
      </w:r>
    </w:p>
  </w:footnote>
  <w:footnote w:type="continuationSeparator" w:id="0">
    <w:p w:rsidR="00C84D1D" w:rsidRDefault="00C84D1D" w:rsidP="004435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0392304"/>
      <w:docPartObj>
        <w:docPartGallery w:val="Page Numbers (Top of Page)"/>
        <w:docPartUnique/>
      </w:docPartObj>
    </w:sdtPr>
    <w:sdtEndPr>
      <w:rPr>
        <w:noProof/>
      </w:rPr>
    </w:sdtEndPr>
    <w:sdtContent>
      <w:p w:rsidR="00443533" w:rsidRDefault="00C05DB4" w:rsidP="00C05DB4">
        <w:pPr>
          <w:pStyle w:val="Header"/>
          <w:jc w:val="right"/>
        </w:pPr>
        <w:r w:rsidRPr="00C05DB4">
          <w:rPr>
            <w:b/>
          </w:rPr>
          <w:t>MAT 133 Milestone TWO</w:t>
        </w:r>
        <w:r>
          <w:t xml:space="preserve">                                                     </w:t>
        </w:r>
        <w:r w:rsidR="00443533">
          <w:fldChar w:fldCharType="begin"/>
        </w:r>
        <w:r w:rsidR="00443533">
          <w:instrText xml:space="preserve"> PAGE   \* MERGEFORMAT </w:instrText>
        </w:r>
        <w:r w:rsidR="00443533">
          <w:fldChar w:fldCharType="separate"/>
        </w:r>
        <w:r w:rsidR="004C74B3">
          <w:rPr>
            <w:noProof/>
          </w:rPr>
          <w:t>1</w:t>
        </w:r>
        <w:r w:rsidR="00443533">
          <w:rPr>
            <w:noProof/>
          </w:rPr>
          <w:fldChar w:fldCharType="end"/>
        </w:r>
      </w:p>
    </w:sdtContent>
  </w:sdt>
  <w:p w:rsidR="00443533" w:rsidRDefault="0044353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151"/>
    <w:rsid w:val="00043F95"/>
    <w:rsid w:val="000B127A"/>
    <w:rsid w:val="000B7D66"/>
    <w:rsid w:val="000C3736"/>
    <w:rsid w:val="00165B63"/>
    <w:rsid w:val="00205078"/>
    <w:rsid w:val="00217CF4"/>
    <w:rsid w:val="00273EE7"/>
    <w:rsid w:val="00281BBB"/>
    <w:rsid w:val="002C1F97"/>
    <w:rsid w:val="002E02B2"/>
    <w:rsid w:val="0035791E"/>
    <w:rsid w:val="00385488"/>
    <w:rsid w:val="003F6355"/>
    <w:rsid w:val="00443533"/>
    <w:rsid w:val="00452960"/>
    <w:rsid w:val="00456000"/>
    <w:rsid w:val="004C74B3"/>
    <w:rsid w:val="00643150"/>
    <w:rsid w:val="006E1F98"/>
    <w:rsid w:val="007C3D74"/>
    <w:rsid w:val="008B1182"/>
    <w:rsid w:val="00A27151"/>
    <w:rsid w:val="00A715C0"/>
    <w:rsid w:val="00B056C0"/>
    <w:rsid w:val="00C05DB4"/>
    <w:rsid w:val="00C4516F"/>
    <w:rsid w:val="00C71A85"/>
    <w:rsid w:val="00C84D1D"/>
    <w:rsid w:val="00CD4D8B"/>
    <w:rsid w:val="00CD64C8"/>
    <w:rsid w:val="00CD7944"/>
    <w:rsid w:val="00D014C0"/>
    <w:rsid w:val="00D35048"/>
    <w:rsid w:val="00DB2400"/>
    <w:rsid w:val="00E1474C"/>
    <w:rsid w:val="00E96F85"/>
    <w:rsid w:val="00EF6416"/>
    <w:rsid w:val="00FA0B95"/>
    <w:rsid w:val="00FF4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B1182"/>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516F"/>
    <w:rPr>
      <w:b/>
      <w:bCs/>
    </w:rPr>
  </w:style>
  <w:style w:type="character" w:styleId="Hyperlink">
    <w:name w:val="Hyperlink"/>
    <w:basedOn w:val="DefaultParagraphFont"/>
    <w:uiPriority w:val="99"/>
    <w:unhideWhenUsed/>
    <w:rsid w:val="00C4516F"/>
    <w:rPr>
      <w:color w:val="0000FF"/>
      <w:u w:val="single"/>
    </w:rPr>
  </w:style>
  <w:style w:type="character" w:styleId="Emphasis">
    <w:name w:val="Emphasis"/>
    <w:basedOn w:val="DefaultParagraphFont"/>
    <w:uiPriority w:val="20"/>
    <w:qFormat/>
    <w:rsid w:val="00C4516F"/>
    <w:rPr>
      <w:i/>
      <w:iCs/>
    </w:rPr>
  </w:style>
  <w:style w:type="character" w:styleId="FollowedHyperlink">
    <w:name w:val="FollowedHyperlink"/>
    <w:basedOn w:val="DefaultParagraphFont"/>
    <w:uiPriority w:val="99"/>
    <w:semiHidden/>
    <w:unhideWhenUsed/>
    <w:rsid w:val="00C4516F"/>
    <w:rPr>
      <w:color w:val="800080" w:themeColor="followedHyperlink"/>
      <w:u w:val="single"/>
    </w:rPr>
  </w:style>
  <w:style w:type="paragraph" w:styleId="Header">
    <w:name w:val="header"/>
    <w:basedOn w:val="Normal"/>
    <w:link w:val="HeaderChar"/>
    <w:uiPriority w:val="99"/>
    <w:unhideWhenUsed/>
    <w:rsid w:val="004435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3533"/>
  </w:style>
  <w:style w:type="paragraph" w:styleId="Footer">
    <w:name w:val="footer"/>
    <w:basedOn w:val="Normal"/>
    <w:link w:val="FooterChar"/>
    <w:uiPriority w:val="99"/>
    <w:unhideWhenUsed/>
    <w:rsid w:val="004435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3533"/>
  </w:style>
  <w:style w:type="paragraph" w:styleId="BalloonText">
    <w:name w:val="Balloon Text"/>
    <w:basedOn w:val="Normal"/>
    <w:link w:val="BalloonTextChar"/>
    <w:uiPriority w:val="99"/>
    <w:semiHidden/>
    <w:unhideWhenUsed/>
    <w:rsid w:val="008B11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182"/>
    <w:rPr>
      <w:rFonts w:ascii="Tahoma" w:hAnsi="Tahoma" w:cs="Tahoma"/>
      <w:sz w:val="16"/>
      <w:szCs w:val="16"/>
    </w:rPr>
  </w:style>
  <w:style w:type="character" w:customStyle="1" w:styleId="Heading1Char">
    <w:name w:val="Heading 1 Char"/>
    <w:basedOn w:val="DefaultParagraphFont"/>
    <w:link w:val="Heading1"/>
    <w:uiPriority w:val="9"/>
    <w:rsid w:val="008B1182"/>
    <w:rPr>
      <w:rFonts w:asciiTheme="majorHAnsi" w:eastAsiaTheme="majorEastAsia" w:hAnsiTheme="majorHAnsi" w:cstheme="majorBidi"/>
      <w:b/>
      <w:bCs/>
      <w:color w:val="365F91" w:themeColor="accent1" w:themeShade="BF"/>
      <w:sz w:val="28"/>
      <w:szCs w:val="28"/>
      <w:lang w:eastAsia="ja-JP"/>
    </w:rPr>
  </w:style>
  <w:style w:type="paragraph" w:styleId="Bibliography">
    <w:name w:val="Bibliography"/>
    <w:basedOn w:val="Normal"/>
    <w:next w:val="Normal"/>
    <w:uiPriority w:val="37"/>
    <w:unhideWhenUsed/>
    <w:rsid w:val="008B118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B1182"/>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516F"/>
    <w:rPr>
      <w:b/>
      <w:bCs/>
    </w:rPr>
  </w:style>
  <w:style w:type="character" w:styleId="Hyperlink">
    <w:name w:val="Hyperlink"/>
    <w:basedOn w:val="DefaultParagraphFont"/>
    <w:uiPriority w:val="99"/>
    <w:unhideWhenUsed/>
    <w:rsid w:val="00C4516F"/>
    <w:rPr>
      <w:color w:val="0000FF"/>
      <w:u w:val="single"/>
    </w:rPr>
  </w:style>
  <w:style w:type="character" w:styleId="Emphasis">
    <w:name w:val="Emphasis"/>
    <w:basedOn w:val="DefaultParagraphFont"/>
    <w:uiPriority w:val="20"/>
    <w:qFormat/>
    <w:rsid w:val="00C4516F"/>
    <w:rPr>
      <w:i/>
      <w:iCs/>
    </w:rPr>
  </w:style>
  <w:style w:type="character" w:styleId="FollowedHyperlink">
    <w:name w:val="FollowedHyperlink"/>
    <w:basedOn w:val="DefaultParagraphFont"/>
    <w:uiPriority w:val="99"/>
    <w:semiHidden/>
    <w:unhideWhenUsed/>
    <w:rsid w:val="00C4516F"/>
    <w:rPr>
      <w:color w:val="800080" w:themeColor="followedHyperlink"/>
      <w:u w:val="single"/>
    </w:rPr>
  </w:style>
  <w:style w:type="paragraph" w:styleId="Header">
    <w:name w:val="header"/>
    <w:basedOn w:val="Normal"/>
    <w:link w:val="HeaderChar"/>
    <w:uiPriority w:val="99"/>
    <w:unhideWhenUsed/>
    <w:rsid w:val="004435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3533"/>
  </w:style>
  <w:style w:type="paragraph" w:styleId="Footer">
    <w:name w:val="footer"/>
    <w:basedOn w:val="Normal"/>
    <w:link w:val="FooterChar"/>
    <w:uiPriority w:val="99"/>
    <w:unhideWhenUsed/>
    <w:rsid w:val="004435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3533"/>
  </w:style>
  <w:style w:type="paragraph" w:styleId="BalloonText">
    <w:name w:val="Balloon Text"/>
    <w:basedOn w:val="Normal"/>
    <w:link w:val="BalloonTextChar"/>
    <w:uiPriority w:val="99"/>
    <w:semiHidden/>
    <w:unhideWhenUsed/>
    <w:rsid w:val="008B11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182"/>
    <w:rPr>
      <w:rFonts w:ascii="Tahoma" w:hAnsi="Tahoma" w:cs="Tahoma"/>
      <w:sz w:val="16"/>
      <w:szCs w:val="16"/>
    </w:rPr>
  </w:style>
  <w:style w:type="character" w:customStyle="1" w:styleId="Heading1Char">
    <w:name w:val="Heading 1 Char"/>
    <w:basedOn w:val="DefaultParagraphFont"/>
    <w:link w:val="Heading1"/>
    <w:uiPriority w:val="9"/>
    <w:rsid w:val="008B1182"/>
    <w:rPr>
      <w:rFonts w:asciiTheme="majorHAnsi" w:eastAsiaTheme="majorEastAsia" w:hAnsiTheme="majorHAnsi" w:cstheme="majorBidi"/>
      <w:b/>
      <w:bCs/>
      <w:color w:val="365F91" w:themeColor="accent1" w:themeShade="BF"/>
      <w:sz w:val="28"/>
      <w:szCs w:val="28"/>
      <w:lang w:eastAsia="ja-JP"/>
    </w:rPr>
  </w:style>
  <w:style w:type="paragraph" w:styleId="Bibliography">
    <w:name w:val="Bibliography"/>
    <w:basedOn w:val="Normal"/>
    <w:next w:val="Normal"/>
    <w:uiPriority w:val="37"/>
    <w:unhideWhenUsed/>
    <w:rsid w:val="008B11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zproxy.snhu.edu/login?url=https://journals.sagepub.com/doi/10.1177/016402751771704%205"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Mor17</b:Tag>
    <b:SourceType>JournalArticle</b:SourceType>
    <b:Guid>{1EBF89C9-625A-44FA-A389-BD280DFDF08A}</b:Guid>
    <b:Author>
      <b:Author>
        <b:Corporate>Morton &amp; Ferraro</b:Corporate>
      </b:Author>
    </b:Author>
    <b:Title>Does early-life misfortune increase the likelihood of psychotropic medication use in later life?</b:Title>
    <b:Year>2017</b:Year>
    <b:JournalName>Research on aging</b:JournalName>
    <b:RefOrder>1</b:RefOrder>
  </b:Source>
</b:Sources>
</file>

<file path=customXml/itemProps1.xml><?xml version="1.0" encoding="utf-8"?>
<ds:datastoreItem xmlns:ds="http://schemas.openxmlformats.org/officeDocument/2006/customXml" ds:itemID="{AAE6BDFF-E995-49D4-B891-6BAE6CED9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671</Words>
  <Characters>3829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juma isaac</dc:creator>
  <cp:lastModifiedBy>juma isaac</cp:lastModifiedBy>
  <cp:revision>4</cp:revision>
  <dcterms:created xsi:type="dcterms:W3CDTF">2021-05-26T19:53:00Z</dcterms:created>
  <dcterms:modified xsi:type="dcterms:W3CDTF">2021-05-26T19:55:00Z</dcterms:modified>
</cp:coreProperties>
</file>