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12654" w14:textId="022DBE4B" w:rsidR="005B3663" w:rsidRPr="005B3663" w:rsidRDefault="005B3663" w:rsidP="00E508A3">
      <w:pPr>
        <w:spacing w:line="480" w:lineRule="auto"/>
        <w:rPr>
          <w:rFonts w:ascii="Times New Roman" w:hAnsi="Times New Roman" w:cs="Times New Roman"/>
          <w:b/>
          <w:bCs/>
          <w:sz w:val="24"/>
          <w:szCs w:val="24"/>
        </w:rPr>
      </w:pPr>
      <w:r w:rsidRPr="005B3663">
        <w:rPr>
          <w:rFonts w:ascii="Times New Roman" w:hAnsi="Times New Roman" w:cs="Times New Roman"/>
          <w:b/>
          <w:bCs/>
          <w:sz w:val="24"/>
          <w:szCs w:val="24"/>
        </w:rPr>
        <w:t>Introduction</w:t>
      </w:r>
    </w:p>
    <w:p w14:paraId="0B9114A2" w14:textId="7DDADF30" w:rsidR="00EE4E87" w:rsidRDefault="00A22B0D" w:rsidP="00E508A3">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Pr="00E508A3">
        <w:rPr>
          <w:rFonts w:ascii="Times New Roman" w:hAnsi="Times New Roman" w:cs="Times New Roman"/>
          <w:sz w:val="24"/>
          <w:szCs w:val="24"/>
        </w:rPr>
        <w:t>Collaboration, concept development, implementation, and value creation are integral and essential parts of an innovative organization. Community developers who are actively engaged in innovation have demonstrated each element in group discussions. They shared reproducible concepts, procedures, and plans, and produced tangible results. The following are examples of these presentations.</w:t>
      </w:r>
    </w:p>
    <w:p w14:paraId="051D5332" w14:textId="2FE9EEC8" w:rsidR="00E508A3" w:rsidRDefault="00A22B0D" w:rsidP="00E508A3">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Pr="00E508A3">
        <w:rPr>
          <w:rFonts w:ascii="Times New Roman" w:hAnsi="Times New Roman" w:cs="Times New Roman"/>
          <w:sz w:val="24"/>
          <w:szCs w:val="24"/>
        </w:rPr>
        <w:t xml:space="preserve">Teamwork is important to achieve goals. In today's global and digital world, the tasks of 24 hours a day, 7 days a week, are becoming more and more complicated. It is becoming more and more important to involve more different ideas in the work and eliminate silos. Collaboration is a family group activity aimed at promoting community development. There is no shortage of cooperative initiatives. Collaboration has never been so </w:t>
      </w:r>
      <w:r w:rsidR="00F05D06" w:rsidRPr="00E508A3">
        <w:rPr>
          <w:rFonts w:ascii="Times New Roman" w:hAnsi="Times New Roman" w:cs="Times New Roman"/>
          <w:sz w:val="24"/>
          <w:szCs w:val="24"/>
        </w:rPr>
        <w:t>easy;</w:t>
      </w:r>
      <w:r w:rsidRPr="00E508A3">
        <w:rPr>
          <w:rFonts w:ascii="Times New Roman" w:hAnsi="Times New Roman" w:cs="Times New Roman"/>
          <w:sz w:val="24"/>
          <w:szCs w:val="24"/>
        </w:rPr>
        <w:t xml:space="preserve"> this is mainly because the conflict and competition within and between groups occupy a dominant position. Since everyone is trying to avoid tension, we can truly live together in peace (or less peacefully) in the community instead of cooperating. Consider cooperation. The meeting called for a reconsideration of the strategic approach. How does the new collaborative approach affect the economic transformation of the community, state, or country? Initially, collaboration has three main aspects: relationship, process, and result. Working together means working together (relationship) to (process) something in common (result). Likely, the need for community development will not exist in existing relationships. People often say that collaborative relationships are important because solving a problem requires multiple people, a team, or an organization. The relationships established between departments, disciplines, and learning and practice areas can now bring higher returns. Interdisciplinary networks, especially those involving young professionals and ethnic groups, can provide solutions to persistent problems and new interfaces that are not </w:t>
      </w:r>
      <w:r w:rsidRPr="00E508A3">
        <w:rPr>
          <w:rFonts w:ascii="Times New Roman" w:hAnsi="Times New Roman" w:cs="Times New Roman"/>
          <w:sz w:val="24"/>
          <w:szCs w:val="24"/>
        </w:rPr>
        <w:lastRenderedPageBreak/>
        <w:t>obvious. The specific goals of this cooperation include the construction of affordable housing, helping enterprises start their businesses, and providing high-speed internet in rural areas. Many participants tried to describe the problem or reach a consensus. An important result of cooperation may be to create new standards for the success of economic development. Working together means exploring how intellectual efforts (such as mobilizing everyone's creativity) can create value for the community.</w:t>
      </w:r>
    </w:p>
    <w:p w14:paraId="3C7A3697" w14:textId="2F0FB471" w:rsidR="005B3663" w:rsidRPr="005B3663" w:rsidRDefault="005B3663" w:rsidP="00E508A3">
      <w:pPr>
        <w:spacing w:line="480" w:lineRule="auto"/>
        <w:rPr>
          <w:rFonts w:ascii="Times New Roman" w:hAnsi="Times New Roman" w:cs="Times New Roman"/>
          <w:b/>
          <w:bCs/>
          <w:sz w:val="24"/>
          <w:szCs w:val="24"/>
        </w:rPr>
      </w:pPr>
      <w:r w:rsidRPr="005B3663">
        <w:rPr>
          <w:rFonts w:ascii="Times New Roman" w:hAnsi="Times New Roman" w:cs="Times New Roman"/>
          <w:b/>
          <w:bCs/>
          <w:sz w:val="24"/>
          <w:szCs w:val="24"/>
        </w:rPr>
        <w:t>Body</w:t>
      </w:r>
    </w:p>
    <w:p w14:paraId="5DE01843" w14:textId="18B9BC3C" w:rsidR="001A53E3" w:rsidRDefault="00A22B0D" w:rsidP="00E508A3">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Pr="00E508A3">
        <w:rPr>
          <w:rFonts w:ascii="Times New Roman" w:hAnsi="Times New Roman" w:cs="Times New Roman"/>
          <w:sz w:val="24"/>
          <w:szCs w:val="24"/>
        </w:rPr>
        <w:t>New ideas can help your company stand out. In the face of fierce competition for resources, organizations must stand out to survive.</w:t>
      </w:r>
      <w:r>
        <w:rPr>
          <w:rFonts w:ascii="Times New Roman" w:hAnsi="Times New Roman" w:cs="Times New Roman"/>
          <w:sz w:val="24"/>
          <w:szCs w:val="24"/>
        </w:rPr>
        <w:t xml:space="preserve"> </w:t>
      </w:r>
      <w:r w:rsidRPr="001A53E3">
        <w:rPr>
          <w:rFonts w:ascii="Times New Roman" w:hAnsi="Times New Roman" w:cs="Times New Roman"/>
          <w:sz w:val="24"/>
          <w:szCs w:val="24"/>
        </w:rPr>
        <w:t>Ideas are the process of developing and communicating illustrative ideas with others, usually in a business environment. Describe the thought sequence from the first concept to realization. Ideas may come from past or present knowledge, external influences, opinions, beliefs. Or principle. The idea can be expressed graphically, written, or verbally.</w:t>
      </w:r>
      <w:r>
        <w:rPr>
          <w:rFonts w:ascii="Times New Roman" w:hAnsi="Times New Roman" w:cs="Times New Roman"/>
          <w:sz w:val="24"/>
          <w:szCs w:val="24"/>
        </w:rPr>
        <w:t xml:space="preserve"> </w:t>
      </w:r>
      <w:r w:rsidRPr="001A53E3">
        <w:rPr>
          <w:rFonts w:ascii="Times New Roman" w:hAnsi="Times New Roman" w:cs="Times New Roman"/>
          <w:sz w:val="24"/>
          <w:szCs w:val="24"/>
        </w:rPr>
        <w:t xml:space="preserve">In short, ideation or brainstorming is the literal act of creating ideas from concept to application and realization in the real world. The idea and conception process can come from anyone indirectly or directly related to the company or organization, including low-level employees and managers, customers, partners, and stakeholders. Realistic ideas can be the result of brainstorming, online forums, seminars, team-building exercises, surveys, and social media platforms. Creativity is a key element of a company's success. Initially, Google encouraged employees to spend up to 20% of their time thinking about new ideas that fascinated them and might solve practical problems. By focusing on creativity, companies can innovate or remain competitive by increasing the likelihood of new product launches, increased customer loyalty, and excellent financial profitability. The point is that when employees spend 100% of their time at work, they don't have time to think about new strategies or products that can be developed or </w:t>
      </w:r>
      <w:r w:rsidRPr="001A53E3">
        <w:rPr>
          <w:rFonts w:ascii="Times New Roman" w:hAnsi="Times New Roman" w:cs="Times New Roman"/>
          <w:sz w:val="24"/>
          <w:szCs w:val="24"/>
        </w:rPr>
        <w:lastRenderedPageBreak/>
        <w:t>improved.</w:t>
      </w:r>
      <w:r w:rsidR="007F0048">
        <w:rPr>
          <w:rFonts w:ascii="Times New Roman" w:hAnsi="Times New Roman" w:cs="Times New Roman"/>
          <w:sz w:val="24"/>
          <w:szCs w:val="24"/>
        </w:rPr>
        <w:t xml:space="preserve"> </w:t>
      </w:r>
      <w:r w:rsidRPr="001A53E3">
        <w:rPr>
          <w:rFonts w:ascii="Times New Roman" w:hAnsi="Times New Roman" w:cs="Times New Roman"/>
          <w:sz w:val="24"/>
          <w:szCs w:val="24"/>
        </w:rPr>
        <w:t xml:space="preserve">Even though the idea generation does not </w:t>
      </w:r>
      <w:r>
        <w:rPr>
          <w:rFonts w:ascii="Times New Roman" w:hAnsi="Times New Roman" w:cs="Times New Roman"/>
          <w:sz w:val="24"/>
          <w:szCs w:val="24"/>
        </w:rPr>
        <w:t>necessarily</w:t>
      </w:r>
      <w:r w:rsidRPr="001A53E3">
        <w:rPr>
          <w:rFonts w:ascii="Times New Roman" w:hAnsi="Times New Roman" w:cs="Times New Roman"/>
          <w:sz w:val="24"/>
          <w:szCs w:val="24"/>
        </w:rPr>
        <w:t xml:space="preserve"> need to follow a single model, employees can follow some general guidelines to maximize the effectiveness of ideas and the solutions they generate. Instead, develop ideas in the reverse order to solve the problems that arise. Therefore, it is important to first clearly define the problem and understand its main driving factors, such as industry trends, business environment, customer needs, budget constraints, and other reasons. Once the main pain points and their root causes are identified, brainstorming sessions and other collaborative efforts can be initiated to collect potential ideas and find possible solutions to new problems. This kind of collaboration must be combined with the thinking process of the left and right hemispheres of the brain because many problems require creative and pragmatic methods to find feasible solutions.</w:t>
      </w:r>
    </w:p>
    <w:p w14:paraId="2876FA5A" w14:textId="088A264D" w:rsidR="007F0048" w:rsidRDefault="00A22B0D" w:rsidP="00E508A3">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Pr="007F0048">
        <w:rPr>
          <w:rFonts w:ascii="Times New Roman" w:hAnsi="Times New Roman" w:cs="Times New Roman"/>
          <w:sz w:val="24"/>
          <w:szCs w:val="24"/>
        </w:rPr>
        <w:t>Regardless of whether the company is a new company or an established company, all employees are responsible for operating the business. Implementation is the process of implementing a plan or policy to make the concept a reality. To successfully execute the plan, managers need to communicate clear goals and expectations and provide employees with the resources needed to help the company achieve its goals.</w:t>
      </w:r>
      <w:r>
        <w:rPr>
          <w:rFonts w:ascii="Times New Roman" w:hAnsi="Times New Roman" w:cs="Times New Roman"/>
          <w:sz w:val="24"/>
          <w:szCs w:val="24"/>
        </w:rPr>
        <w:t xml:space="preserve"> </w:t>
      </w:r>
      <w:r w:rsidRPr="007F0048">
        <w:rPr>
          <w:rFonts w:ascii="Times New Roman" w:hAnsi="Times New Roman" w:cs="Times New Roman"/>
          <w:sz w:val="24"/>
          <w:szCs w:val="24"/>
        </w:rPr>
        <w:t>The implementation of the plan will result in changes designed to help improve the company or solve problems. Guidelines, management structure, organizational development, budgets, processes, products, or services may change. Because the status quo will affect the business. Changes can help improve the work environment and/or the quality of customer service.</w:t>
      </w:r>
      <w:r>
        <w:rPr>
          <w:rFonts w:ascii="Times New Roman" w:hAnsi="Times New Roman" w:cs="Times New Roman"/>
          <w:sz w:val="24"/>
          <w:szCs w:val="24"/>
        </w:rPr>
        <w:t xml:space="preserve"> Moreover, </w:t>
      </w:r>
      <w:r w:rsidRPr="007F0048">
        <w:rPr>
          <w:rFonts w:ascii="Times New Roman" w:hAnsi="Times New Roman" w:cs="Times New Roman"/>
          <w:sz w:val="24"/>
          <w:szCs w:val="24"/>
        </w:rPr>
        <w:t>the implementation of the plan will result in changes designed to help improve the company or solve problems. Guidelines, management structure, organizational development, budgets, processes, products, or services may change. Because the status quo will affect the business. Changes can help improve the work environment and/or the quality of customer service.</w:t>
      </w:r>
      <w:r>
        <w:rPr>
          <w:rFonts w:ascii="Times New Roman" w:hAnsi="Times New Roman" w:cs="Times New Roman"/>
          <w:sz w:val="24"/>
          <w:szCs w:val="24"/>
        </w:rPr>
        <w:t xml:space="preserve"> Finally, b</w:t>
      </w:r>
      <w:r w:rsidRPr="007F0048">
        <w:rPr>
          <w:rFonts w:ascii="Times New Roman" w:hAnsi="Times New Roman" w:cs="Times New Roman"/>
          <w:sz w:val="24"/>
          <w:szCs w:val="24"/>
        </w:rPr>
        <w:t xml:space="preserve">usiness implementation is </w:t>
      </w:r>
      <w:r w:rsidRPr="007F0048">
        <w:rPr>
          <w:rFonts w:ascii="Times New Roman" w:hAnsi="Times New Roman" w:cs="Times New Roman"/>
          <w:sz w:val="24"/>
          <w:szCs w:val="24"/>
        </w:rPr>
        <w:lastRenderedPageBreak/>
        <w:t>important for driving the business forward, because the importance of implementing the plan cannot be underestimated. If a company does not execute and execute its strategy correctly, it will not move forward or grow. According to the introduction on the Business Balls website, the implementation and implementation of a successful plan must have "motivation guidance", an action plan, and "performance management".</w:t>
      </w:r>
    </w:p>
    <w:p w14:paraId="36EC03E2" w14:textId="44C25546" w:rsidR="005B3663" w:rsidRPr="005B3663" w:rsidRDefault="005B3663" w:rsidP="00E508A3">
      <w:pPr>
        <w:spacing w:line="480" w:lineRule="auto"/>
        <w:rPr>
          <w:rFonts w:ascii="Times New Roman" w:hAnsi="Times New Roman" w:cs="Times New Roman"/>
          <w:b/>
          <w:bCs/>
          <w:sz w:val="24"/>
          <w:szCs w:val="24"/>
        </w:rPr>
      </w:pPr>
      <w:r w:rsidRPr="005B3663">
        <w:rPr>
          <w:rFonts w:ascii="Times New Roman" w:hAnsi="Times New Roman" w:cs="Times New Roman"/>
          <w:b/>
          <w:bCs/>
          <w:sz w:val="24"/>
          <w:szCs w:val="24"/>
        </w:rPr>
        <w:t>Conclusion</w:t>
      </w:r>
    </w:p>
    <w:p w14:paraId="6B3B00C7" w14:textId="65E93333" w:rsidR="007F0048" w:rsidRDefault="00A22B0D" w:rsidP="00E508A3">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Pr="007F0048">
        <w:rPr>
          <w:rFonts w:ascii="Times New Roman" w:hAnsi="Times New Roman" w:cs="Times New Roman"/>
          <w:sz w:val="24"/>
          <w:szCs w:val="24"/>
        </w:rPr>
        <w:t xml:space="preserve">If your new idea does not add value, then you will not innovate. The organization should implement the ideas and plans that are proven to be the most effective in bringing value to stakeholders. In the past year, the failure rate of established companies has soared. However, some companies continue to achieve great success despite all measures. financial crisis. These companies can thrive because they can effectively deliver products that consumers value. The purpose of innovation is to create value for the company. This value can be defined in several ways, such as B. By gradually improving existing products, creating new products and services, or reducing costs. Companies want to create value because they survive, grow and become competitive in a constantly changing market. They quickly depend on whether they innovate effectively. Many companies create experimental brands, joint ventures, or co-branding. This allows them to freely try new ideas and create value without damaging the established brand. The Toyota Scion brand is an example of an experimental brand. Langdon Morris used Toyota's Scion as an example at the seminar "Creating an Innovation Culture in Community Development Organizations" at the Innovation Lab Conference. Toyota uses four state-of-the-art tools to innovate and has helped turn ideas into value. These tools are requirement identification, framework, creative combination, and prototyping. Look for new opportunities. To understand </w:t>
      </w:r>
      <w:r w:rsidRPr="007F0048">
        <w:rPr>
          <w:rFonts w:ascii="Times New Roman" w:hAnsi="Times New Roman" w:cs="Times New Roman"/>
          <w:sz w:val="24"/>
          <w:szCs w:val="24"/>
        </w:rPr>
        <w:lastRenderedPageBreak/>
        <w:t>the quality of customer service, researchers look for customer service vulnerabilities, because these vulnerabilities may present opportunities.</w:t>
      </w:r>
    </w:p>
    <w:p w14:paraId="3E5E23DD" w14:textId="6E4E2DED" w:rsidR="00111C6B" w:rsidRDefault="00111C6B" w:rsidP="00E508A3">
      <w:pPr>
        <w:spacing w:line="480" w:lineRule="auto"/>
        <w:rPr>
          <w:rFonts w:ascii="Times New Roman" w:hAnsi="Times New Roman" w:cs="Times New Roman"/>
          <w:sz w:val="24"/>
          <w:szCs w:val="24"/>
        </w:rPr>
      </w:pPr>
    </w:p>
    <w:p w14:paraId="4844D296" w14:textId="134F9724" w:rsidR="005B3663" w:rsidRDefault="005B3663" w:rsidP="00E508A3">
      <w:pPr>
        <w:spacing w:line="480" w:lineRule="auto"/>
        <w:rPr>
          <w:rFonts w:ascii="Times New Roman" w:hAnsi="Times New Roman" w:cs="Times New Roman"/>
          <w:sz w:val="24"/>
          <w:szCs w:val="24"/>
        </w:rPr>
      </w:pPr>
    </w:p>
    <w:p w14:paraId="6F6600F7" w14:textId="373FE91C" w:rsidR="005B3663" w:rsidRDefault="005B3663" w:rsidP="00E508A3">
      <w:pPr>
        <w:spacing w:line="480" w:lineRule="auto"/>
        <w:rPr>
          <w:rFonts w:ascii="Times New Roman" w:hAnsi="Times New Roman" w:cs="Times New Roman"/>
          <w:sz w:val="24"/>
          <w:szCs w:val="24"/>
        </w:rPr>
      </w:pPr>
    </w:p>
    <w:p w14:paraId="29DEA7DF" w14:textId="5DDAE18A" w:rsidR="005B3663" w:rsidRDefault="005B3663" w:rsidP="00E508A3">
      <w:pPr>
        <w:spacing w:line="480" w:lineRule="auto"/>
        <w:rPr>
          <w:rFonts w:ascii="Times New Roman" w:hAnsi="Times New Roman" w:cs="Times New Roman"/>
          <w:sz w:val="24"/>
          <w:szCs w:val="24"/>
        </w:rPr>
      </w:pPr>
    </w:p>
    <w:p w14:paraId="310B4892" w14:textId="18EBCFED" w:rsidR="005B3663" w:rsidRDefault="005B3663" w:rsidP="00E508A3">
      <w:pPr>
        <w:spacing w:line="480" w:lineRule="auto"/>
        <w:rPr>
          <w:rFonts w:ascii="Times New Roman" w:hAnsi="Times New Roman" w:cs="Times New Roman"/>
          <w:sz w:val="24"/>
          <w:szCs w:val="24"/>
        </w:rPr>
      </w:pPr>
    </w:p>
    <w:p w14:paraId="29946422" w14:textId="3CD22632" w:rsidR="005B3663" w:rsidRDefault="005B3663" w:rsidP="00E508A3">
      <w:pPr>
        <w:spacing w:line="480" w:lineRule="auto"/>
        <w:rPr>
          <w:rFonts w:ascii="Times New Roman" w:hAnsi="Times New Roman" w:cs="Times New Roman"/>
          <w:sz w:val="24"/>
          <w:szCs w:val="24"/>
        </w:rPr>
      </w:pPr>
    </w:p>
    <w:p w14:paraId="65102EB1" w14:textId="38DC3709" w:rsidR="005B3663" w:rsidRDefault="005B3663" w:rsidP="00E508A3">
      <w:pPr>
        <w:spacing w:line="480" w:lineRule="auto"/>
        <w:rPr>
          <w:rFonts w:ascii="Times New Roman" w:hAnsi="Times New Roman" w:cs="Times New Roman"/>
          <w:sz w:val="24"/>
          <w:szCs w:val="24"/>
        </w:rPr>
      </w:pPr>
    </w:p>
    <w:p w14:paraId="73381BF9" w14:textId="4A961924" w:rsidR="005B3663" w:rsidRDefault="005B3663" w:rsidP="00E508A3">
      <w:pPr>
        <w:spacing w:line="480" w:lineRule="auto"/>
        <w:rPr>
          <w:rFonts w:ascii="Times New Roman" w:hAnsi="Times New Roman" w:cs="Times New Roman"/>
          <w:sz w:val="24"/>
          <w:szCs w:val="24"/>
        </w:rPr>
      </w:pPr>
    </w:p>
    <w:p w14:paraId="7B4F5350" w14:textId="2D3C3114" w:rsidR="005B3663" w:rsidRDefault="005B3663" w:rsidP="00E508A3">
      <w:pPr>
        <w:spacing w:line="480" w:lineRule="auto"/>
        <w:rPr>
          <w:rFonts w:ascii="Times New Roman" w:hAnsi="Times New Roman" w:cs="Times New Roman"/>
          <w:sz w:val="24"/>
          <w:szCs w:val="24"/>
        </w:rPr>
      </w:pPr>
    </w:p>
    <w:p w14:paraId="7933A068" w14:textId="4C9DB54F" w:rsidR="005B3663" w:rsidRDefault="005B3663" w:rsidP="00E508A3">
      <w:pPr>
        <w:spacing w:line="480" w:lineRule="auto"/>
        <w:rPr>
          <w:rFonts w:ascii="Times New Roman" w:hAnsi="Times New Roman" w:cs="Times New Roman"/>
          <w:sz w:val="24"/>
          <w:szCs w:val="24"/>
        </w:rPr>
      </w:pPr>
    </w:p>
    <w:p w14:paraId="59417788" w14:textId="3F938275" w:rsidR="005B3663" w:rsidRDefault="005B3663" w:rsidP="00E508A3">
      <w:pPr>
        <w:spacing w:line="480" w:lineRule="auto"/>
        <w:rPr>
          <w:rFonts w:ascii="Times New Roman" w:hAnsi="Times New Roman" w:cs="Times New Roman"/>
          <w:sz w:val="24"/>
          <w:szCs w:val="24"/>
        </w:rPr>
      </w:pPr>
    </w:p>
    <w:p w14:paraId="1900AB7B" w14:textId="49BF5384" w:rsidR="005B3663" w:rsidRDefault="005B3663" w:rsidP="00E508A3">
      <w:pPr>
        <w:spacing w:line="480" w:lineRule="auto"/>
        <w:rPr>
          <w:rFonts w:ascii="Times New Roman" w:hAnsi="Times New Roman" w:cs="Times New Roman"/>
          <w:sz w:val="24"/>
          <w:szCs w:val="24"/>
        </w:rPr>
      </w:pPr>
    </w:p>
    <w:p w14:paraId="4BF3D3E2" w14:textId="64145247" w:rsidR="005B3663" w:rsidRDefault="005B3663" w:rsidP="00E508A3">
      <w:pPr>
        <w:spacing w:line="480" w:lineRule="auto"/>
        <w:rPr>
          <w:rFonts w:ascii="Times New Roman" w:hAnsi="Times New Roman" w:cs="Times New Roman"/>
          <w:sz w:val="24"/>
          <w:szCs w:val="24"/>
        </w:rPr>
      </w:pPr>
    </w:p>
    <w:p w14:paraId="7AA54B13" w14:textId="323E1D93" w:rsidR="005B3663" w:rsidRDefault="005B3663" w:rsidP="00E508A3">
      <w:pPr>
        <w:spacing w:line="480" w:lineRule="auto"/>
        <w:rPr>
          <w:rFonts w:ascii="Times New Roman" w:hAnsi="Times New Roman" w:cs="Times New Roman"/>
          <w:sz w:val="24"/>
          <w:szCs w:val="24"/>
        </w:rPr>
      </w:pPr>
    </w:p>
    <w:p w14:paraId="14016C0B" w14:textId="77777777" w:rsidR="005B3663" w:rsidRDefault="005B3663" w:rsidP="00E508A3">
      <w:pPr>
        <w:spacing w:line="480" w:lineRule="auto"/>
        <w:rPr>
          <w:rFonts w:ascii="Times New Roman" w:hAnsi="Times New Roman" w:cs="Times New Roman"/>
          <w:sz w:val="24"/>
          <w:szCs w:val="24"/>
        </w:rPr>
      </w:pPr>
    </w:p>
    <w:sdt>
      <w:sdtPr>
        <w:rPr>
          <w:rFonts w:asciiTheme="minorHAnsi" w:eastAsiaTheme="minorHAnsi" w:hAnsiTheme="minorHAnsi" w:cstheme="minorBidi"/>
          <w:color w:val="auto"/>
          <w:sz w:val="22"/>
          <w:szCs w:val="22"/>
        </w:rPr>
        <w:id w:val="-840854189"/>
        <w:docPartObj>
          <w:docPartGallery w:val="Bibliographies"/>
          <w:docPartUnique/>
        </w:docPartObj>
      </w:sdtPr>
      <w:sdtEndPr/>
      <w:sdtContent>
        <w:p w14:paraId="7D666683" w14:textId="04485BA9" w:rsidR="009D4A94" w:rsidRPr="009D4A94" w:rsidRDefault="009D4A94">
          <w:pPr>
            <w:pStyle w:val="Heading1"/>
            <w:rPr>
              <w:rFonts w:ascii="Times New Roman" w:hAnsi="Times New Roman" w:cs="Times New Roman"/>
              <w:b/>
              <w:bCs/>
              <w:color w:val="auto"/>
              <w:sz w:val="24"/>
              <w:szCs w:val="24"/>
            </w:rPr>
          </w:pPr>
          <w:r w:rsidRPr="009D4A94">
            <w:rPr>
              <w:rFonts w:ascii="Times New Roman" w:hAnsi="Times New Roman" w:cs="Times New Roman"/>
              <w:b/>
              <w:bCs/>
              <w:color w:val="auto"/>
              <w:sz w:val="24"/>
              <w:szCs w:val="24"/>
            </w:rPr>
            <w:t>References</w:t>
          </w:r>
        </w:p>
        <w:sdt>
          <w:sdtPr>
            <w:rPr>
              <w:rFonts w:ascii="Times New Roman" w:hAnsi="Times New Roman" w:cs="Times New Roman"/>
              <w:sz w:val="24"/>
              <w:szCs w:val="24"/>
            </w:rPr>
            <w:id w:val="-573587230"/>
            <w:bibliography/>
          </w:sdtPr>
          <w:sdtEndPr/>
          <w:sdtContent>
            <w:p w14:paraId="4A3836A1" w14:textId="77777777" w:rsidR="005B3663" w:rsidRPr="005B3663" w:rsidRDefault="009D4A94" w:rsidP="005B3663">
              <w:pPr>
                <w:pStyle w:val="Bibliography"/>
                <w:rPr>
                  <w:rFonts w:cstheme="minorHAnsi"/>
                  <w:noProof/>
                </w:rPr>
              </w:pPr>
              <w:r w:rsidRPr="005B3663">
                <w:rPr>
                  <w:rFonts w:cstheme="minorHAnsi"/>
                </w:rPr>
                <w:fldChar w:fldCharType="begin"/>
              </w:r>
              <w:r w:rsidRPr="005B3663">
                <w:rPr>
                  <w:rFonts w:cstheme="minorHAnsi"/>
                </w:rPr>
                <w:instrText xml:space="preserve"> BIBLIOGRAPHY </w:instrText>
              </w:r>
              <w:r w:rsidRPr="005B3663">
                <w:rPr>
                  <w:rFonts w:cstheme="minorHAnsi"/>
                </w:rPr>
                <w:fldChar w:fldCharType="separate"/>
              </w:r>
              <w:r w:rsidR="005B3663" w:rsidRPr="005B3663">
                <w:rPr>
                  <w:rFonts w:cstheme="minorHAnsi"/>
                  <w:noProof/>
                </w:rPr>
                <w:t xml:space="preserve">Baeza, J. D. H. a. R., 2019. </w:t>
              </w:r>
              <w:r w:rsidR="005B3663" w:rsidRPr="005B3663">
                <w:rPr>
                  <w:rFonts w:cstheme="minorHAnsi"/>
                  <w:i/>
                  <w:iCs/>
                  <w:noProof/>
                </w:rPr>
                <w:t xml:space="preserve">Overcoming the Four Big Barriers to Innovation Success. </w:t>
              </w:r>
              <w:r w:rsidR="005B3663" w:rsidRPr="005B3663">
                <w:rPr>
                  <w:rFonts w:cstheme="minorHAnsi"/>
                  <w:noProof/>
                </w:rPr>
                <w:t xml:space="preserve">[Online] </w:t>
              </w:r>
              <w:r w:rsidR="005B3663" w:rsidRPr="005B3663">
                <w:rPr>
                  <w:rFonts w:cstheme="minorHAnsi"/>
                  <w:noProof/>
                </w:rPr>
                <w:br/>
                <w:t xml:space="preserve">Available at: </w:t>
              </w:r>
              <w:r w:rsidR="005B3663" w:rsidRPr="005B3663">
                <w:rPr>
                  <w:rFonts w:cstheme="minorHAnsi"/>
                  <w:noProof/>
                  <w:u w:val="single"/>
                </w:rPr>
                <w:t>https://www.bcg.com/publications/2019/overcoming-four-big-barriers-to-innovation-success</w:t>
              </w:r>
            </w:p>
            <w:p w14:paraId="699489F0" w14:textId="77777777" w:rsidR="005B3663" w:rsidRPr="005B3663" w:rsidRDefault="005B3663" w:rsidP="005B3663">
              <w:pPr>
                <w:pStyle w:val="Bibliography"/>
                <w:rPr>
                  <w:rFonts w:cstheme="minorHAnsi"/>
                  <w:noProof/>
                </w:rPr>
              </w:pPr>
              <w:r w:rsidRPr="005B3663">
                <w:rPr>
                  <w:rFonts w:cstheme="minorHAnsi"/>
                  <w:noProof/>
                </w:rPr>
                <w:t xml:space="preserve">McKiney, 2021. </w:t>
              </w:r>
              <w:r w:rsidRPr="005B3663">
                <w:rPr>
                  <w:rFonts w:cstheme="minorHAnsi"/>
                  <w:i/>
                  <w:iCs/>
                  <w:noProof/>
                </w:rPr>
                <w:t xml:space="preserve">Building workforce skills at scale to thrive during—and after—the COVID-19 crisis. </w:t>
              </w:r>
              <w:r w:rsidRPr="005B3663">
                <w:rPr>
                  <w:rFonts w:cstheme="minorHAnsi"/>
                  <w:noProof/>
                </w:rPr>
                <w:t xml:space="preserve">[Online] </w:t>
              </w:r>
              <w:r w:rsidRPr="005B3663">
                <w:rPr>
                  <w:rFonts w:cstheme="minorHAnsi"/>
                  <w:noProof/>
                </w:rPr>
                <w:br/>
                <w:t xml:space="preserve">Available at: </w:t>
              </w:r>
              <w:r w:rsidRPr="005B3663">
                <w:rPr>
                  <w:rFonts w:cstheme="minorHAnsi"/>
                  <w:noProof/>
                  <w:u w:val="single"/>
                </w:rPr>
                <w:t>https://www.mckinsey.com/business-functions/organization/our-insights/building-workforce-skills-at-scale-to-thrive-during-and-after-the-covid-19-crisis</w:t>
              </w:r>
            </w:p>
            <w:p w14:paraId="027CB906" w14:textId="77777777" w:rsidR="005B3663" w:rsidRPr="005B3663" w:rsidRDefault="005B3663" w:rsidP="005B3663">
              <w:pPr>
                <w:pStyle w:val="Bibliography"/>
                <w:rPr>
                  <w:rFonts w:cstheme="minorHAnsi"/>
                  <w:noProof/>
                </w:rPr>
              </w:pPr>
              <w:r w:rsidRPr="005B3663">
                <w:rPr>
                  <w:rFonts w:cstheme="minorHAnsi"/>
                  <w:noProof/>
                </w:rPr>
                <w:t xml:space="preserve">McKinsey &amp; Company, 2017. </w:t>
              </w:r>
              <w:r w:rsidRPr="005B3663">
                <w:rPr>
                  <w:rFonts w:cstheme="minorHAnsi"/>
                  <w:i/>
                  <w:iCs/>
                  <w:noProof/>
                </w:rPr>
                <w:t xml:space="preserve">Innovating at the speed of the 21st century in pharmaceuticals. </w:t>
              </w:r>
              <w:r w:rsidRPr="005B3663">
                <w:rPr>
                  <w:rFonts w:cstheme="minorHAnsi"/>
                  <w:noProof/>
                </w:rPr>
                <w:t xml:space="preserve">[Online] </w:t>
              </w:r>
              <w:r w:rsidRPr="005B3663">
                <w:rPr>
                  <w:rFonts w:cstheme="minorHAnsi"/>
                  <w:noProof/>
                </w:rPr>
                <w:br/>
                <w:t xml:space="preserve">Available at: </w:t>
              </w:r>
              <w:r w:rsidRPr="005B3663">
                <w:rPr>
                  <w:rFonts w:cstheme="minorHAnsi"/>
                  <w:noProof/>
                  <w:u w:val="single"/>
                </w:rPr>
                <w:t>https://www.mckinsey.com/industries/pharmaceuticals-and-medical-products/our-insights/innovating-at-the-speed-of-the-21st-century-in-pharmaceuticals</w:t>
              </w:r>
            </w:p>
            <w:p w14:paraId="05D2BFD3" w14:textId="77777777" w:rsidR="005B3663" w:rsidRPr="005B3663" w:rsidRDefault="005B3663" w:rsidP="005B3663">
              <w:pPr>
                <w:pStyle w:val="Bibliography"/>
                <w:rPr>
                  <w:rFonts w:cstheme="minorHAnsi"/>
                  <w:noProof/>
                </w:rPr>
              </w:pPr>
              <w:r w:rsidRPr="005B3663">
                <w:rPr>
                  <w:rFonts w:cstheme="minorHAnsi"/>
                  <w:noProof/>
                </w:rPr>
                <w:t xml:space="preserve">McKinsey, 2017. </w:t>
              </w:r>
              <w:r w:rsidRPr="005B3663">
                <w:rPr>
                  <w:rFonts w:cstheme="minorHAnsi"/>
                  <w:i/>
                  <w:iCs/>
                  <w:noProof/>
                </w:rPr>
                <w:t xml:space="preserve">Learning innovation in the digital age. </w:t>
              </w:r>
              <w:r w:rsidRPr="005B3663">
                <w:rPr>
                  <w:rFonts w:cstheme="minorHAnsi"/>
                  <w:noProof/>
                </w:rPr>
                <w:t xml:space="preserve">[Online] </w:t>
              </w:r>
              <w:r w:rsidRPr="005B3663">
                <w:rPr>
                  <w:rFonts w:cstheme="minorHAnsi"/>
                  <w:noProof/>
                </w:rPr>
                <w:br/>
                <w:t xml:space="preserve">Available at: </w:t>
              </w:r>
              <w:r w:rsidRPr="005B3663">
                <w:rPr>
                  <w:rFonts w:cstheme="minorHAnsi"/>
                  <w:noProof/>
                  <w:u w:val="single"/>
                </w:rPr>
                <w:t>https://www.mckinsey.com/business-functions/organization/our-insights/learning-innovation-in-the-digital-age</w:t>
              </w:r>
            </w:p>
            <w:p w14:paraId="0115AE51" w14:textId="77777777" w:rsidR="005B3663" w:rsidRPr="005B3663" w:rsidRDefault="005B3663" w:rsidP="005B3663">
              <w:pPr>
                <w:pStyle w:val="Bibliography"/>
                <w:rPr>
                  <w:rFonts w:cstheme="minorHAnsi"/>
                  <w:noProof/>
                </w:rPr>
              </w:pPr>
              <w:r w:rsidRPr="005B3663">
                <w:rPr>
                  <w:rFonts w:cstheme="minorHAnsi"/>
                  <w:noProof/>
                </w:rPr>
                <w:t xml:space="preserve">Michael Ringel, R. B. R. P. J. D. H., 2020. </w:t>
              </w:r>
              <w:r w:rsidRPr="005B3663">
                <w:rPr>
                  <w:rFonts w:cstheme="minorHAnsi"/>
                  <w:i/>
                  <w:iCs/>
                  <w:noProof/>
                </w:rPr>
                <w:t xml:space="preserve">Tomorrow’s Innovation Leaders Are Made Today. </w:t>
              </w:r>
              <w:r w:rsidRPr="005B3663">
                <w:rPr>
                  <w:rFonts w:cstheme="minorHAnsi"/>
                  <w:noProof/>
                </w:rPr>
                <w:t xml:space="preserve">[Online] </w:t>
              </w:r>
              <w:r w:rsidRPr="005B3663">
                <w:rPr>
                  <w:rFonts w:cstheme="minorHAnsi"/>
                  <w:noProof/>
                </w:rPr>
                <w:br/>
                <w:t xml:space="preserve">Available at: </w:t>
              </w:r>
              <w:r w:rsidRPr="005B3663">
                <w:rPr>
                  <w:rFonts w:cstheme="minorHAnsi"/>
                  <w:noProof/>
                  <w:u w:val="single"/>
                </w:rPr>
                <w:t>https://www.bcg.com/publications/2020/six-moves-for-innovation-during-recovery</w:t>
              </w:r>
            </w:p>
            <w:p w14:paraId="027C2761" w14:textId="3A57FAE2" w:rsidR="005B3663" w:rsidRPr="005B3663" w:rsidRDefault="009D4A94" w:rsidP="005B3663">
              <w:pPr>
                <w:spacing w:line="360" w:lineRule="auto"/>
                <w:rPr>
                  <w:rFonts w:cstheme="minorHAnsi"/>
                </w:rPr>
              </w:pPr>
              <w:r w:rsidRPr="005B3663">
                <w:rPr>
                  <w:rFonts w:cstheme="minorHAnsi"/>
                  <w:b/>
                  <w:bCs/>
                  <w:noProof/>
                </w:rPr>
                <w:fldChar w:fldCharType="end"/>
              </w:r>
              <w:r w:rsidR="005B3663" w:rsidRPr="005B3663">
                <w:rPr>
                  <w:rFonts w:cstheme="minorHAnsi"/>
                </w:rPr>
                <w:t xml:space="preserve"> </w:t>
              </w:r>
              <w:r w:rsidR="005B3663" w:rsidRPr="005B3663">
                <w:rPr>
                  <w:rFonts w:cstheme="minorHAnsi"/>
                </w:rPr>
                <w:t xml:space="preserve">Rothwell R (1994) Towards the fifth-generation innovation process. International Marketing Review. 11(7): 7-31. </w:t>
              </w:r>
            </w:p>
            <w:p w14:paraId="6FFF69E2" w14:textId="77777777" w:rsidR="005B3663" w:rsidRPr="005B3663" w:rsidRDefault="005B3663" w:rsidP="005B3663">
              <w:pPr>
                <w:spacing w:line="360" w:lineRule="auto"/>
                <w:rPr>
                  <w:rFonts w:cstheme="minorHAnsi"/>
                </w:rPr>
              </w:pPr>
              <w:r w:rsidRPr="005B3663">
                <w:rPr>
                  <w:rFonts w:cstheme="minorHAnsi"/>
                </w:rPr>
                <w:t xml:space="preserve">Staudt E, </w:t>
              </w:r>
              <w:proofErr w:type="spellStart"/>
              <w:r w:rsidRPr="005B3663">
                <w:rPr>
                  <w:rFonts w:cstheme="minorHAnsi"/>
                </w:rPr>
                <w:t>Auffermann</w:t>
              </w:r>
              <w:proofErr w:type="spellEnd"/>
              <w:r w:rsidRPr="005B3663">
                <w:rPr>
                  <w:rFonts w:cstheme="minorHAnsi"/>
                </w:rPr>
                <w:t xml:space="preserve"> S (1999) Der </w:t>
              </w:r>
              <w:proofErr w:type="spellStart"/>
              <w:r w:rsidRPr="005B3663">
                <w:rPr>
                  <w:rFonts w:cstheme="minorHAnsi"/>
                </w:rPr>
                <w:t>Innovationsprozess</w:t>
              </w:r>
              <w:proofErr w:type="spellEnd"/>
              <w:r w:rsidRPr="005B3663">
                <w:rPr>
                  <w:rFonts w:cstheme="minorHAnsi"/>
                </w:rPr>
                <w:t xml:space="preserve"> </w:t>
              </w:r>
              <w:proofErr w:type="spellStart"/>
              <w:r w:rsidRPr="005B3663">
                <w:rPr>
                  <w:rFonts w:cstheme="minorHAnsi"/>
                </w:rPr>
                <w:t>im</w:t>
              </w:r>
              <w:proofErr w:type="spellEnd"/>
              <w:r w:rsidRPr="005B3663">
                <w:rPr>
                  <w:rFonts w:cstheme="minorHAnsi"/>
                </w:rPr>
                <w:t xml:space="preserve"> </w:t>
              </w:r>
              <w:proofErr w:type="spellStart"/>
              <w:r w:rsidRPr="005B3663">
                <w:rPr>
                  <w:rFonts w:cstheme="minorHAnsi"/>
                </w:rPr>
                <w:t>Unternehmen</w:t>
              </w:r>
              <w:proofErr w:type="spellEnd"/>
              <w:r w:rsidRPr="005B3663">
                <w:rPr>
                  <w:rFonts w:cstheme="minorHAnsi"/>
                </w:rPr>
                <w:t xml:space="preserve">. </w:t>
              </w:r>
              <w:proofErr w:type="spellStart"/>
              <w:r w:rsidRPr="005B3663">
                <w:rPr>
                  <w:rFonts w:cstheme="minorHAnsi"/>
                </w:rPr>
                <w:t>Institut</w:t>
              </w:r>
              <w:proofErr w:type="spellEnd"/>
              <w:r w:rsidRPr="005B3663">
                <w:rPr>
                  <w:rFonts w:cstheme="minorHAnsi"/>
                </w:rPr>
                <w:t xml:space="preserve"> </w:t>
              </w:r>
              <w:proofErr w:type="spellStart"/>
              <w:r w:rsidRPr="005B3663">
                <w:rPr>
                  <w:rFonts w:cstheme="minorHAnsi"/>
                </w:rPr>
                <w:t>Für</w:t>
              </w:r>
              <w:proofErr w:type="spellEnd"/>
              <w:r w:rsidRPr="005B3663">
                <w:rPr>
                  <w:rFonts w:cstheme="minorHAnsi"/>
                </w:rPr>
                <w:t xml:space="preserve"> </w:t>
              </w:r>
              <w:proofErr w:type="spellStart"/>
              <w:r w:rsidRPr="005B3663">
                <w:rPr>
                  <w:rFonts w:cstheme="minorHAnsi"/>
                </w:rPr>
                <w:t>Angewandte</w:t>
              </w:r>
              <w:proofErr w:type="spellEnd"/>
              <w:r w:rsidRPr="005B3663">
                <w:rPr>
                  <w:rFonts w:cstheme="minorHAnsi"/>
                </w:rPr>
                <w:t xml:space="preserve"> </w:t>
              </w:r>
              <w:proofErr w:type="spellStart"/>
              <w:r w:rsidRPr="005B3663">
                <w:rPr>
                  <w:rFonts w:cstheme="minorHAnsi"/>
                </w:rPr>
                <w:t>Innovationsforschung</w:t>
              </w:r>
              <w:proofErr w:type="spellEnd"/>
              <w:r w:rsidRPr="005B3663">
                <w:rPr>
                  <w:rFonts w:cstheme="minorHAnsi"/>
                </w:rPr>
                <w:t xml:space="preserve"> </w:t>
              </w:r>
              <w:proofErr w:type="spellStart"/>
              <w:r w:rsidRPr="005B3663">
                <w:rPr>
                  <w:rFonts w:cstheme="minorHAnsi"/>
                </w:rPr>
                <w:t>Ev</w:t>
              </w:r>
              <w:proofErr w:type="spellEnd"/>
              <w:r w:rsidRPr="005B3663">
                <w:rPr>
                  <w:rFonts w:cstheme="minorHAnsi"/>
                </w:rPr>
                <w:t>.: 1-85.</w:t>
              </w:r>
            </w:p>
            <w:p w14:paraId="348E0568" w14:textId="77777777" w:rsidR="005B3663" w:rsidRPr="005B3663" w:rsidRDefault="005B3663" w:rsidP="005B3663">
              <w:pPr>
                <w:spacing w:line="360" w:lineRule="auto"/>
                <w:rPr>
                  <w:rFonts w:cstheme="minorHAnsi"/>
                </w:rPr>
              </w:pPr>
              <w:proofErr w:type="spellStart"/>
              <w:r w:rsidRPr="005B3663">
                <w:rPr>
                  <w:rFonts w:cstheme="minorHAnsi"/>
                </w:rPr>
                <w:t>Schewe</w:t>
              </w:r>
              <w:proofErr w:type="spellEnd"/>
              <w:r w:rsidRPr="005B3663">
                <w:rPr>
                  <w:rFonts w:cstheme="minorHAnsi"/>
                </w:rPr>
                <w:t xml:space="preserve"> G, Becker S (2008) </w:t>
              </w:r>
              <w:proofErr w:type="spellStart"/>
              <w:r w:rsidRPr="005B3663">
                <w:rPr>
                  <w:rFonts w:cstheme="minorHAnsi"/>
                </w:rPr>
                <w:t>Innovationen</w:t>
              </w:r>
              <w:proofErr w:type="spellEnd"/>
              <w:r w:rsidRPr="005B3663">
                <w:rPr>
                  <w:rFonts w:cstheme="minorHAnsi"/>
                </w:rPr>
                <w:t xml:space="preserve"> </w:t>
              </w:r>
              <w:proofErr w:type="spellStart"/>
              <w:r w:rsidRPr="005B3663">
                <w:rPr>
                  <w:rFonts w:cstheme="minorHAnsi"/>
                </w:rPr>
                <w:t>für</w:t>
              </w:r>
              <w:proofErr w:type="spellEnd"/>
              <w:r w:rsidRPr="005B3663">
                <w:rPr>
                  <w:rFonts w:cstheme="minorHAnsi"/>
                </w:rPr>
                <w:t xml:space="preserve"> den </w:t>
              </w:r>
              <w:proofErr w:type="spellStart"/>
              <w:r w:rsidRPr="005B3663">
                <w:rPr>
                  <w:rFonts w:cstheme="minorHAnsi"/>
                </w:rPr>
                <w:t>Mittelstand</w:t>
              </w:r>
              <w:proofErr w:type="spellEnd"/>
              <w:r w:rsidRPr="005B3663">
                <w:rPr>
                  <w:rFonts w:cstheme="minorHAnsi"/>
                </w:rPr>
                <w:t xml:space="preserve">: Ein </w:t>
              </w:r>
              <w:proofErr w:type="spellStart"/>
              <w:r w:rsidRPr="005B3663">
                <w:rPr>
                  <w:rFonts w:cstheme="minorHAnsi"/>
                </w:rPr>
                <w:t>prozessorientierter</w:t>
              </w:r>
              <w:proofErr w:type="spellEnd"/>
              <w:r w:rsidRPr="005B3663">
                <w:rPr>
                  <w:rFonts w:cstheme="minorHAnsi"/>
                </w:rPr>
                <w:t xml:space="preserve"> </w:t>
              </w:r>
              <w:proofErr w:type="spellStart"/>
              <w:r w:rsidRPr="005B3663">
                <w:rPr>
                  <w:rFonts w:cstheme="minorHAnsi"/>
                </w:rPr>
                <w:t>Leitfaden</w:t>
              </w:r>
              <w:proofErr w:type="spellEnd"/>
              <w:r w:rsidRPr="005B3663">
                <w:rPr>
                  <w:rFonts w:cstheme="minorHAnsi"/>
                </w:rPr>
                <w:t xml:space="preserve"> </w:t>
              </w:r>
              <w:proofErr w:type="spellStart"/>
              <w:r w:rsidRPr="005B3663">
                <w:rPr>
                  <w:rFonts w:cstheme="minorHAnsi"/>
                </w:rPr>
                <w:t>für</w:t>
              </w:r>
              <w:proofErr w:type="spellEnd"/>
              <w:r w:rsidRPr="005B3663">
                <w:rPr>
                  <w:rFonts w:cstheme="minorHAnsi"/>
                </w:rPr>
                <w:t xml:space="preserve"> KMU. Wiesbaden: Gabler Verlag. 191p. </w:t>
              </w:r>
            </w:p>
            <w:p w14:paraId="47722C64" w14:textId="77777777" w:rsidR="005B3663" w:rsidRPr="005B3663" w:rsidRDefault="005B3663" w:rsidP="005B3663">
              <w:pPr>
                <w:spacing w:line="360" w:lineRule="auto"/>
                <w:rPr>
                  <w:rFonts w:cstheme="minorHAnsi"/>
                </w:rPr>
              </w:pPr>
              <w:proofErr w:type="spellStart"/>
              <w:r w:rsidRPr="005B3663">
                <w:rPr>
                  <w:rFonts w:cstheme="minorHAnsi"/>
                </w:rPr>
                <w:t>Vlček</w:t>
              </w:r>
              <w:proofErr w:type="spellEnd"/>
              <w:r w:rsidRPr="005B3663">
                <w:rPr>
                  <w:rFonts w:cstheme="minorHAnsi"/>
                </w:rPr>
                <w:t xml:space="preserve"> R (2011) </w:t>
              </w:r>
              <w:proofErr w:type="spellStart"/>
              <w:r w:rsidRPr="005B3663">
                <w:rPr>
                  <w:rFonts w:cstheme="minorHAnsi"/>
                </w:rPr>
                <w:t>Strategie</w:t>
              </w:r>
              <w:proofErr w:type="spellEnd"/>
              <w:r w:rsidRPr="005B3663">
                <w:rPr>
                  <w:rFonts w:cstheme="minorHAnsi"/>
                </w:rPr>
                <w:t xml:space="preserve"> </w:t>
              </w:r>
              <w:proofErr w:type="spellStart"/>
              <w:r w:rsidRPr="005B3663">
                <w:rPr>
                  <w:rFonts w:cstheme="minorHAnsi"/>
                </w:rPr>
                <w:t>hodnotových</w:t>
              </w:r>
              <w:proofErr w:type="spellEnd"/>
              <w:r w:rsidRPr="005B3663">
                <w:rPr>
                  <w:rFonts w:cstheme="minorHAnsi"/>
                </w:rPr>
                <w:t xml:space="preserve"> </w:t>
              </w:r>
              <w:proofErr w:type="spellStart"/>
              <w:r w:rsidRPr="005B3663">
                <w:rPr>
                  <w:rFonts w:cstheme="minorHAnsi"/>
                </w:rPr>
                <w:t>inovací</w:t>
              </w:r>
              <w:proofErr w:type="spellEnd"/>
              <w:r w:rsidRPr="005B3663">
                <w:rPr>
                  <w:rFonts w:cstheme="minorHAnsi"/>
                </w:rPr>
                <w:t xml:space="preserve">: </w:t>
              </w:r>
              <w:proofErr w:type="spellStart"/>
              <w:r w:rsidRPr="005B3663">
                <w:rPr>
                  <w:rFonts w:cstheme="minorHAnsi"/>
                </w:rPr>
                <w:t>Tvorba</w:t>
              </w:r>
              <w:proofErr w:type="spellEnd"/>
              <w:r w:rsidRPr="005B3663">
                <w:rPr>
                  <w:rFonts w:cstheme="minorHAnsi"/>
                </w:rPr>
                <w:t xml:space="preserve">, </w:t>
              </w:r>
              <w:proofErr w:type="spellStart"/>
              <w:r w:rsidRPr="005B3663">
                <w:rPr>
                  <w:rFonts w:cstheme="minorHAnsi"/>
                </w:rPr>
                <w:t>rozvoj</w:t>
              </w:r>
              <w:proofErr w:type="spellEnd"/>
              <w:r w:rsidRPr="005B3663">
                <w:rPr>
                  <w:rFonts w:cstheme="minorHAnsi"/>
                </w:rPr>
                <w:t xml:space="preserve"> a </w:t>
              </w:r>
              <w:proofErr w:type="spellStart"/>
              <w:r w:rsidRPr="005B3663">
                <w:rPr>
                  <w:rFonts w:cstheme="minorHAnsi"/>
                </w:rPr>
                <w:t>měřitelnost</w:t>
              </w:r>
              <w:proofErr w:type="spellEnd"/>
              <w:r w:rsidRPr="005B3663">
                <w:rPr>
                  <w:rFonts w:cstheme="minorHAnsi"/>
                </w:rPr>
                <w:t xml:space="preserve"> </w:t>
              </w:r>
              <w:proofErr w:type="spellStart"/>
              <w:r w:rsidRPr="005B3663">
                <w:rPr>
                  <w:rFonts w:cstheme="minorHAnsi"/>
                </w:rPr>
                <w:t>inovací</w:t>
              </w:r>
              <w:proofErr w:type="spellEnd"/>
              <w:r w:rsidRPr="005B3663">
                <w:rPr>
                  <w:rFonts w:cstheme="minorHAnsi"/>
                </w:rPr>
                <w:t>. Praha: Professional Publishing. 196p.</w:t>
              </w:r>
            </w:p>
            <w:p w14:paraId="021DC85B" w14:textId="77777777" w:rsidR="005B3663" w:rsidRPr="005B3663" w:rsidRDefault="005B3663" w:rsidP="005B3663">
              <w:pPr>
                <w:rPr>
                  <w:rFonts w:cstheme="minorHAnsi"/>
                </w:rPr>
              </w:pPr>
              <w:r w:rsidRPr="005B3663">
                <w:rPr>
                  <w:rFonts w:cstheme="minorHAnsi"/>
                </w:rPr>
                <w:t xml:space="preserve">Moss KR (1989) Swimming in new streams: mastering innovation dilemmas. California </w:t>
              </w:r>
            </w:p>
            <w:p w14:paraId="4B9BFE3C" w14:textId="77777777" w:rsidR="005B3663" w:rsidRPr="005B3663" w:rsidRDefault="005B3663" w:rsidP="005B3663">
              <w:pPr>
                <w:spacing w:line="360" w:lineRule="auto"/>
                <w:rPr>
                  <w:rFonts w:cstheme="minorHAnsi"/>
                </w:rPr>
              </w:pPr>
              <w:r w:rsidRPr="005B3663">
                <w:rPr>
                  <w:rFonts w:cstheme="minorHAnsi"/>
                </w:rPr>
                <w:t>Management Review. 31(4): 45-69.</w:t>
              </w:r>
            </w:p>
            <w:p w14:paraId="5C77B124" w14:textId="3A751FF6" w:rsidR="009D4A94" w:rsidRDefault="008206C0" w:rsidP="005B3663"/>
          </w:sdtContent>
        </w:sdt>
      </w:sdtContent>
    </w:sdt>
    <w:p w14:paraId="45D2AAEB" w14:textId="77777777" w:rsidR="00111C6B" w:rsidRPr="00111C6B" w:rsidRDefault="00111C6B" w:rsidP="00E508A3">
      <w:pPr>
        <w:spacing w:line="480" w:lineRule="auto"/>
        <w:rPr>
          <w:rFonts w:ascii="Times New Roman" w:hAnsi="Times New Roman" w:cs="Times New Roman"/>
          <w:b/>
          <w:bCs/>
          <w:sz w:val="24"/>
          <w:szCs w:val="24"/>
        </w:rPr>
      </w:pPr>
    </w:p>
    <w:sectPr w:rsidR="00111C6B" w:rsidRPr="00111C6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538057" w14:textId="77777777" w:rsidR="008206C0" w:rsidRDefault="008206C0" w:rsidP="00F05D06">
      <w:pPr>
        <w:spacing w:after="0" w:line="240" w:lineRule="auto"/>
      </w:pPr>
      <w:r>
        <w:separator/>
      </w:r>
    </w:p>
  </w:endnote>
  <w:endnote w:type="continuationSeparator" w:id="0">
    <w:p w14:paraId="278EBADB" w14:textId="77777777" w:rsidR="008206C0" w:rsidRDefault="008206C0" w:rsidP="00F05D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3C0B2" w14:textId="77777777" w:rsidR="008206C0" w:rsidRDefault="008206C0" w:rsidP="00F05D06">
      <w:pPr>
        <w:spacing w:after="0" w:line="240" w:lineRule="auto"/>
      </w:pPr>
      <w:r>
        <w:separator/>
      </w:r>
    </w:p>
  </w:footnote>
  <w:footnote w:type="continuationSeparator" w:id="0">
    <w:p w14:paraId="64883E61" w14:textId="77777777" w:rsidR="008206C0" w:rsidRDefault="008206C0" w:rsidP="00F05D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FCAD2" w14:textId="1285EF4D" w:rsidR="005B3663" w:rsidRDefault="005B3663" w:rsidP="005B3663">
    <w:pPr>
      <w:pStyle w:val="Header"/>
      <w:jc w:val="right"/>
    </w:pPr>
    <w:r>
      <w:fldChar w:fldCharType="begin"/>
    </w:r>
    <w:r>
      <w:instrText xml:space="preserve"> PAGE   \* MERGEFORMAT </w:instrText>
    </w:r>
    <w:r>
      <w:fldChar w:fldCharType="separate"/>
    </w:r>
    <w:r>
      <w:rPr>
        <w:noProof/>
      </w:rPr>
      <w:t>1</w:t>
    </w:r>
    <w:r>
      <w:rPr>
        <w:noProof/>
      </w:rPr>
      <w:fldChar w:fldCharType="end"/>
    </w:r>
  </w:p>
  <w:p w14:paraId="5D0F2E2B" w14:textId="77777777" w:rsidR="005B3663" w:rsidRDefault="005B36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8A3"/>
    <w:rsid w:val="00111C6B"/>
    <w:rsid w:val="001A53E3"/>
    <w:rsid w:val="0051173D"/>
    <w:rsid w:val="005B3663"/>
    <w:rsid w:val="007F0048"/>
    <w:rsid w:val="008206C0"/>
    <w:rsid w:val="009D4A94"/>
    <w:rsid w:val="00A22B0D"/>
    <w:rsid w:val="00C31DA0"/>
    <w:rsid w:val="00E508A3"/>
    <w:rsid w:val="00EE4E87"/>
    <w:rsid w:val="00F05D06"/>
    <w:rsid w:val="00F811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FA490"/>
  <w15:chartTrackingRefBased/>
  <w15:docId w15:val="{73E68847-1818-40FD-9230-E52793C9B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D4A9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4A94"/>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9D4A94"/>
  </w:style>
  <w:style w:type="paragraph" w:styleId="Header">
    <w:name w:val="header"/>
    <w:basedOn w:val="Normal"/>
    <w:link w:val="HeaderChar"/>
    <w:uiPriority w:val="99"/>
    <w:unhideWhenUsed/>
    <w:rsid w:val="00F05D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5D06"/>
  </w:style>
  <w:style w:type="paragraph" w:styleId="Footer">
    <w:name w:val="footer"/>
    <w:basedOn w:val="Normal"/>
    <w:link w:val="FooterChar"/>
    <w:uiPriority w:val="99"/>
    <w:unhideWhenUsed/>
    <w:rsid w:val="00F05D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5D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7228555">
      <w:bodyDiv w:val="1"/>
      <w:marLeft w:val="0"/>
      <w:marRight w:val="0"/>
      <w:marTop w:val="0"/>
      <w:marBottom w:val="0"/>
      <w:divBdr>
        <w:top w:val="none" w:sz="0" w:space="0" w:color="auto"/>
        <w:left w:val="none" w:sz="0" w:space="0" w:color="auto"/>
        <w:bottom w:val="none" w:sz="0" w:space="0" w:color="auto"/>
        <w:right w:val="none" w:sz="0" w:space="0" w:color="auto"/>
      </w:divBdr>
    </w:div>
    <w:div w:id="705718642">
      <w:bodyDiv w:val="1"/>
      <w:marLeft w:val="0"/>
      <w:marRight w:val="0"/>
      <w:marTop w:val="0"/>
      <w:marBottom w:val="0"/>
      <w:divBdr>
        <w:top w:val="none" w:sz="0" w:space="0" w:color="auto"/>
        <w:left w:val="none" w:sz="0" w:space="0" w:color="auto"/>
        <w:bottom w:val="none" w:sz="0" w:space="0" w:color="auto"/>
        <w:right w:val="none" w:sz="0" w:space="0" w:color="auto"/>
      </w:divBdr>
    </w:div>
    <w:div w:id="1107579655">
      <w:bodyDiv w:val="1"/>
      <w:marLeft w:val="0"/>
      <w:marRight w:val="0"/>
      <w:marTop w:val="0"/>
      <w:marBottom w:val="0"/>
      <w:divBdr>
        <w:top w:val="none" w:sz="0" w:space="0" w:color="auto"/>
        <w:left w:val="none" w:sz="0" w:space="0" w:color="auto"/>
        <w:bottom w:val="none" w:sz="0" w:space="0" w:color="auto"/>
        <w:right w:val="none" w:sz="0" w:space="0" w:color="auto"/>
      </w:divBdr>
    </w:div>
    <w:div w:id="1165634457">
      <w:bodyDiv w:val="1"/>
      <w:marLeft w:val="0"/>
      <w:marRight w:val="0"/>
      <w:marTop w:val="0"/>
      <w:marBottom w:val="0"/>
      <w:divBdr>
        <w:top w:val="none" w:sz="0" w:space="0" w:color="auto"/>
        <w:left w:val="none" w:sz="0" w:space="0" w:color="auto"/>
        <w:bottom w:val="none" w:sz="0" w:space="0" w:color="auto"/>
        <w:right w:val="none" w:sz="0" w:space="0" w:color="auto"/>
      </w:divBdr>
    </w:div>
    <w:div w:id="1246182492">
      <w:bodyDiv w:val="1"/>
      <w:marLeft w:val="0"/>
      <w:marRight w:val="0"/>
      <w:marTop w:val="0"/>
      <w:marBottom w:val="0"/>
      <w:divBdr>
        <w:top w:val="none" w:sz="0" w:space="0" w:color="auto"/>
        <w:left w:val="none" w:sz="0" w:space="0" w:color="auto"/>
        <w:bottom w:val="none" w:sz="0" w:space="0" w:color="auto"/>
        <w:right w:val="none" w:sz="0" w:space="0" w:color="auto"/>
      </w:divBdr>
    </w:div>
    <w:div w:id="1557930375">
      <w:bodyDiv w:val="1"/>
      <w:marLeft w:val="0"/>
      <w:marRight w:val="0"/>
      <w:marTop w:val="0"/>
      <w:marBottom w:val="0"/>
      <w:divBdr>
        <w:top w:val="none" w:sz="0" w:space="0" w:color="auto"/>
        <w:left w:val="none" w:sz="0" w:space="0" w:color="auto"/>
        <w:bottom w:val="none" w:sz="0" w:space="0" w:color="auto"/>
        <w:right w:val="none" w:sz="0" w:space="0" w:color="auto"/>
      </w:divBdr>
    </w:div>
    <w:div w:id="1736858401">
      <w:bodyDiv w:val="1"/>
      <w:marLeft w:val="0"/>
      <w:marRight w:val="0"/>
      <w:marTop w:val="0"/>
      <w:marBottom w:val="0"/>
      <w:divBdr>
        <w:top w:val="none" w:sz="0" w:space="0" w:color="auto"/>
        <w:left w:val="none" w:sz="0" w:space="0" w:color="auto"/>
        <w:bottom w:val="none" w:sz="0" w:space="0" w:color="auto"/>
        <w:right w:val="none" w:sz="0" w:space="0" w:color="auto"/>
      </w:divBdr>
    </w:div>
    <w:div w:id="1993485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McK17</b:Tag>
    <b:SourceType>InternetSite</b:SourceType>
    <b:Guid>{306BEB63-92B6-4CF6-B3E3-0190F652590D}</b:Guid>
    <b:Title>Learning innovation in the digital age</b:Title>
    <b:InternetSiteTitle>McKinsey</b:InternetSiteTitle>
    <b:Year>2017</b:Year>
    <b:Month>September</b:Month>
    <b:Day>21</b:Day>
    <b:URL>https://www.mckinsey.com/business-functions/organization/our-insights/learning-innovation-in-the-digital-age</b:URL>
    <b:Author>
      <b:Author>
        <b:NameList>
          <b:Person>
            <b:Last>McKinsey</b:Last>
          </b:Person>
        </b:NameList>
      </b:Author>
    </b:Author>
    <b:RefOrder>1</b:RefOrder>
  </b:Source>
  <b:Source>
    <b:Tag>McK171</b:Tag>
    <b:SourceType>InternetSite</b:SourceType>
    <b:Guid>{81E633FA-5E3E-48CC-B52A-0D355C296992}</b:Guid>
    <b:Author>
      <b:Author>
        <b:Corporate>McKinsey &amp; Company</b:Corporate>
      </b:Author>
    </b:Author>
    <b:Title>Innovating at the speed of the 21st century in pharmaceuticals</b:Title>
    <b:InternetSiteTitle>McKinsey</b:InternetSiteTitle>
    <b:Year>2017</b:Year>
    <b:Month>October</b:Month>
    <b:Day>31</b:Day>
    <b:URL>https://www.mckinsey.com/industries/pharmaceuticals-and-medical-products/our-insights/innovating-at-the-speed-of-the-21st-century-in-pharmaceuticals</b:URL>
    <b:RefOrder>2</b:RefOrder>
  </b:Source>
  <b:Source>
    <b:Tag>McK21</b:Tag>
    <b:SourceType>InternetSite</b:SourceType>
    <b:Guid>{5A604AB7-1033-412E-B892-BF2490D7D25C}</b:Guid>
    <b:Author>
      <b:Author>
        <b:Corporate>McKiney</b:Corporate>
      </b:Author>
    </b:Author>
    <b:Title>Building workforce skills at scale to thrive during—and after—the COVID-19 crisis</b:Title>
    <b:InternetSiteTitle>McKiney</b:InternetSiteTitle>
    <b:Year>2021</b:Year>
    <b:Month>April</b:Month>
    <b:Day>30</b:Day>
    <b:URL>https://www.mckinsey.com/business-functions/organization/our-insights/building-workforce-skills-at-scale-to-thrive-during-and-after-the-covid-19-crisis</b:URL>
    <b:RefOrder>3</b:RefOrder>
  </b:Source>
  <b:Source>
    <b:Tag>Joh19</b:Tag>
    <b:SourceType>InternetSite</b:SourceType>
    <b:Guid>{76ADC136-AC75-4C15-AF13-994993B8B520}</b:Guid>
    <b:Author>
      <b:Author>
        <b:NameList>
          <b:Person>
            <b:Last>Baeza</b:Last>
            <b:First>Johann</b:First>
            <b:Middle>D. Harnoss and Ramón</b:Middle>
          </b:Person>
        </b:NameList>
      </b:Author>
    </b:Author>
    <b:Title>Overcoming the Four Big Barriers to Innovation Success</b:Title>
    <b:InternetSiteTitle>BCG</b:InternetSiteTitle>
    <b:Year>2019</b:Year>
    <b:Month>September </b:Month>
    <b:Day>24</b:Day>
    <b:URL>https://www.bcg.com/publications/2019/overcoming-four-big-barriers-to-innovation-success</b:URL>
    <b:RefOrder>4</b:RefOrder>
  </b:Source>
  <b:Source>
    <b:Tag>Mic20</b:Tag>
    <b:SourceType>InternetSite</b:SourceType>
    <b:Guid>{2F46535C-B2D5-4204-90DC-5F21F49882DF}</b:Guid>
    <b:Author>
      <b:Author>
        <b:NameList>
          <b:Person>
            <b:Last>Michael Ringel</b:Last>
            <b:First>Ramón</b:First>
            <b:Middle>Baeza, Rahool Panandiker, Johann D. Harnoss</b:Middle>
          </b:Person>
        </b:NameList>
      </b:Author>
    </b:Author>
    <b:Title>Tomorrow’s Innovation Leaders Are Made Today</b:Title>
    <b:InternetSiteTitle>BCG</b:InternetSiteTitle>
    <b:Year>2020</b:Year>
    <b:Month>April</b:Month>
    <b:Day>13</b:Day>
    <b:URL>https://www.bcg.com/publications/2020/six-moves-for-innovation-during-recovery</b:URL>
    <b:RefOrder>5</b:RefOrder>
  </b:Source>
</b:Sources>
</file>

<file path=customXml/itemProps1.xml><?xml version="1.0" encoding="utf-8"?>
<ds:datastoreItem xmlns:ds="http://schemas.openxmlformats.org/officeDocument/2006/customXml" ds:itemID="{19889D8B-756A-41A5-90E7-323FD8B59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6</Pages>
  <Words>1485</Words>
  <Characters>8470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2021-05-19T17:49:00Z</dcterms:created>
  <dcterms:modified xsi:type="dcterms:W3CDTF">2021-05-20T03:39:00Z</dcterms:modified>
</cp:coreProperties>
</file>