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F02" w:rsidRDefault="00E62F02" w:rsidP="00E62F02">
      <w:pPr>
        <w:spacing w:after="160" w:line="480" w:lineRule="auto"/>
        <w:jc w:val="center"/>
        <w:rPr>
          <w:rFonts w:ascii="Times New Roman" w:hAnsi="Times New Roman" w:cs="Times New Roman"/>
          <w:sz w:val="24"/>
          <w:szCs w:val="24"/>
        </w:rPr>
      </w:pPr>
    </w:p>
    <w:p w:rsidR="00E62F02" w:rsidRDefault="00E62F02" w:rsidP="00E62F02">
      <w:pPr>
        <w:spacing w:after="160" w:line="480" w:lineRule="auto"/>
        <w:jc w:val="center"/>
        <w:rPr>
          <w:rFonts w:ascii="Times New Roman" w:hAnsi="Times New Roman" w:cs="Times New Roman"/>
          <w:sz w:val="24"/>
          <w:szCs w:val="24"/>
        </w:rPr>
      </w:pPr>
    </w:p>
    <w:p w:rsidR="00E62F02" w:rsidRDefault="00E62F02" w:rsidP="00E62F02">
      <w:pPr>
        <w:spacing w:after="160" w:line="480" w:lineRule="auto"/>
        <w:jc w:val="center"/>
        <w:rPr>
          <w:rFonts w:ascii="Times New Roman" w:hAnsi="Times New Roman" w:cs="Times New Roman"/>
          <w:sz w:val="24"/>
          <w:szCs w:val="24"/>
        </w:rPr>
      </w:pPr>
    </w:p>
    <w:p w:rsidR="00E62F02" w:rsidRDefault="00E62F02" w:rsidP="00E62F02">
      <w:pPr>
        <w:spacing w:after="160" w:line="480" w:lineRule="auto"/>
        <w:jc w:val="center"/>
        <w:rPr>
          <w:rFonts w:ascii="Times New Roman" w:hAnsi="Times New Roman" w:cs="Times New Roman"/>
          <w:sz w:val="24"/>
          <w:szCs w:val="24"/>
        </w:rPr>
      </w:pPr>
    </w:p>
    <w:p w:rsidR="00E62F02" w:rsidRDefault="00E62F02" w:rsidP="00E62F02">
      <w:pPr>
        <w:spacing w:after="160" w:line="480" w:lineRule="auto"/>
        <w:jc w:val="center"/>
        <w:rPr>
          <w:rFonts w:ascii="Times New Roman" w:hAnsi="Times New Roman" w:cs="Times New Roman"/>
          <w:sz w:val="24"/>
          <w:szCs w:val="24"/>
        </w:rPr>
      </w:pPr>
    </w:p>
    <w:p w:rsidR="00A7431D" w:rsidRDefault="00A7431D" w:rsidP="00E62F02">
      <w:pPr>
        <w:spacing w:after="160" w:line="480" w:lineRule="auto"/>
        <w:jc w:val="center"/>
        <w:rPr>
          <w:rFonts w:ascii="Times New Roman" w:hAnsi="Times New Roman" w:cs="Times New Roman"/>
          <w:sz w:val="24"/>
          <w:szCs w:val="24"/>
        </w:rPr>
      </w:pPr>
      <w:r>
        <w:rPr>
          <w:rFonts w:ascii="Times New Roman" w:hAnsi="Times New Roman" w:cs="Times New Roman"/>
          <w:sz w:val="24"/>
          <w:szCs w:val="24"/>
        </w:rPr>
        <w:t>Future of Space Missions</w:t>
      </w:r>
    </w:p>
    <w:p w:rsidR="00A7431D" w:rsidRPr="00FC3503" w:rsidRDefault="00E62F02" w:rsidP="00E62F02">
      <w:pPr>
        <w:pStyle w:val="NormalWeb"/>
        <w:spacing w:before="0" w:beforeAutospacing="0" w:after="160" w:afterAutospacing="0" w:line="480" w:lineRule="auto"/>
        <w:jc w:val="center"/>
        <w:rPr>
          <w:color w:val="000000" w:themeColor="text1"/>
        </w:rPr>
      </w:pPr>
      <w:r>
        <w:rPr>
          <w:color w:val="000000" w:themeColor="text1"/>
        </w:rPr>
        <w:t>Student</w:t>
      </w:r>
    </w:p>
    <w:p w:rsidR="00A7431D" w:rsidRPr="00FC3503" w:rsidRDefault="00A7431D" w:rsidP="00E62F02">
      <w:pPr>
        <w:pStyle w:val="NormalWeb"/>
        <w:spacing w:before="0" w:beforeAutospacing="0" w:after="160" w:afterAutospacing="0" w:line="480" w:lineRule="auto"/>
        <w:jc w:val="center"/>
        <w:rPr>
          <w:color w:val="000000" w:themeColor="text1"/>
        </w:rPr>
      </w:pPr>
      <w:r w:rsidRPr="00FC3503">
        <w:rPr>
          <w:color w:val="000000" w:themeColor="text1"/>
        </w:rPr>
        <w:t>Institution</w:t>
      </w:r>
    </w:p>
    <w:p w:rsidR="00A7431D" w:rsidRPr="00FC3503" w:rsidRDefault="00E62F02" w:rsidP="00E62F02">
      <w:pPr>
        <w:pStyle w:val="NormalWeb"/>
        <w:spacing w:before="0" w:beforeAutospacing="0" w:after="160" w:afterAutospacing="0" w:line="480" w:lineRule="auto"/>
        <w:jc w:val="center"/>
        <w:rPr>
          <w:color w:val="000000" w:themeColor="text1"/>
        </w:rPr>
      </w:pPr>
      <w:r>
        <w:rPr>
          <w:color w:val="000000" w:themeColor="text1"/>
        </w:rPr>
        <w:t>Class</w:t>
      </w:r>
    </w:p>
    <w:p w:rsidR="00A7431D" w:rsidRPr="00FC3503" w:rsidRDefault="00E62F02" w:rsidP="00E62F02">
      <w:pPr>
        <w:pStyle w:val="NormalWeb"/>
        <w:spacing w:before="0" w:beforeAutospacing="0" w:after="160" w:afterAutospacing="0" w:line="480" w:lineRule="auto"/>
        <w:jc w:val="center"/>
        <w:rPr>
          <w:color w:val="000000" w:themeColor="text1"/>
        </w:rPr>
      </w:pPr>
      <w:r>
        <w:rPr>
          <w:color w:val="000000" w:themeColor="text1"/>
        </w:rPr>
        <w:t>Professor</w:t>
      </w:r>
    </w:p>
    <w:p w:rsidR="00FA0CA7" w:rsidRDefault="00A7431D" w:rsidP="00E62F02">
      <w:pPr>
        <w:pStyle w:val="NormalWeb"/>
        <w:spacing w:before="0" w:beforeAutospacing="0" w:after="160" w:afterAutospacing="0" w:line="480" w:lineRule="auto"/>
        <w:jc w:val="center"/>
        <w:rPr>
          <w:color w:val="000000" w:themeColor="text1"/>
        </w:rPr>
      </w:pPr>
      <w:r w:rsidRPr="00FC3503">
        <w:rPr>
          <w:color w:val="000000" w:themeColor="text1"/>
        </w:rPr>
        <w:t>Date</w:t>
      </w:r>
    </w:p>
    <w:p w:rsidR="00E62F02" w:rsidRDefault="00E62F02">
      <w:pPr>
        <w:rPr>
          <w:rFonts w:ascii="Times New Roman" w:eastAsia="Times New Roman" w:hAnsi="Times New Roman" w:cs="Times New Roman"/>
          <w:b/>
          <w:color w:val="000000" w:themeColor="text1"/>
          <w:sz w:val="24"/>
          <w:szCs w:val="24"/>
        </w:rPr>
      </w:pPr>
      <w:r>
        <w:rPr>
          <w:b/>
          <w:color w:val="000000" w:themeColor="text1"/>
        </w:rPr>
        <w:br w:type="page"/>
      </w:r>
    </w:p>
    <w:p w:rsidR="00243324" w:rsidRPr="00E62F02" w:rsidRDefault="00B303D5" w:rsidP="00E62F02">
      <w:pPr>
        <w:pStyle w:val="NormalWeb"/>
        <w:tabs>
          <w:tab w:val="center" w:pos="4680"/>
          <w:tab w:val="left" w:pos="7425"/>
        </w:tabs>
        <w:spacing w:before="0" w:beforeAutospacing="0" w:after="160" w:afterAutospacing="0" w:line="480" w:lineRule="auto"/>
        <w:jc w:val="center"/>
        <w:rPr>
          <w:color w:val="000000" w:themeColor="text1"/>
        </w:rPr>
      </w:pPr>
      <w:r w:rsidRPr="00E62F02">
        <w:rPr>
          <w:color w:val="000000" w:themeColor="text1"/>
        </w:rPr>
        <w:lastRenderedPageBreak/>
        <w:t>Vision for the Future Space Missions</w:t>
      </w:r>
    </w:p>
    <w:p w:rsidR="00243324" w:rsidRDefault="00243324" w:rsidP="008420B0">
      <w:pPr>
        <w:pStyle w:val="NormalWeb"/>
        <w:spacing w:before="0" w:beforeAutospacing="0" w:after="160" w:afterAutospacing="0" w:line="480" w:lineRule="auto"/>
        <w:ind w:firstLine="720"/>
        <w:rPr>
          <w:color w:val="0E101A"/>
        </w:rPr>
      </w:pPr>
      <w:r>
        <w:rPr>
          <w:color w:val="0E101A"/>
        </w:rPr>
        <w:t>The vision for future space exploration will compel many governments to advocate for technological advancements and other private sectors to develop technologies as they increase their economic activities into unexplored areas. For instance, NASA is aiming to expand its exploration activities both at asteroids and Mars which is a more complex exercise that requires high technology</w:t>
      </w:r>
      <w:r w:rsidR="00CE4E7B">
        <w:rPr>
          <w:color w:val="0E101A"/>
        </w:rPr>
        <w:t xml:space="preserve"> </w:t>
      </w:r>
      <w:r w:rsidR="00CE4E7B" w:rsidRPr="00CE4E7B">
        <w:rPr>
          <w:color w:val="0E101A"/>
        </w:rPr>
        <w:t>(Delgado &amp; Candy, 2019)</w:t>
      </w:r>
      <w:r>
        <w:rPr>
          <w:color w:val="0E101A"/>
        </w:rPr>
        <w:t>. Such activities will be carried out within a relatively tight NASA budget even though the commercial space economy is rapidly expanding of late. Given the above circumstances, it will be much imperative for NASA to team up with the private sector through partnerships to develop supporting markets like low Earth orbit (LEO) transportation and high-tech capabilities like asteroid mining</w:t>
      </w:r>
      <w:r w:rsidR="00FA014B">
        <w:rPr>
          <w:color w:val="0E101A"/>
        </w:rPr>
        <w:t xml:space="preserve"> </w:t>
      </w:r>
      <w:r w:rsidR="00FA014B" w:rsidRPr="00FA014B">
        <w:rPr>
          <w:color w:val="0E101A"/>
        </w:rPr>
        <w:t>(Delgado &amp; Candy, 2019)</w:t>
      </w:r>
      <w:r>
        <w:rPr>
          <w:color w:val="0E101A"/>
        </w:rPr>
        <w:t>. The above move will significantly assist NASA to achieve its primary goals and objectives. Furthermore, collaboration with private sectors will assist in smooth transitions and accelerate the rate at which the space economy evolves to embrace new ambitions.</w:t>
      </w:r>
    </w:p>
    <w:p w:rsidR="00243324" w:rsidRDefault="00243324" w:rsidP="008420B0">
      <w:pPr>
        <w:pStyle w:val="NormalWeb"/>
        <w:spacing w:before="0" w:beforeAutospacing="0" w:after="160" w:afterAutospacing="0" w:line="480" w:lineRule="auto"/>
        <w:ind w:firstLine="720"/>
        <w:jc w:val="center"/>
        <w:rPr>
          <w:color w:val="0E101A"/>
        </w:rPr>
      </w:pPr>
      <w:r>
        <w:rPr>
          <w:rStyle w:val="Strong"/>
          <w:color w:val="0E101A"/>
        </w:rPr>
        <w:t>How will the Military Utilize Space Assets and International Initiatives?</w:t>
      </w:r>
    </w:p>
    <w:p w:rsidR="00FA0CA7" w:rsidRDefault="00243324" w:rsidP="008420B0">
      <w:pPr>
        <w:pStyle w:val="NormalWeb"/>
        <w:spacing w:before="0" w:beforeAutospacing="0" w:after="160" w:afterAutospacing="0" w:line="480" w:lineRule="auto"/>
        <w:ind w:firstLine="720"/>
        <w:rPr>
          <w:color w:val="0E101A"/>
        </w:rPr>
      </w:pPr>
      <w:r>
        <w:rPr>
          <w:color w:val="0E101A"/>
        </w:rPr>
        <w:t>Before entering into a theater of operations in the future, it will be imperative for the military forces to consider various aspects such as tactical and operational space assets available. The developed technologies, new systems, and operational protocols will have to be deployed and observed to enable successful military operation campaigns in space</w:t>
      </w:r>
      <w:r w:rsidR="00927C47">
        <w:rPr>
          <w:color w:val="0E101A"/>
        </w:rPr>
        <w:t xml:space="preserve"> </w:t>
      </w:r>
      <w:r w:rsidR="00927C47" w:rsidRPr="00927C47">
        <w:rPr>
          <w:color w:val="0E101A"/>
        </w:rPr>
        <w:t>(Acton et al., 2018)</w:t>
      </w:r>
      <w:r>
        <w:rPr>
          <w:color w:val="0E101A"/>
        </w:rPr>
        <w:t xml:space="preserve">. For the military to utilize space assets and international initiatives they will be required to make early preparations. The preparation stage will entail making necessary changes to the requirements and acquisition process of space assets. For the military to utilize space assets and international initiatives they will have to expedite the process of acquisition of various systems with the capability of yielding the desired result of rendering both tactical and operational level </w:t>
      </w:r>
      <w:r>
        <w:rPr>
          <w:color w:val="0E101A"/>
        </w:rPr>
        <w:lastRenderedPageBreak/>
        <w:t>intelligence, reconnaissance, and surveillance from space and interlink that data with end-user systems</w:t>
      </w:r>
      <w:r w:rsidR="00344AB2">
        <w:rPr>
          <w:color w:val="0E101A"/>
        </w:rPr>
        <w:t xml:space="preserve"> </w:t>
      </w:r>
      <w:r w:rsidR="00344AB2" w:rsidRPr="00344AB2">
        <w:rPr>
          <w:color w:val="0E101A"/>
        </w:rPr>
        <w:t>(Delgado &amp; Candy, 2019)</w:t>
      </w:r>
      <w:r>
        <w:rPr>
          <w:color w:val="0E101A"/>
        </w:rPr>
        <w:t>.</w:t>
      </w:r>
    </w:p>
    <w:p w:rsidR="00243324" w:rsidRDefault="00243324" w:rsidP="008420B0">
      <w:pPr>
        <w:pStyle w:val="NormalWeb"/>
        <w:spacing w:before="0" w:beforeAutospacing="0" w:after="160" w:afterAutospacing="0" w:line="480" w:lineRule="auto"/>
        <w:ind w:firstLine="720"/>
        <w:rPr>
          <w:color w:val="0E101A"/>
        </w:rPr>
      </w:pPr>
      <w:r>
        <w:rPr>
          <w:color w:val="0E101A"/>
        </w:rPr>
        <w:t>In preparation for the various key system requirements, it will be crucial for military forces to consider space assets that will increase the capability of enhancing mission effectiveness. A parallel Joint Systems Program Office (JSPO) will have to be established</w:t>
      </w:r>
      <w:r w:rsidR="00F01F96">
        <w:rPr>
          <w:color w:val="0E101A"/>
        </w:rPr>
        <w:t xml:space="preserve"> </w:t>
      </w:r>
      <w:r w:rsidR="00F01F96" w:rsidRPr="00F01F96">
        <w:rPr>
          <w:color w:val="0E101A"/>
        </w:rPr>
        <w:t>(Acton et al., 2018)</w:t>
      </w:r>
      <w:r>
        <w:rPr>
          <w:color w:val="0E101A"/>
        </w:rPr>
        <w:t>. The office will be responsible for carrying out analyses such as those on what is in the realm and make broad-area announcements. The Joint Systems Program Office will play a crucial role in finding both space and ground systems that are in a position to meet end-user requirements</w:t>
      </w:r>
      <w:r w:rsidR="00D80025">
        <w:rPr>
          <w:color w:val="0E101A"/>
        </w:rPr>
        <w:t xml:space="preserve"> </w:t>
      </w:r>
      <w:r w:rsidR="00D80025" w:rsidRPr="00D80025">
        <w:rPr>
          <w:color w:val="0E101A"/>
        </w:rPr>
        <w:t>(Zapata, 2017)</w:t>
      </w:r>
      <w:bookmarkStart w:id="0" w:name="_GoBack"/>
      <w:bookmarkEnd w:id="0"/>
      <w:r>
        <w:rPr>
          <w:color w:val="0E101A"/>
        </w:rPr>
        <w:t>. In developing the various requirements, JSPO will have to obtain demonstration satellites that will enable the military system to be tested and identify the possible updates that are required to ensure that there is a seamless end-user interaction with the satellite systems. The entire process will entail picking high-level capability requirements and integrating them into system-level requirements for both satellite vehicles and ground software.</w:t>
      </w:r>
    </w:p>
    <w:p w:rsidR="008420B0" w:rsidRDefault="008420B0">
      <w:pPr>
        <w:rPr>
          <w:rFonts w:ascii="Times New Roman" w:eastAsia="Times New Roman" w:hAnsi="Times New Roman" w:cs="Times New Roman"/>
          <w:color w:val="0E101A"/>
          <w:sz w:val="24"/>
          <w:szCs w:val="24"/>
        </w:rPr>
      </w:pPr>
      <w:r>
        <w:rPr>
          <w:color w:val="0E101A"/>
        </w:rPr>
        <w:br w:type="page"/>
      </w:r>
    </w:p>
    <w:p w:rsidR="008420B0" w:rsidRDefault="008420B0" w:rsidP="008420B0">
      <w:pPr>
        <w:pStyle w:val="NormalWeb"/>
        <w:spacing w:before="0" w:beforeAutospacing="0" w:after="160" w:afterAutospacing="0" w:line="480" w:lineRule="auto"/>
        <w:ind w:firstLine="720"/>
        <w:jc w:val="center"/>
        <w:rPr>
          <w:color w:val="0E101A"/>
        </w:rPr>
      </w:pPr>
      <w:r>
        <w:rPr>
          <w:color w:val="0E101A"/>
        </w:rPr>
        <w:lastRenderedPageBreak/>
        <w:t>References</w:t>
      </w:r>
    </w:p>
    <w:p w:rsidR="008420B0" w:rsidRDefault="00C86B5E" w:rsidP="00CE4E7B">
      <w:pPr>
        <w:pStyle w:val="NormalWeb"/>
        <w:spacing w:before="0" w:beforeAutospacing="0" w:after="160" w:afterAutospacing="0" w:line="480" w:lineRule="auto"/>
        <w:ind w:left="720" w:hanging="720"/>
        <w:rPr>
          <w:color w:val="0E101A"/>
        </w:rPr>
      </w:pPr>
      <w:r w:rsidRPr="00C86B5E">
        <w:rPr>
          <w:color w:val="0E101A"/>
        </w:rPr>
        <w:t>Acton, C., Bachman, N., Semenov, B., &amp; Wright, E. (2018). A look towards the future in the handling of space science mission geometry. </w:t>
      </w:r>
      <w:r w:rsidRPr="00C86B5E">
        <w:rPr>
          <w:i/>
          <w:iCs/>
          <w:color w:val="0E101A"/>
        </w:rPr>
        <w:t>Planetary and Space Science</w:t>
      </w:r>
      <w:r w:rsidRPr="00C86B5E">
        <w:rPr>
          <w:color w:val="0E101A"/>
        </w:rPr>
        <w:t>, </w:t>
      </w:r>
      <w:r w:rsidRPr="00C86B5E">
        <w:rPr>
          <w:i/>
          <w:iCs/>
          <w:color w:val="0E101A"/>
        </w:rPr>
        <w:t>150</w:t>
      </w:r>
      <w:r w:rsidRPr="00C86B5E">
        <w:rPr>
          <w:color w:val="0E101A"/>
        </w:rPr>
        <w:t>, 9-12.</w:t>
      </w:r>
      <w:r w:rsidR="00CE4E7B">
        <w:rPr>
          <w:color w:val="0E101A"/>
        </w:rPr>
        <w:t xml:space="preserve"> </w:t>
      </w:r>
    </w:p>
    <w:p w:rsidR="00C86B5E" w:rsidRDefault="00CE4E7B" w:rsidP="00CE4E7B">
      <w:pPr>
        <w:pStyle w:val="NormalWeb"/>
        <w:spacing w:before="0" w:beforeAutospacing="0" w:after="160" w:afterAutospacing="0" w:line="480" w:lineRule="auto"/>
        <w:ind w:left="720" w:hanging="720"/>
        <w:rPr>
          <w:color w:val="0E101A"/>
        </w:rPr>
      </w:pPr>
      <w:r w:rsidRPr="00CE4E7B">
        <w:rPr>
          <w:color w:val="0E101A"/>
        </w:rPr>
        <w:t>Delgado, D., &amp; Candy, S. (2019). Using the Future at NASA. </w:t>
      </w:r>
      <w:r w:rsidRPr="00CE4E7B">
        <w:rPr>
          <w:i/>
          <w:iCs/>
          <w:color w:val="0E101A"/>
        </w:rPr>
        <w:t>Journal of Futures Studies</w:t>
      </w:r>
      <w:r w:rsidRPr="00CE4E7B">
        <w:rPr>
          <w:color w:val="0E101A"/>
        </w:rPr>
        <w:t>, </w:t>
      </w:r>
      <w:r w:rsidRPr="00CE4E7B">
        <w:rPr>
          <w:i/>
          <w:iCs/>
          <w:color w:val="0E101A"/>
        </w:rPr>
        <w:t>23</w:t>
      </w:r>
      <w:r w:rsidRPr="00CE4E7B">
        <w:rPr>
          <w:color w:val="0E101A"/>
        </w:rPr>
        <w:t>(4), 143-148.</w:t>
      </w:r>
      <w:r>
        <w:rPr>
          <w:color w:val="0E101A"/>
        </w:rPr>
        <w:t xml:space="preserve"> </w:t>
      </w:r>
    </w:p>
    <w:p w:rsidR="00CE4E7B" w:rsidRDefault="00CE4E7B" w:rsidP="00CE4E7B">
      <w:pPr>
        <w:pStyle w:val="NormalWeb"/>
        <w:spacing w:before="0" w:beforeAutospacing="0" w:after="160" w:afterAutospacing="0" w:line="480" w:lineRule="auto"/>
        <w:ind w:left="720" w:hanging="720"/>
        <w:rPr>
          <w:color w:val="0E101A"/>
        </w:rPr>
      </w:pPr>
      <w:r w:rsidRPr="00CE4E7B">
        <w:rPr>
          <w:color w:val="0E101A"/>
        </w:rPr>
        <w:t>Zapata, E. (2017). An assessment of cost improvements in the NASA COTS/CRS program and implications for future NASA missions. </w:t>
      </w:r>
      <w:r w:rsidRPr="00CE4E7B">
        <w:rPr>
          <w:i/>
          <w:iCs/>
          <w:color w:val="0E101A"/>
        </w:rPr>
        <w:t>NASA. https://ntrs. nasa. gov/archive/nasa/casi. ntrs. nasa. gov/20170008895. pdf</w:t>
      </w:r>
      <w:r w:rsidRPr="00CE4E7B">
        <w:rPr>
          <w:color w:val="0E101A"/>
        </w:rPr>
        <w:t>.</w:t>
      </w:r>
      <w:r>
        <w:rPr>
          <w:color w:val="0E101A"/>
        </w:rPr>
        <w:t xml:space="preserve"> </w:t>
      </w:r>
    </w:p>
    <w:sectPr w:rsidR="00CE4E7B" w:rsidSect="00782D60">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0AD" w:rsidRDefault="003C10AD" w:rsidP="00782D60">
      <w:pPr>
        <w:spacing w:after="0" w:line="240" w:lineRule="auto"/>
      </w:pPr>
      <w:r>
        <w:separator/>
      </w:r>
    </w:p>
  </w:endnote>
  <w:endnote w:type="continuationSeparator" w:id="0">
    <w:p w:rsidR="003C10AD" w:rsidRDefault="003C10AD" w:rsidP="00782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0AD" w:rsidRDefault="003C10AD" w:rsidP="00782D60">
      <w:pPr>
        <w:spacing w:after="0" w:line="240" w:lineRule="auto"/>
      </w:pPr>
      <w:r>
        <w:separator/>
      </w:r>
    </w:p>
  </w:footnote>
  <w:footnote w:type="continuationSeparator" w:id="0">
    <w:p w:rsidR="003C10AD" w:rsidRDefault="003C10AD" w:rsidP="00782D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484284179"/>
      <w:docPartObj>
        <w:docPartGallery w:val="Page Numbers (Top of Page)"/>
        <w:docPartUnique/>
      </w:docPartObj>
    </w:sdtPr>
    <w:sdtEndPr>
      <w:rPr>
        <w:noProof/>
      </w:rPr>
    </w:sdtEndPr>
    <w:sdtContent>
      <w:p w:rsidR="00CD5476" w:rsidRPr="00FD44BE" w:rsidRDefault="00CD5476" w:rsidP="00280F1E">
        <w:pPr>
          <w:pStyle w:val="Header"/>
          <w:tabs>
            <w:tab w:val="left" w:pos="5160"/>
          </w:tabs>
          <w:rPr>
            <w:rFonts w:ascii="Times New Roman" w:hAnsi="Times New Roman" w:cs="Times New Roman"/>
            <w:sz w:val="24"/>
            <w:szCs w:val="24"/>
          </w:rPr>
        </w:pPr>
        <w:r>
          <w:rPr>
            <w:rFonts w:ascii="Times New Roman" w:hAnsi="Times New Roman" w:cs="Times New Roman"/>
            <w:sz w:val="24"/>
            <w:szCs w:val="24"/>
          </w:rPr>
          <w:t xml:space="preserve">FUTURE OF SPACE MISSIONS    </w:t>
        </w:r>
        <w:r w:rsidRPr="00FD44BE">
          <w:rPr>
            <w:rFonts w:ascii="Times New Roman" w:hAnsi="Times New Roman" w:cs="Times New Roman"/>
            <w:sz w:val="24"/>
            <w:szCs w:val="24"/>
          </w:rPr>
          <w:tab/>
        </w:r>
        <w:r>
          <w:rPr>
            <w:rFonts w:ascii="Times New Roman" w:hAnsi="Times New Roman" w:cs="Times New Roman"/>
            <w:sz w:val="24"/>
            <w:szCs w:val="24"/>
          </w:rPr>
          <w:t xml:space="preserve">                                                                                               </w:t>
        </w:r>
        <w:r w:rsidRPr="00FD44BE">
          <w:rPr>
            <w:rFonts w:ascii="Times New Roman" w:hAnsi="Times New Roman" w:cs="Times New Roman"/>
            <w:sz w:val="24"/>
            <w:szCs w:val="24"/>
          </w:rPr>
          <w:fldChar w:fldCharType="begin"/>
        </w:r>
        <w:r w:rsidRPr="00FD44BE">
          <w:rPr>
            <w:rFonts w:ascii="Times New Roman" w:hAnsi="Times New Roman" w:cs="Times New Roman"/>
            <w:sz w:val="24"/>
            <w:szCs w:val="24"/>
          </w:rPr>
          <w:instrText xml:space="preserve"> PAGE   \* MERGEFORMAT </w:instrText>
        </w:r>
        <w:r w:rsidRPr="00FD44BE">
          <w:rPr>
            <w:rFonts w:ascii="Times New Roman" w:hAnsi="Times New Roman" w:cs="Times New Roman"/>
            <w:sz w:val="24"/>
            <w:szCs w:val="24"/>
          </w:rPr>
          <w:fldChar w:fldCharType="separate"/>
        </w:r>
        <w:r w:rsidR="00D80025">
          <w:rPr>
            <w:rFonts w:ascii="Times New Roman" w:hAnsi="Times New Roman" w:cs="Times New Roman"/>
            <w:noProof/>
            <w:sz w:val="24"/>
            <w:szCs w:val="24"/>
          </w:rPr>
          <w:t>3</w:t>
        </w:r>
        <w:r w:rsidRPr="00FD44BE">
          <w:rPr>
            <w:rFonts w:ascii="Times New Roman" w:hAnsi="Times New Roman" w:cs="Times New Roman"/>
            <w:noProof/>
            <w:sz w:val="24"/>
            <w:szCs w:val="24"/>
          </w:rPr>
          <w:fldChar w:fldCharType="end"/>
        </w:r>
      </w:p>
    </w:sdtContent>
  </w:sdt>
  <w:p w:rsidR="00CD5476" w:rsidRPr="00FD44BE" w:rsidRDefault="00CD5476">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5476" w:rsidRPr="00782D60" w:rsidRDefault="00CD5476">
    <w:pPr>
      <w:pStyle w:val="Header"/>
      <w:jc w:val="right"/>
      <w:rPr>
        <w:rFonts w:ascii="Times New Roman" w:hAnsi="Times New Roman" w:cs="Times New Roman"/>
        <w:sz w:val="24"/>
        <w:szCs w:val="24"/>
      </w:rPr>
    </w:pPr>
    <w:r w:rsidRPr="00782D60">
      <w:rPr>
        <w:rFonts w:ascii="Times New Roman" w:hAnsi="Times New Roman" w:cs="Times New Roman"/>
        <w:sz w:val="24"/>
        <w:szCs w:val="24"/>
      </w:rPr>
      <w:t xml:space="preserve">Running Head: FUTURE OF SPACE MISSIONS </w:t>
    </w:r>
    <w:r>
      <w:rPr>
        <w:rFonts w:ascii="Times New Roman" w:hAnsi="Times New Roman" w:cs="Times New Roman"/>
        <w:sz w:val="24"/>
        <w:szCs w:val="24"/>
      </w:rPr>
      <w:t xml:space="preserve">                                                                      </w:t>
    </w:r>
    <w:r w:rsidRPr="00782D60">
      <w:rPr>
        <w:rFonts w:ascii="Times New Roman" w:hAnsi="Times New Roman" w:cs="Times New Roman"/>
        <w:sz w:val="24"/>
        <w:szCs w:val="24"/>
      </w:rPr>
      <w:t xml:space="preserve">  </w:t>
    </w:r>
    <w:sdt>
      <w:sdtPr>
        <w:rPr>
          <w:rFonts w:ascii="Times New Roman" w:hAnsi="Times New Roman" w:cs="Times New Roman"/>
          <w:sz w:val="24"/>
          <w:szCs w:val="24"/>
        </w:rPr>
        <w:id w:val="322402880"/>
        <w:docPartObj>
          <w:docPartGallery w:val="Page Numbers (Top of Page)"/>
          <w:docPartUnique/>
        </w:docPartObj>
      </w:sdtPr>
      <w:sdtEndPr>
        <w:rPr>
          <w:noProof/>
        </w:rPr>
      </w:sdtEndPr>
      <w:sdtContent>
        <w:r w:rsidRPr="00782D60">
          <w:rPr>
            <w:rFonts w:ascii="Times New Roman" w:hAnsi="Times New Roman" w:cs="Times New Roman"/>
            <w:sz w:val="24"/>
            <w:szCs w:val="24"/>
          </w:rPr>
          <w:fldChar w:fldCharType="begin"/>
        </w:r>
        <w:r w:rsidRPr="00782D60">
          <w:rPr>
            <w:rFonts w:ascii="Times New Roman" w:hAnsi="Times New Roman" w:cs="Times New Roman"/>
            <w:sz w:val="24"/>
            <w:szCs w:val="24"/>
          </w:rPr>
          <w:instrText xml:space="preserve"> PAGE   \* MERGEFORMAT </w:instrText>
        </w:r>
        <w:r w:rsidRPr="00782D60">
          <w:rPr>
            <w:rFonts w:ascii="Times New Roman" w:hAnsi="Times New Roman" w:cs="Times New Roman"/>
            <w:sz w:val="24"/>
            <w:szCs w:val="24"/>
          </w:rPr>
          <w:fldChar w:fldCharType="separate"/>
        </w:r>
        <w:r w:rsidR="00CE4E7B">
          <w:rPr>
            <w:rFonts w:ascii="Times New Roman" w:hAnsi="Times New Roman" w:cs="Times New Roman"/>
            <w:noProof/>
            <w:sz w:val="24"/>
            <w:szCs w:val="24"/>
          </w:rPr>
          <w:t>1</w:t>
        </w:r>
        <w:r w:rsidRPr="00782D60">
          <w:rPr>
            <w:rFonts w:ascii="Times New Roman" w:hAnsi="Times New Roman" w:cs="Times New Roman"/>
            <w:noProof/>
            <w:sz w:val="24"/>
            <w:szCs w:val="24"/>
          </w:rPr>
          <w:fldChar w:fldCharType="end"/>
        </w:r>
      </w:sdtContent>
    </w:sdt>
  </w:p>
  <w:p w:rsidR="00CD5476" w:rsidRPr="00782D60" w:rsidRDefault="00CD5476">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D60"/>
    <w:rsid w:val="000C7FD1"/>
    <w:rsid w:val="00147267"/>
    <w:rsid w:val="00163120"/>
    <w:rsid w:val="00177802"/>
    <w:rsid w:val="001B49AB"/>
    <w:rsid w:val="001C78B0"/>
    <w:rsid w:val="00243324"/>
    <w:rsid w:val="00273861"/>
    <w:rsid w:val="00280F1E"/>
    <w:rsid w:val="00286F58"/>
    <w:rsid w:val="003030DD"/>
    <w:rsid w:val="00324B0B"/>
    <w:rsid w:val="00344AB2"/>
    <w:rsid w:val="003600C3"/>
    <w:rsid w:val="003952CA"/>
    <w:rsid w:val="003B631B"/>
    <w:rsid w:val="003C10AD"/>
    <w:rsid w:val="003E3B23"/>
    <w:rsid w:val="003F3D81"/>
    <w:rsid w:val="003F4625"/>
    <w:rsid w:val="00447A80"/>
    <w:rsid w:val="00475EFF"/>
    <w:rsid w:val="00552F5A"/>
    <w:rsid w:val="006041BF"/>
    <w:rsid w:val="00644A68"/>
    <w:rsid w:val="006A445B"/>
    <w:rsid w:val="006E70CA"/>
    <w:rsid w:val="00707C60"/>
    <w:rsid w:val="00743BB6"/>
    <w:rsid w:val="00782D60"/>
    <w:rsid w:val="008005D4"/>
    <w:rsid w:val="00841497"/>
    <w:rsid w:val="008420B0"/>
    <w:rsid w:val="00927C47"/>
    <w:rsid w:val="00974EBC"/>
    <w:rsid w:val="009E208B"/>
    <w:rsid w:val="00A3358C"/>
    <w:rsid w:val="00A33BDB"/>
    <w:rsid w:val="00A7431D"/>
    <w:rsid w:val="00AD4C02"/>
    <w:rsid w:val="00B303D5"/>
    <w:rsid w:val="00B81CD1"/>
    <w:rsid w:val="00C86B5E"/>
    <w:rsid w:val="00CD5476"/>
    <w:rsid w:val="00CE4E7B"/>
    <w:rsid w:val="00D5330D"/>
    <w:rsid w:val="00D80025"/>
    <w:rsid w:val="00DF2D05"/>
    <w:rsid w:val="00E03A91"/>
    <w:rsid w:val="00E52C44"/>
    <w:rsid w:val="00E62F02"/>
    <w:rsid w:val="00EA203D"/>
    <w:rsid w:val="00EB7999"/>
    <w:rsid w:val="00F00062"/>
    <w:rsid w:val="00F01F96"/>
    <w:rsid w:val="00F556E8"/>
    <w:rsid w:val="00F732FF"/>
    <w:rsid w:val="00FA014B"/>
    <w:rsid w:val="00FA0CA7"/>
    <w:rsid w:val="00FB65EA"/>
    <w:rsid w:val="00FD44BE"/>
    <w:rsid w:val="00FD4F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2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D60"/>
  </w:style>
  <w:style w:type="paragraph" w:styleId="Footer">
    <w:name w:val="footer"/>
    <w:basedOn w:val="Normal"/>
    <w:link w:val="FooterChar"/>
    <w:uiPriority w:val="99"/>
    <w:unhideWhenUsed/>
    <w:rsid w:val="00782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D60"/>
  </w:style>
  <w:style w:type="paragraph" w:styleId="NormalWeb">
    <w:name w:val="Normal (Web)"/>
    <w:basedOn w:val="Normal"/>
    <w:uiPriority w:val="99"/>
    <w:unhideWhenUsed/>
    <w:rsid w:val="00A743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433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2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D60"/>
  </w:style>
  <w:style w:type="paragraph" w:styleId="Footer">
    <w:name w:val="footer"/>
    <w:basedOn w:val="Normal"/>
    <w:link w:val="FooterChar"/>
    <w:uiPriority w:val="99"/>
    <w:unhideWhenUsed/>
    <w:rsid w:val="00782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D60"/>
  </w:style>
  <w:style w:type="paragraph" w:styleId="NormalWeb">
    <w:name w:val="Normal (Web)"/>
    <w:basedOn w:val="Normal"/>
    <w:uiPriority w:val="99"/>
    <w:unhideWhenUsed/>
    <w:rsid w:val="00A743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433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482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4</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clinton otieno</cp:lastModifiedBy>
  <cp:revision>11</cp:revision>
  <dcterms:created xsi:type="dcterms:W3CDTF">2021-05-15T05:41:00Z</dcterms:created>
  <dcterms:modified xsi:type="dcterms:W3CDTF">2021-05-15T08:50:00Z</dcterms:modified>
</cp:coreProperties>
</file>