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603648" w14:textId="0951065C" w:rsidR="00CA09F3" w:rsidRDefault="00B01753" w:rsidP="00CA09F3">
      <w:pPr>
        <w:jc w:val="center"/>
        <w:rPr>
          <w:rFonts w:ascii="Times New Roman" w:hAnsi="Times New Roman" w:cs="Times New Roman"/>
          <w:sz w:val="24"/>
          <w:szCs w:val="24"/>
        </w:rPr>
      </w:pPr>
      <w:r>
        <w:rPr>
          <w:rFonts w:ascii="Times New Roman" w:hAnsi="Times New Roman" w:cs="Times New Roman"/>
          <w:sz w:val="24"/>
          <w:szCs w:val="24"/>
        </w:rPr>
        <w:t>Memo</w:t>
      </w:r>
    </w:p>
    <w:p w14:paraId="772DACE5" w14:textId="2CEBA4DE" w:rsidR="00B01753" w:rsidRDefault="00B01753">
      <w:pPr>
        <w:rPr>
          <w:rFonts w:ascii="Times New Roman" w:hAnsi="Times New Roman" w:cs="Times New Roman"/>
          <w:sz w:val="24"/>
          <w:szCs w:val="24"/>
        </w:rPr>
      </w:pPr>
      <w:r>
        <w:rPr>
          <w:rFonts w:ascii="Times New Roman" w:hAnsi="Times New Roman" w:cs="Times New Roman"/>
          <w:sz w:val="24"/>
          <w:szCs w:val="24"/>
        </w:rPr>
        <w:t>To: John Doe, Chief Financial Officer</w:t>
      </w:r>
    </w:p>
    <w:p w14:paraId="6720A346" w14:textId="53B830DF" w:rsidR="00B01753" w:rsidRDefault="00B01753">
      <w:pPr>
        <w:rPr>
          <w:rFonts w:ascii="Times New Roman" w:hAnsi="Times New Roman" w:cs="Times New Roman"/>
          <w:sz w:val="24"/>
          <w:szCs w:val="24"/>
        </w:rPr>
      </w:pPr>
      <w:r>
        <w:rPr>
          <w:rFonts w:ascii="Times New Roman" w:hAnsi="Times New Roman" w:cs="Times New Roman"/>
          <w:sz w:val="24"/>
          <w:szCs w:val="24"/>
        </w:rPr>
        <w:t xml:space="preserve">From: </w:t>
      </w:r>
      <w:r w:rsidR="002960CB">
        <w:rPr>
          <w:rFonts w:ascii="Times New Roman" w:hAnsi="Times New Roman" w:cs="Times New Roman"/>
          <w:sz w:val="24"/>
          <w:szCs w:val="24"/>
        </w:rPr>
        <w:t>Name</w:t>
      </w:r>
      <w:bookmarkStart w:id="0" w:name="_GoBack"/>
      <w:bookmarkEnd w:id="0"/>
    </w:p>
    <w:p w14:paraId="7BE6BA6E" w14:textId="0E2CC302" w:rsidR="00B01753" w:rsidRPr="00B01753" w:rsidRDefault="00B01753">
      <w:pPr>
        <w:rPr>
          <w:rFonts w:ascii="Times New Roman" w:hAnsi="Times New Roman" w:cs="Times New Roman"/>
          <w:b/>
          <w:bCs/>
          <w:sz w:val="24"/>
          <w:szCs w:val="24"/>
        </w:rPr>
      </w:pPr>
      <w:r w:rsidRPr="00B01753">
        <w:rPr>
          <w:rFonts w:ascii="Times New Roman" w:hAnsi="Times New Roman" w:cs="Times New Roman"/>
          <w:b/>
          <w:bCs/>
          <w:sz w:val="24"/>
          <w:szCs w:val="24"/>
        </w:rPr>
        <w:t>Subject: Best Practices in the Application of Property-Related Taxes and Incentives</w:t>
      </w:r>
    </w:p>
    <w:p w14:paraId="2CA0BA8A" w14:textId="450F3486" w:rsidR="00424641" w:rsidRPr="00B01753" w:rsidRDefault="00B01753" w:rsidP="003E3060">
      <w:pPr>
        <w:ind w:firstLine="720"/>
        <w:rPr>
          <w:rFonts w:ascii="Times New Roman" w:hAnsi="Times New Roman" w:cs="Times New Roman"/>
          <w:sz w:val="24"/>
          <w:szCs w:val="24"/>
        </w:rPr>
      </w:pPr>
      <w:r>
        <w:rPr>
          <w:rFonts w:ascii="Times New Roman" w:hAnsi="Times New Roman" w:cs="Times New Roman"/>
          <w:sz w:val="24"/>
          <w:szCs w:val="24"/>
        </w:rPr>
        <w:t>The</w:t>
      </w:r>
      <w:r w:rsidR="003E3060">
        <w:rPr>
          <w:rFonts w:ascii="Times New Roman" w:hAnsi="Times New Roman" w:cs="Times New Roman"/>
          <w:sz w:val="24"/>
          <w:szCs w:val="24"/>
        </w:rPr>
        <w:t xml:space="preserve"> feasibility of the proposed tax strategies – impact fee requirement for new developments, tax increment financing for redevelopment, payment in lieu of taxes, and property tax incentives – is dependent on the context of the application and objectives of the application. The strategies are described and the best practices in their application is outlined. The common pitfalls in the application of the fees and incentives as discussed in the literature are also presented.</w:t>
      </w:r>
    </w:p>
    <w:p w14:paraId="6FCFA6F0" w14:textId="2F630318" w:rsidR="00424641" w:rsidRPr="000F3775" w:rsidRDefault="00424641">
      <w:pPr>
        <w:rPr>
          <w:rFonts w:ascii="Times New Roman" w:hAnsi="Times New Roman" w:cs="Times New Roman"/>
          <w:b/>
          <w:bCs/>
          <w:sz w:val="24"/>
          <w:szCs w:val="24"/>
        </w:rPr>
      </w:pPr>
      <w:r w:rsidRPr="000F3775">
        <w:rPr>
          <w:rFonts w:ascii="Times New Roman" w:hAnsi="Times New Roman" w:cs="Times New Roman"/>
          <w:b/>
          <w:bCs/>
          <w:sz w:val="24"/>
          <w:szCs w:val="24"/>
        </w:rPr>
        <w:t xml:space="preserve">Impact </w:t>
      </w:r>
      <w:r w:rsidR="003E3060">
        <w:rPr>
          <w:rFonts w:ascii="Times New Roman" w:hAnsi="Times New Roman" w:cs="Times New Roman"/>
          <w:b/>
          <w:bCs/>
          <w:sz w:val="24"/>
          <w:szCs w:val="24"/>
        </w:rPr>
        <w:t>F</w:t>
      </w:r>
      <w:r w:rsidRPr="000F3775">
        <w:rPr>
          <w:rFonts w:ascii="Times New Roman" w:hAnsi="Times New Roman" w:cs="Times New Roman"/>
          <w:b/>
          <w:bCs/>
          <w:sz w:val="24"/>
          <w:szCs w:val="24"/>
        </w:rPr>
        <w:t>ee</w:t>
      </w:r>
      <w:r w:rsidR="003E3060">
        <w:rPr>
          <w:rFonts w:ascii="Times New Roman" w:hAnsi="Times New Roman" w:cs="Times New Roman"/>
          <w:b/>
          <w:bCs/>
          <w:sz w:val="24"/>
          <w:szCs w:val="24"/>
        </w:rPr>
        <w:t>s</w:t>
      </w:r>
    </w:p>
    <w:p w14:paraId="0D263CEF" w14:textId="1B56C027" w:rsidR="00096A49" w:rsidRDefault="00084A1A" w:rsidP="003E3060">
      <w:pPr>
        <w:ind w:firstLine="720"/>
        <w:rPr>
          <w:rFonts w:ascii="Times New Roman" w:hAnsi="Times New Roman" w:cs="Times New Roman"/>
          <w:sz w:val="24"/>
          <w:szCs w:val="24"/>
        </w:rPr>
      </w:pPr>
      <w:r>
        <w:rPr>
          <w:rFonts w:ascii="Times New Roman" w:hAnsi="Times New Roman" w:cs="Times New Roman"/>
          <w:sz w:val="24"/>
          <w:szCs w:val="24"/>
        </w:rPr>
        <w:t xml:space="preserve">Impact fees are standardized charges levied solely on new developments for the purpose of funding infrastructure projects to support the growth </w:t>
      </w:r>
      <w:r w:rsidR="00C95A65">
        <w:rPr>
          <w:rFonts w:ascii="Times New Roman" w:hAnsi="Times New Roman" w:cs="Times New Roman"/>
          <w:sz w:val="24"/>
          <w:szCs w:val="24"/>
        </w:rPr>
        <w:t>of</w:t>
      </w:r>
      <w:r>
        <w:rPr>
          <w:rFonts w:ascii="Times New Roman" w:hAnsi="Times New Roman" w:cs="Times New Roman"/>
          <w:sz w:val="24"/>
          <w:szCs w:val="24"/>
        </w:rPr>
        <w:t xml:space="preserve"> the residents and non-resident worker</w:t>
      </w:r>
      <w:r w:rsidR="00C95A65">
        <w:rPr>
          <w:rFonts w:ascii="Times New Roman" w:hAnsi="Times New Roman" w:cs="Times New Roman"/>
          <w:sz w:val="24"/>
          <w:szCs w:val="24"/>
        </w:rPr>
        <w:t xml:space="preserve"> populations</w:t>
      </w:r>
      <w:r>
        <w:rPr>
          <w:rFonts w:ascii="Times New Roman" w:hAnsi="Times New Roman" w:cs="Times New Roman"/>
          <w:sz w:val="24"/>
          <w:szCs w:val="24"/>
        </w:rPr>
        <w:t xml:space="preserve"> (Duncan</w:t>
      </w:r>
      <w:r w:rsidR="00EB5D06">
        <w:rPr>
          <w:rFonts w:ascii="Times New Roman" w:hAnsi="Times New Roman" w:cs="Times New Roman"/>
          <w:sz w:val="24"/>
          <w:szCs w:val="24"/>
        </w:rPr>
        <w:t xml:space="preserve"> Associates</w:t>
      </w:r>
      <w:r>
        <w:rPr>
          <w:rFonts w:ascii="Times New Roman" w:hAnsi="Times New Roman" w:cs="Times New Roman"/>
          <w:sz w:val="24"/>
          <w:szCs w:val="24"/>
        </w:rPr>
        <w:t xml:space="preserve">, 2015). </w:t>
      </w:r>
      <w:r w:rsidRPr="00084A1A">
        <w:rPr>
          <w:rFonts w:ascii="Times New Roman" w:hAnsi="Times New Roman" w:cs="Times New Roman"/>
          <w:sz w:val="24"/>
          <w:szCs w:val="24"/>
        </w:rPr>
        <w:t>Impact fees shift most of the burden of additional public infrastructure costs arising from new private developments from the long-term residents of the locale to the developers and new residents expected to benefit from the project</w:t>
      </w:r>
      <w:r>
        <w:rPr>
          <w:rFonts w:ascii="Times New Roman" w:hAnsi="Times New Roman" w:cs="Times New Roman"/>
          <w:sz w:val="24"/>
          <w:szCs w:val="24"/>
        </w:rPr>
        <w:t xml:space="preserve"> (</w:t>
      </w:r>
      <w:r w:rsidR="00101E28">
        <w:rPr>
          <w:rFonts w:ascii="Times New Roman" w:hAnsi="Times New Roman" w:cs="Times New Roman"/>
          <w:sz w:val="24"/>
          <w:szCs w:val="24"/>
        </w:rPr>
        <w:t>Burchell &amp; Listokin, 1994)</w:t>
      </w:r>
      <w:r w:rsidRPr="00084A1A">
        <w:rPr>
          <w:rFonts w:ascii="Times New Roman" w:hAnsi="Times New Roman" w:cs="Times New Roman"/>
          <w:sz w:val="24"/>
          <w:szCs w:val="24"/>
        </w:rPr>
        <w:t xml:space="preserve">. </w:t>
      </w:r>
      <w:r>
        <w:rPr>
          <w:rFonts w:ascii="Times New Roman" w:hAnsi="Times New Roman" w:cs="Times New Roman"/>
          <w:sz w:val="24"/>
          <w:szCs w:val="24"/>
        </w:rPr>
        <w:t xml:space="preserve">At the optimal </w:t>
      </w:r>
      <w:r w:rsidR="00101E28">
        <w:rPr>
          <w:rFonts w:ascii="Times New Roman" w:hAnsi="Times New Roman" w:cs="Times New Roman"/>
          <w:sz w:val="24"/>
          <w:szCs w:val="24"/>
        </w:rPr>
        <w:t xml:space="preserve">design, the total impact fees for private infrastructure should equal the proportional increase in public infrastructure costs arising from the growth (Burchell &amp; Listokin, 1994). However, the significant uncertainties surrounding </w:t>
      </w:r>
      <w:r w:rsidR="00763266">
        <w:rPr>
          <w:rFonts w:ascii="Times New Roman" w:hAnsi="Times New Roman" w:cs="Times New Roman"/>
          <w:sz w:val="24"/>
          <w:szCs w:val="24"/>
        </w:rPr>
        <w:t>fiscal</w:t>
      </w:r>
      <w:r w:rsidR="00101E28">
        <w:rPr>
          <w:rFonts w:ascii="Times New Roman" w:hAnsi="Times New Roman" w:cs="Times New Roman"/>
          <w:sz w:val="24"/>
          <w:szCs w:val="24"/>
        </w:rPr>
        <w:t xml:space="preserve"> impact a</w:t>
      </w:r>
      <w:r w:rsidR="00763266">
        <w:rPr>
          <w:rFonts w:ascii="Times New Roman" w:hAnsi="Times New Roman" w:cs="Times New Roman"/>
          <w:sz w:val="24"/>
          <w:szCs w:val="24"/>
        </w:rPr>
        <w:t>nalysis</w:t>
      </w:r>
      <w:r w:rsidR="00101E28">
        <w:rPr>
          <w:rFonts w:ascii="Times New Roman" w:hAnsi="Times New Roman" w:cs="Times New Roman"/>
          <w:sz w:val="24"/>
          <w:szCs w:val="24"/>
        </w:rPr>
        <w:t xml:space="preserve"> that inform the impact fee calculations mean that the growth fees levied on new development will differ from the incremental infrastructure costs. </w:t>
      </w:r>
    </w:p>
    <w:p w14:paraId="4309C383" w14:textId="0AC4611A" w:rsidR="004E1A2B" w:rsidRDefault="00096A49" w:rsidP="004E1A2B">
      <w:pPr>
        <w:ind w:firstLine="720"/>
        <w:rPr>
          <w:rFonts w:ascii="Times New Roman" w:hAnsi="Times New Roman" w:cs="Times New Roman"/>
          <w:sz w:val="24"/>
          <w:szCs w:val="24"/>
        </w:rPr>
      </w:pPr>
      <w:r>
        <w:rPr>
          <w:rFonts w:ascii="Times New Roman" w:hAnsi="Times New Roman" w:cs="Times New Roman"/>
          <w:sz w:val="24"/>
          <w:szCs w:val="24"/>
        </w:rPr>
        <w:t>Even though it is impossible to determine the exact estimation of the incremental costs to the community, the local authorities should ensure that the estimate is as close as possible to the actual value as the first step in effecting the strategy.</w:t>
      </w:r>
      <w:r w:rsidR="001012A9">
        <w:rPr>
          <w:rFonts w:ascii="Times New Roman" w:hAnsi="Times New Roman" w:cs="Times New Roman"/>
          <w:sz w:val="24"/>
          <w:szCs w:val="24"/>
        </w:rPr>
        <w:t xml:space="preserve"> </w:t>
      </w:r>
      <w:r>
        <w:rPr>
          <w:rFonts w:ascii="Times New Roman" w:hAnsi="Times New Roman" w:cs="Times New Roman"/>
          <w:sz w:val="24"/>
          <w:szCs w:val="24"/>
        </w:rPr>
        <w:t xml:space="preserve">The </w:t>
      </w:r>
      <w:r w:rsidR="001012A9">
        <w:rPr>
          <w:rFonts w:ascii="Times New Roman" w:hAnsi="Times New Roman" w:cs="Times New Roman"/>
          <w:sz w:val="24"/>
          <w:szCs w:val="24"/>
        </w:rPr>
        <w:t xml:space="preserve">calculation of the impact fee to be levied on a development should be rooted on reliable </w:t>
      </w:r>
      <w:r w:rsidR="00763266">
        <w:rPr>
          <w:rFonts w:ascii="Times New Roman" w:hAnsi="Times New Roman" w:cs="Times New Roman"/>
          <w:sz w:val="24"/>
          <w:szCs w:val="24"/>
        </w:rPr>
        <w:t>fiscal</w:t>
      </w:r>
      <w:r w:rsidR="001012A9">
        <w:rPr>
          <w:rFonts w:ascii="Times New Roman" w:hAnsi="Times New Roman" w:cs="Times New Roman"/>
          <w:sz w:val="24"/>
          <w:szCs w:val="24"/>
        </w:rPr>
        <w:t xml:space="preserve"> impact studies</w:t>
      </w:r>
      <w:r w:rsidR="00443DDF">
        <w:rPr>
          <w:rFonts w:ascii="Times New Roman" w:hAnsi="Times New Roman" w:cs="Times New Roman"/>
          <w:sz w:val="24"/>
          <w:szCs w:val="24"/>
        </w:rPr>
        <w:t>.</w:t>
      </w:r>
      <w:r w:rsidR="00616482" w:rsidRPr="00616482">
        <w:t xml:space="preserve"> </w:t>
      </w:r>
      <w:r w:rsidR="00616482" w:rsidRPr="00616482">
        <w:rPr>
          <w:rFonts w:ascii="Times New Roman" w:hAnsi="Times New Roman" w:cs="Times New Roman"/>
          <w:sz w:val="24"/>
          <w:szCs w:val="24"/>
        </w:rPr>
        <w:t xml:space="preserve">The various impact fees are calculated separately based on the city’s expectations of an increase in school capacity, transportation, capital improvement, and housing (in the case of non-residential developments), requirements. The </w:t>
      </w:r>
      <w:r w:rsidR="00616482">
        <w:rPr>
          <w:rFonts w:ascii="Times New Roman" w:hAnsi="Times New Roman" w:cs="Times New Roman"/>
          <w:sz w:val="24"/>
          <w:szCs w:val="24"/>
        </w:rPr>
        <w:t>first step would be to carry out a</w:t>
      </w:r>
      <w:r w:rsidR="00616482" w:rsidRPr="00616482">
        <w:rPr>
          <w:rFonts w:ascii="Times New Roman" w:hAnsi="Times New Roman" w:cs="Times New Roman"/>
          <w:sz w:val="24"/>
          <w:szCs w:val="24"/>
        </w:rPr>
        <w:t xml:space="preserve"> TIA </w:t>
      </w:r>
      <w:r w:rsidR="00616482">
        <w:rPr>
          <w:rFonts w:ascii="Times New Roman" w:hAnsi="Times New Roman" w:cs="Times New Roman"/>
          <w:sz w:val="24"/>
          <w:szCs w:val="24"/>
        </w:rPr>
        <w:t xml:space="preserve">of the types of property under development </w:t>
      </w:r>
      <w:r w:rsidR="00616482" w:rsidRPr="00616482">
        <w:rPr>
          <w:rFonts w:ascii="Times New Roman" w:hAnsi="Times New Roman" w:cs="Times New Roman"/>
          <w:sz w:val="24"/>
          <w:szCs w:val="24"/>
        </w:rPr>
        <w:t xml:space="preserve">to estimate the increase in school children, residents, and non-residents regularly commuting into the locale as a result of the development and other relevant drivers of public cost. The </w:t>
      </w:r>
      <w:r w:rsidR="00763266">
        <w:rPr>
          <w:rFonts w:ascii="Times New Roman" w:hAnsi="Times New Roman" w:cs="Times New Roman"/>
          <w:sz w:val="24"/>
          <w:szCs w:val="24"/>
        </w:rPr>
        <w:t>fiscal</w:t>
      </w:r>
      <w:r w:rsidR="00616482" w:rsidRPr="00616482">
        <w:rPr>
          <w:rFonts w:ascii="Times New Roman" w:hAnsi="Times New Roman" w:cs="Times New Roman"/>
          <w:sz w:val="24"/>
          <w:szCs w:val="24"/>
        </w:rPr>
        <w:t xml:space="preserve"> impact assessments should then be adopted at the municipal level or at a stat</w:t>
      </w:r>
      <w:r w:rsidR="00CE30C9">
        <w:rPr>
          <w:rFonts w:ascii="Times New Roman" w:hAnsi="Times New Roman" w:cs="Times New Roman"/>
          <w:sz w:val="24"/>
          <w:szCs w:val="24"/>
        </w:rPr>
        <w:t>e</w:t>
      </w:r>
      <w:r w:rsidR="00616482" w:rsidRPr="00616482">
        <w:rPr>
          <w:rFonts w:ascii="Times New Roman" w:hAnsi="Times New Roman" w:cs="Times New Roman"/>
          <w:sz w:val="24"/>
          <w:szCs w:val="24"/>
        </w:rPr>
        <w:t>-wide level if feasible, which will ensure the use of objective standards and transparency of the impact fee determination method (</w:t>
      </w:r>
      <w:r w:rsidR="00616482">
        <w:rPr>
          <w:rFonts w:ascii="Times New Roman" w:hAnsi="Times New Roman" w:cs="Times New Roman"/>
          <w:sz w:val="24"/>
          <w:szCs w:val="24"/>
        </w:rPr>
        <w:t>Mawhorter, Garcia &amp; Raetz, 2018</w:t>
      </w:r>
      <w:r w:rsidR="00616482" w:rsidRPr="00616482">
        <w:rPr>
          <w:rFonts w:ascii="Times New Roman" w:hAnsi="Times New Roman" w:cs="Times New Roman"/>
          <w:sz w:val="24"/>
          <w:szCs w:val="24"/>
        </w:rPr>
        <w:t>).</w:t>
      </w:r>
      <w:r w:rsidR="00616482">
        <w:rPr>
          <w:rFonts w:ascii="Times New Roman" w:hAnsi="Times New Roman" w:cs="Times New Roman"/>
          <w:sz w:val="24"/>
          <w:szCs w:val="24"/>
        </w:rPr>
        <w:t xml:space="preserve"> </w:t>
      </w:r>
    </w:p>
    <w:p w14:paraId="24262C45" w14:textId="68025E0B" w:rsidR="00424641" w:rsidRPr="00CD6CE6" w:rsidRDefault="001012A9" w:rsidP="00CE30C9">
      <w:pPr>
        <w:ind w:firstLine="720"/>
        <w:rPr>
          <w:rFonts w:ascii="Times New Roman" w:hAnsi="Times New Roman" w:cs="Times New Roman"/>
          <w:sz w:val="24"/>
          <w:szCs w:val="24"/>
        </w:rPr>
      </w:pPr>
      <w:r>
        <w:rPr>
          <w:rFonts w:ascii="Times New Roman" w:hAnsi="Times New Roman" w:cs="Times New Roman"/>
          <w:sz w:val="24"/>
          <w:szCs w:val="24"/>
        </w:rPr>
        <w:t xml:space="preserve">Other than the validity of the </w:t>
      </w:r>
      <w:r w:rsidR="00563B0F">
        <w:rPr>
          <w:rFonts w:ascii="Times New Roman" w:hAnsi="Times New Roman" w:cs="Times New Roman"/>
          <w:sz w:val="24"/>
          <w:szCs w:val="24"/>
        </w:rPr>
        <w:t>fiscal</w:t>
      </w:r>
      <w:r>
        <w:rPr>
          <w:rFonts w:ascii="Times New Roman" w:hAnsi="Times New Roman" w:cs="Times New Roman"/>
          <w:sz w:val="24"/>
          <w:szCs w:val="24"/>
        </w:rPr>
        <w:t xml:space="preserve"> impact </w:t>
      </w:r>
      <w:r w:rsidR="00DE15D5">
        <w:rPr>
          <w:rFonts w:ascii="Times New Roman" w:hAnsi="Times New Roman" w:cs="Times New Roman"/>
          <w:sz w:val="24"/>
          <w:szCs w:val="24"/>
        </w:rPr>
        <w:t>a</w:t>
      </w:r>
      <w:r w:rsidR="00563B0F">
        <w:rPr>
          <w:rFonts w:ascii="Times New Roman" w:hAnsi="Times New Roman" w:cs="Times New Roman"/>
          <w:sz w:val="24"/>
          <w:szCs w:val="24"/>
        </w:rPr>
        <w:t>nalysis</w:t>
      </w:r>
      <w:r>
        <w:rPr>
          <w:rFonts w:ascii="Times New Roman" w:hAnsi="Times New Roman" w:cs="Times New Roman"/>
          <w:sz w:val="24"/>
          <w:szCs w:val="24"/>
        </w:rPr>
        <w:t xml:space="preserve">, local authorities should also consider who bears the brunt of the burden. </w:t>
      </w:r>
      <w:r w:rsidR="00616482">
        <w:rPr>
          <w:rFonts w:ascii="Times New Roman" w:hAnsi="Times New Roman" w:cs="Times New Roman"/>
          <w:sz w:val="24"/>
          <w:szCs w:val="24"/>
        </w:rPr>
        <w:t xml:space="preserve">In most cases, developers will pass the cost to the renters/purchasers of the </w:t>
      </w:r>
      <w:r w:rsidR="00C6402B">
        <w:rPr>
          <w:rFonts w:ascii="Times New Roman" w:hAnsi="Times New Roman" w:cs="Times New Roman"/>
          <w:sz w:val="24"/>
          <w:szCs w:val="24"/>
        </w:rPr>
        <w:t>property through higher prices.</w:t>
      </w:r>
      <w:r w:rsidR="004E1A2B">
        <w:rPr>
          <w:rFonts w:ascii="Times New Roman" w:hAnsi="Times New Roman" w:cs="Times New Roman"/>
          <w:sz w:val="24"/>
          <w:szCs w:val="24"/>
        </w:rPr>
        <w:t xml:space="preserve"> In some cases, impact fees might discourage the construction of residential housing and instead encourage the construction of industrial properties, which have lower impact fees (Duncan</w:t>
      </w:r>
      <w:r w:rsidR="006A25F2">
        <w:rPr>
          <w:rFonts w:ascii="Times New Roman" w:hAnsi="Times New Roman" w:cs="Times New Roman"/>
          <w:sz w:val="24"/>
          <w:szCs w:val="24"/>
        </w:rPr>
        <w:t xml:space="preserve"> Associates</w:t>
      </w:r>
      <w:r w:rsidR="004E1A2B">
        <w:rPr>
          <w:rFonts w:ascii="Times New Roman" w:hAnsi="Times New Roman" w:cs="Times New Roman"/>
          <w:sz w:val="24"/>
          <w:szCs w:val="24"/>
        </w:rPr>
        <w:t xml:space="preserve">, 2015). The changing landscape of the region might hurt the value of long-term residents’ properties, which in effect </w:t>
      </w:r>
      <w:r w:rsidR="004E1A2B">
        <w:rPr>
          <w:rFonts w:ascii="Times New Roman" w:hAnsi="Times New Roman" w:cs="Times New Roman"/>
          <w:sz w:val="24"/>
          <w:szCs w:val="24"/>
        </w:rPr>
        <w:lastRenderedPageBreak/>
        <w:t xml:space="preserve">shifts the impact fee burden to the unintended party. </w:t>
      </w:r>
      <w:r w:rsidR="004E1A2B" w:rsidRPr="002626BE">
        <w:rPr>
          <w:rFonts w:ascii="Times New Roman" w:hAnsi="Times New Roman" w:cs="Times New Roman"/>
          <w:sz w:val="24"/>
          <w:szCs w:val="24"/>
        </w:rPr>
        <w:t>Mawhorter</w:t>
      </w:r>
      <w:r w:rsidR="004E1A2B" w:rsidRPr="004E1A2B">
        <w:rPr>
          <w:rFonts w:ascii="Times New Roman" w:hAnsi="Times New Roman" w:cs="Times New Roman"/>
          <w:sz w:val="24"/>
          <w:szCs w:val="24"/>
        </w:rPr>
        <w:t xml:space="preserve"> et al.</w:t>
      </w:r>
      <w:r w:rsidR="004E1A2B" w:rsidRPr="002626BE">
        <w:rPr>
          <w:rFonts w:ascii="Times New Roman" w:hAnsi="Times New Roman" w:cs="Times New Roman"/>
          <w:sz w:val="24"/>
          <w:szCs w:val="24"/>
        </w:rPr>
        <w:t xml:space="preserve"> (2018) </w:t>
      </w:r>
      <w:r w:rsidR="004E1A2B">
        <w:rPr>
          <w:rFonts w:ascii="Times New Roman" w:hAnsi="Times New Roman" w:cs="Times New Roman"/>
          <w:sz w:val="24"/>
          <w:szCs w:val="24"/>
        </w:rPr>
        <w:t xml:space="preserve">also presented </w:t>
      </w:r>
      <w:r w:rsidR="004E1A2B" w:rsidRPr="004E1A2B">
        <w:rPr>
          <w:rFonts w:ascii="Times New Roman" w:hAnsi="Times New Roman" w:cs="Times New Roman"/>
          <w:sz w:val="24"/>
          <w:szCs w:val="24"/>
        </w:rPr>
        <w:t>that the use of impact fees that are disproportionately higher for smaller family homes incentivizes construction companies to build larger houses, further reducing the supply of housing</w:t>
      </w:r>
      <w:r w:rsidR="004E1A2B">
        <w:rPr>
          <w:rFonts w:ascii="Times New Roman" w:hAnsi="Times New Roman" w:cs="Times New Roman"/>
          <w:sz w:val="24"/>
          <w:szCs w:val="24"/>
        </w:rPr>
        <w:t>, which in turn drives prices up causing renters and prospective buyers to bear a burden that far exceeds the proportional share of growth they are responsible for</w:t>
      </w:r>
      <w:r w:rsidR="004E1A2B" w:rsidRPr="004E1A2B">
        <w:rPr>
          <w:rFonts w:ascii="Times New Roman" w:hAnsi="Times New Roman" w:cs="Times New Roman"/>
          <w:sz w:val="24"/>
          <w:szCs w:val="24"/>
        </w:rPr>
        <w:t>.</w:t>
      </w:r>
      <w:r w:rsidR="004E1A2B">
        <w:rPr>
          <w:rFonts w:ascii="Times New Roman" w:hAnsi="Times New Roman" w:cs="Times New Roman"/>
          <w:sz w:val="24"/>
          <w:szCs w:val="24"/>
        </w:rPr>
        <w:t xml:space="preserve"> Thus, </w:t>
      </w:r>
      <w:r w:rsidR="002626BE">
        <w:rPr>
          <w:rFonts w:ascii="Times New Roman" w:hAnsi="Times New Roman" w:cs="Times New Roman"/>
          <w:sz w:val="24"/>
          <w:szCs w:val="24"/>
        </w:rPr>
        <w:t>the</w:t>
      </w:r>
      <w:r w:rsidR="002626BE" w:rsidRPr="002626BE">
        <w:rPr>
          <w:rFonts w:ascii="Times New Roman" w:hAnsi="Times New Roman" w:cs="Times New Roman"/>
          <w:sz w:val="24"/>
          <w:szCs w:val="24"/>
        </w:rPr>
        <w:t xml:space="preserve"> structure of </w:t>
      </w:r>
      <w:r w:rsidR="002626BE">
        <w:rPr>
          <w:rFonts w:ascii="Times New Roman" w:hAnsi="Times New Roman" w:cs="Times New Roman"/>
          <w:sz w:val="24"/>
          <w:szCs w:val="24"/>
        </w:rPr>
        <w:t xml:space="preserve">the </w:t>
      </w:r>
      <w:r w:rsidR="002626BE" w:rsidRPr="002626BE">
        <w:rPr>
          <w:rFonts w:ascii="Times New Roman" w:hAnsi="Times New Roman" w:cs="Times New Roman"/>
          <w:sz w:val="24"/>
          <w:szCs w:val="24"/>
        </w:rPr>
        <w:t xml:space="preserve">impact fees </w:t>
      </w:r>
      <w:r w:rsidR="002626BE">
        <w:rPr>
          <w:rFonts w:ascii="Times New Roman" w:hAnsi="Times New Roman" w:cs="Times New Roman"/>
          <w:sz w:val="24"/>
          <w:szCs w:val="24"/>
        </w:rPr>
        <w:t>and its effect on developers’ choice of housing units</w:t>
      </w:r>
      <w:r w:rsidR="004E1A2B">
        <w:rPr>
          <w:rFonts w:ascii="Times New Roman" w:hAnsi="Times New Roman" w:cs="Times New Roman"/>
          <w:sz w:val="24"/>
          <w:szCs w:val="24"/>
        </w:rPr>
        <w:t xml:space="preserve"> should be considered prior to the adoption of the impact fee rates</w:t>
      </w:r>
      <w:r w:rsidR="002626BE">
        <w:rPr>
          <w:rFonts w:ascii="Times New Roman" w:hAnsi="Times New Roman" w:cs="Times New Roman"/>
          <w:sz w:val="24"/>
          <w:szCs w:val="24"/>
        </w:rPr>
        <w:t>.</w:t>
      </w:r>
    </w:p>
    <w:p w14:paraId="453F73D6" w14:textId="57831EC9" w:rsidR="00424641" w:rsidRDefault="00424641">
      <w:pPr>
        <w:rPr>
          <w:rFonts w:ascii="Times New Roman" w:hAnsi="Times New Roman" w:cs="Times New Roman"/>
          <w:b/>
          <w:bCs/>
          <w:sz w:val="24"/>
          <w:szCs w:val="24"/>
        </w:rPr>
      </w:pPr>
      <w:r w:rsidRPr="000F3775">
        <w:rPr>
          <w:rFonts w:ascii="Times New Roman" w:hAnsi="Times New Roman" w:cs="Times New Roman"/>
          <w:b/>
          <w:bCs/>
          <w:sz w:val="24"/>
          <w:szCs w:val="24"/>
        </w:rPr>
        <w:t>Tax Increment Financing for Redevelopment</w:t>
      </w:r>
    </w:p>
    <w:p w14:paraId="544392EE" w14:textId="667F1F99" w:rsidR="004825F6" w:rsidRPr="004825F6" w:rsidRDefault="00E2453B" w:rsidP="004825F6">
      <w:pPr>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Unlike impact fees which charge developers a levy for new developments, tax increment financing provide</w:t>
      </w:r>
      <w:r w:rsidR="004825F6">
        <w:rPr>
          <w:rFonts w:ascii="Times New Roman" w:hAnsi="Times New Roman" w:cs="Times New Roman"/>
          <w:sz w:val="24"/>
          <w:szCs w:val="24"/>
        </w:rPr>
        <w:t>s</w:t>
      </w:r>
      <w:r>
        <w:rPr>
          <w:rFonts w:ascii="Times New Roman" w:hAnsi="Times New Roman" w:cs="Times New Roman"/>
          <w:sz w:val="24"/>
          <w:szCs w:val="24"/>
        </w:rPr>
        <w:t xml:space="preserve"> benefits to the residents and businesses in the tax increment district in the form of </w:t>
      </w:r>
      <w:r w:rsidR="000C5721">
        <w:rPr>
          <w:rFonts w:ascii="Times New Roman" w:hAnsi="Times New Roman" w:cs="Times New Roman"/>
          <w:sz w:val="24"/>
          <w:szCs w:val="24"/>
        </w:rPr>
        <w:t>improved infrastructure</w:t>
      </w:r>
      <w:r w:rsidR="004825F6">
        <w:rPr>
          <w:rFonts w:ascii="Times New Roman" w:hAnsi="Times New Roman" w:cs="Times New Roman"/>
          <w:sz w:val="24"/>
          <w:szCs w:val="24"/>
        </w:rPr>
        <w:t xml:space="preserve">. </w:t>
      </w:r>
      <w:r w:rsidR="004825F6" w:rsidRPr="004825F6">
        <w:rPr>
          <w:rFonts w:ascii="Times New Roman" w:hAnsi="Times New Roman" w:cs="Times New Roman"/>
          <w:sz w:val="24"/>
          <w:szCs w:val="24"/>
        </w:rPr>
        <w:t>TIFs reward private citizens and developers for the stimulation of economic development and real estate price appreciation by dedicating a portion of the incremental property tax revenues to the economic development of the tax increment district (Merriman, 2018). The initial step in effecting tax increment financing is to establish the conditions for the creation of TIF districts within the state legislation and to grant the relevant local government the right to operate the TIF (Merriman, 2018). Some of the conditions that must be specified in the state legislation include the TIF district’s goals, terms of operations, and activities for which TIF expenditures are allowed (Merriman, 2018). The demarcation of the TIF districts varies from state to state. The state should identify the areas it seeks to stimulate or remediate and create TIFs to influence developers’ activities to the desired. For example, Minnesota established a hazardous waste substances subdivision to encourage the clean-up of areas with hazardous waste substances. Most states include at least one blight condition for TIF district qualification; “the area must have a substantial number of substandard, slum, deteriorated, or deteriorating structures” (Merriman, 2018). This criterion arises from the historic basis of TIFs as a means of curbing urban sprawl and facilitating inner-city development: the promise of improvement of public infrastructure increases the demand for housing within previously undeveloped neighborhoods and encourages private developers to invest in these regions.</w:t>
      </w:r>
    </w:p>
    <w:p w14:paraId="086C0DCE" w14:textId="25E72491" w:rsidR="00424641" w:rsidRPr="00CD6CE6" w:rsidRDefault="004825F6" w:rsidP="00A83C6A">
      <w:pPr>
        <w:ind w:firstLine="720"/>
        <w:rPr>
          <w:rFonts w:ascii="Times New Roman" w:hAnsi="Times New Roman" w:cs="Times New Roman"/>
          <w:sz w:val="24"/>
          <w:szCs w:val="24"/>
        </w:rPr>
      </w:pPr>
      <w:r w:rsidRPr="004825F6">
        <w:rPr>
          <w:rFonts w:ascii="Times New Roman" w:hAnsi="Times New Roman" w:cs="Times New Roman"/>
          <w:sz w:val="24"/>
          <w:szCs w:val="24"/>
        </w:rPr>
        <w:t>Even though the setup of TIFs suggests that the benefits of economic development will be realized after the private expenditure has been incurred in a pay-as-you-go scheme, this is often not the case: municipalities that are unable to incentivize private investment from the creation of TIFs are usually allowed to initiate public spending on infrastructure to attract private investors to the area (Merriman, 2018). This is accomplished through bond-financed TIFs – where the local government undertakes public investment using the proceeds of bonds that are to be refinanced using the incremental tax revenues – and developer-financed TIFs, where developers carry out the infrastructural developments and are reimbursed on the stabilization of the TIF (Merriman, 2018). In these cases, most of the benefits of the TIFs accrue to the initial developer especially when a significant portion of the earmarked funds are used to reimburse developers for allowable costs. TIFs have been criticized for accruing little benefits to the residents of the district and instead subsidizing the construction activities of wealthy developers (LeRoy, 2008</w:t>
      </w:r>
      <w:r w:rsidR="002D3617">
        <w:rPr>
          <w:rFonts w:ascii="Times New Roman" w:hAnsi="Times New Roman" w:cs="Times New Roman"/>
          <w:sz w:val="24"/>
          <w:szCs w:val="24"/>
        </w:rPr>
        <w:t xml:space="preserve">; Weber &amp; </w:t>
      </w:r>
      <w:r w:rsidR="002D3617" w:rsidRPr="002D3617">
        <w:rPr>
          <w:rFonts w:ascii="Times New Roman" w:hAnsi="Times New Roman" w:cs="Times New Roman"/>
          <w:sz w:val="24"/>
          <w:szCs w:val="24"/>
        </w:rPr>
        <w:t>Goddeeris</w:t>
      </w:r>
      <w:r w:rsidR="002D3617">
        <w:rPr>
          <w:rFonts w:ascii="Times New Roman" w:hAnsi="Times New Roman" w:cs="Times New Roman"/>
          <w:sz w:val="24"/>
          <w:szCs w:val="24"/>
        </w:rPr>
        <w:t>, 2007</w:t>
      </w:r>
      <w:r w:rsidRPr="004825F6">
        <w:rPr>
          <w:rFonts w:ascii="Times New Roman" w:hAnsi="Times New Roman" w:cs="Times New Roman"/>
          <w:sz w:val="24"/>
          <w:szCs w:val="24"/>
        </w:rPr>
        <w:t xml:space="preserve">). The state government should have a clear vision for </w:t>
      </w:r>
      <w:r w:rsidRPr="004825F6">
        <w:rPr>
          <w:rFonts w:ascii="Times New Roman" w:hAnsi="Times New Roman" w:cs="Times New Roman"/>
          <w:sz w:val="24"/>
          <w:szCs w:val="24"/>
        </w:rPr>
        <w:lastRenderedPageBreak/>
        <w:t>the TIF and put in place mechanisms that prevent the use of TIF expenditures in a manner that is unaligned with the financing objectives. This can be done by restricting the reimbursable expenditures to developers. Additionally, the state government can limit municipalities to the use of pay-as-you-go schemes or closely monitor the use of bond financing if the creation of a TIF district is insufficient in stimulating private investment.</w:t>
      </w:r>
    </w:p>
    <w:p w14:paraId="0B9B82AF" w14:textId="77777777" w:rsidR="00450635" w:rsidRDefault="00424641" w:rsidP="00101E28">
      <w:pPr>
        <w:rPr>
          <w:rFonts w:ascii="Times New Roman" w:hAnsi="Times New Roman" w:cs="Times New Roman"/>
          <w:b/>
          <w:bCs/>
          <w:sz w:val="24"/>
          <w:szCs w:val="24"/>
        </w:rPr>
      </w:pPr>
      <w:r w:rsidRPr="000F3775">
        <w:rPr>
          <w:rFonts w:ascii="Times New Roman" w:hAnsi="Times New Roman" w:cs="Times New Roman"/>
          <w:b/>
          <w:bCs/>
          <w:sz w:val="24"/>
          <w:szCs w:val="24"/>
        </w:rPr>
        <w:t xml:space="preserve">Payment in Lieu of Taxes </w:t>
      </w:r>
      <w:r w:rsidR="006E56EC" w:rsidRPr="000F3775">
        <w:rPr>
          <w:rFonts w:ascii="Times New Roman" w:hAnsi="Times New Roman" w:cs="Times New Roman"/>
          <w:b/>
          <w:bCs/>
          <w:sz w:val="24"/>
          <w:szCs w:val="24"/>
        </w:rPr>
        <w:t xml:space="preserve">(PILOT) </w:t>
      </w:r>
    </w:p>
    <w:p w14:paraId="28F81D4B" w14:textId="111F968B" w:rsidR="00BB60DD" w:rsidRDefault="00450635" w:rsidP="00A348E2">
      <w:pPr>
        <w:ind w:firstLine="720"/>
        <w:rPr>
          <w:rFonts w:ascii="Times New Roman" w:hAnsi="Times New Roman" w:cs="Times New Roman"/>
          <w:sz w:val="24"/>
          <w:szCs w:val="24"/>
        </w:rPr>
      </w:pPr>
      <w:r>
        <w:rPr>
          <w:rFonts w:ascii="Times New Roman" w:hAnsi="Times New Roman" w:cs="Times New Roman"/>
          <w:sz w:val="24"/>
          <w:szCs w:val="24"/>
        </w:rPr>
        <w:t xml:space="preserve">As the name suggests, payment in lieu of taxes (PILOT) are revenues collected from nonprofit organizations and other entities that own properties exempt from state taxes (Kenyon &amp; Langley, 2007). </w:t>
      </w:r>
      <w:r w:rsidR="00A348E2" w:rsidRPr="00A348E2">
        <w:rPr>
          <w:rFonts w:ascii="Times New Roman" w:hAnsi="Times New Roman" w:cs="Times New Roman"/>
          <w:sz w:val="24"/>
          <w:szCs w:val="24"/>
        </w:rPr>
        <w:t>PILOTs are voluntary in natur</w:t>
      </w:r>
      <w:r w:rsidR="00A348E2">
        <w:rPr>
          <w:rFonts w:ascii="Times New Roman" w:hAnsi="Times New Roman" w:cs="Times New Roman"/>
          <w:sz w:val="24"/>
          <w:szCs w:val="24"/>
        </w:rPr>
        <w:t>e as non-profit organizations are not required to remit any taxes to state or local governments. For this reason, local governments</w:t>
      </w:r>
      <w:r w:rsidR="00EF64CC">
        <w:rPr>
          <w:rFonts w:ascii="Times New Roman" w:hAnsi="Times New Roman" w:cs="Times New Roman"/>
          <w:sz w:val="24"/>
          <w:szCs w:val="24"/>
        </w:rPr>
        <w:t xml:space="preserve"> (NPOs)</w:t>
      </w:r>
      <w:r w:rsidR="00A348E2">
        <w:rPr>
          <w:rFonts w:ascii="Times New Roman" w:hAnsi="Times New Roman" w:cs="Times New Roman"/>
          <w:sz w:val="24"/>
          <w:szCs w:val="24"/>
        </w:rPr>
        <w:t xml:space="preserve"> must leverage the dependent relationship between NPOs and </w:t>
      </w:r>
      <w:r w:rsidR="00EF64CC">
        <w:rPr>
          <w:rFonts w:ascii="Times New Roman" w:hAnsi="Times New Roman" w:cs="Times New Roman"/>
          <w:sz w:val="24"/>
          <w:szCs w:val="24"/>
        </w:rPr>
        <w:t xml:space="preserve">the town </w:t>
      </w:r>
      <w:r w:rsidR="00A348E2">
        <w:rPr>
          <w:rFonts w:ascii="Times New Roman" w:hAnsi="Times New Roman" w:cs="Times New Roman"/>
          <w:sz w:val="24"/>
          <w:szCs w:val="24"/>
        </w:rPr>
        <w:t xml:space="preserve">when negotiating PILOTs. </w:t>
      </w:r>
      <w:r w:rsidR="00EF64CC">
        <w:rPr>
          <w:rFonts w:ascii="Times New Roman" w:hAnsi="Times New Roman" w:cs="Times New Roman"/>
          <w:sz w:val="24"/>
          <w:szCs w:val="24"/>
        </w:rPr>
        <w:t xml:space="preserve">The collection of payments from NPOs appears to be inconsistent with rationale behind the exemption of NPOs from taxation: non-profit entities provide services that would have otherwise fallen to governmental entities, thereby (Kenyon &amp; Langley, 2007) reducing the expenditures made by these governments. Proponents of PILOTs justify the payments as “a means of partially offsetting property tax revenues forgone and </w:t>
      </w:r>
      <w:r w:rsidR="00EF64CC" w:rsidRPr="00EF64CC">
        <w:rPr>
          <w:rFonts w:ascii="Times New Roman" w:hAnsi="Times New Roman" w:cs="Times New Roman"/>
          <w:sz w:val="24"/>
          <w:szCs w:val="24"/>
        </w:rPr>
        <w:t>as contributions to cover the nonprofit’s share of the cost of public services provided by municipalities that are normally funded with property taxes</w:t>
      </w:r>
      <w:r w:rsidR="00EF64CC">
        <w:rPr>
          <w:rFonts w:ascii="Times New Roman" w:hAnsi="Times New Roman" w:cs="Times New Roman"/>
          <w:sz w:val="24"/>
          <w:szCs w:val="24"/>
        </w:rPr>
        <w:t>” (Kenyon &amp; Langley, 2007, p.6).</w:t>
      </w:r>
    </w:p>
    <w:p w14:paraId="1E16853D" w14:textId="50DE38BF" w:rsidR="00450635" w:rsidRDefault="00A348E2" w:rsidP="00A348E2">
      <w:pPr>
        <w:ind w:firstLine="720"/>
        <w:rPr>
          <w:rFonts w:ascii="Times New Roman" w:hAnsi="Times New Roman" w:cs="Times New Roman"/>
          <w:sz w:val="24"/>
          <w:szCs w:val="24"/>
        </w:rPr>
      </w:pPr>
      <w:r w:rsidRPr="00A348E2">
        <w:rPr>
          <w:rFonts w:ascii="Times New Roman" w:hAnsi="Times New Roman" w:cs="Times New Roman"/>
          <w:sz w:val="24"/>
          <w:szCs w:val="24"/>
        </w:rPr>
        <w:t>State and local tax authorities can negotiate PILOTs with one or more nonprofits as necessary or could create systematic PILOT programs to guide the expected collections from non-profits (Kenyon &amp; Langley, 2007).</w:t>
      </w:r>
      <w:r>
        <w:rPr>
          <w:rFonts w:ascii="Times New Roman" w:hAnsi="Times New Roman" w:cs="Times New Roman"/>
          <w:sz w:val="24"/>
          <w:szCs w:val="24"/>
        </w:rPr>
        <w:t xml:space="preserve"> </w:t>
      </w:r>
      <w:r w:rsidR="00450635">
        <w:rPr>
          <w:rFonts w:ascii="Times New Roman" w:hAnsi="Times New Roman" w:cs="Times New Roman"/>
          <w:sz w:val="24"/>
          <w:szCs w:val="24"/>
        </w:rPr>
        <w:t xml:space="preserve">In most cases, </w:t>
      </w:r>
      <w:r>
        <w:rPr>
          <w:rFonts w:ascii="Times New Roman" w:hAnsi="Times New Roman" w:cs="Times New Roman"/>
          <w:sz w:val="24"/>
          <w:szCs w:val="24"/>
        </w:rPr>
        <w:t>governments will negotiate payments with one or a few nonprofits as universities and hospitals, which represent 1% of the registered charity organizations, account for approximately 52% of the annual revenues reported by nonprofit organizations. Consequently, most of the non-profit organizations within a tax jurisdiction will not be in a position to remit voluntary payments to the relevant government.</w:t>
      </w:r>
      <w:r w:rsidR="00980C14">
        <w:rPr>
          <w:rFonts w:ascii="Times New Roman" w:hAnsi="Times New Roman" w:cs="Times New Roman"/>
          <w:sz w:val="24"/>
          <w:szCs w:val="24"/>
        </w:rPr>
        <w:t xml:space="preserve"> The use of PILOTs to finance government operations is fraught with controversy, most of which arises from the lack of standardization of PILOT programs and arbitrary manner localities used in the collection of PILOTs (Quigley, 2017). Additionally, PILOTs appear to be extortive as the local government holds considerable power over the NPO and could make it difficult for the organization to obtain the licenses and permits required for the smooth running of operations (Quigley, 2017). Should the local authorities choose to pursue PILOTs as a means of revenue generation, the program should be standardized and transparent with clear guidelines to preserve the voluntary nature of PILOTs and protect NPOs from re</w:t>
      </w:r>
      <w:r w:rsidR="00B01753">
        <w:rPr>
          <w:rFonts w:ascii="Times New Roman" w:hAnsi="Times New Roman" w:cs="Times New Roman"/>
          <w:sz w:val="24"/>
          <w:szCs w:val="24"/>
        </w:rPr>
        <w:t>tributive action.</w:t>
      </w:r>
    </w:p>
    <w:p w14:paraId="2E808652" w14:textId="2506E0DB" w:rsidR="00DE7A85" w:rsidRDefault="006E56EC" w:rsidP="00101E28">
      <w:pPr>
        <w:rPr>
          <w:rFonts w:ascii="Times New Roman" w:hAnsi="Times New Roman" w:cs="Times New Roman"/>
          <w:b/>
          <w:bCs/>
          <w:sz w:val="24"/>
          <w:szCs w:val="24"/>
        </w:rPr>
      </w:pPr>
      <w:r w:rsidRPr="004F4327">
        <w:rPr>
          <w:rFonts w:ascii="Times New Roman" w:hAnsi="Times New Roman" w:cs="Times New Roman"/>
          <w:b/>
          <w:bCs/>
          <w:sz w:val="24"/>
          <w:szCs w:val="24"/>
        </w:rPr>
        <w:t xml:space="preserve">Property </w:t>
      </w:r>
      <w:r w:rsidR="00DE7A85">
        <w:rPr>
          <w:rFonts w:ascii="Times New Roman" w:hAnsi="Times New Roman" w:cs="Times New Roman"/>
          <w:b/>
          <w:bCs/>
          <w:sz w:val="24"/>
          <w:szCs w:val="24"/>
        </w:rPr>
        <w:t>T</w:t>
      </w:r>
      <w:r w:rsidRPr="004F4327">
        <w:rPr>
          <w:rFonts w:ascii="Times New Roman" w:hAnsi="Times New Roman" w:cs="Times New Roman"/>
          <w:b/>
          <w:bCs/>
          <w:sz w:val="24"/>
          <w:szCs w:val="24"/>
        </w:rPr>
        <w:t xml:space="preserve">ax </w:t>
      </w:r>
      <w:r w:rsidR="00DE7A85">
        <w:rPr>
          <w:rFonts w:ascii="Times New Roman" w:hAnsi="Times New Roman" w:cs="Times New Roman"/>
          <w:b/>
          <w:bCs/>
          <w:sz w:val="24"/>
          <w:szCs w:val="24"/>
        </w:rPr>
        <w:t>I</w:t>
      </w:r>
      <w:r w:rsidRPr="004F4327">
        <w:rPr>
          <w:rFonts w:ascii="Times New Roman" w:hAnsi="Times New Roman" w:cs="Times New Roman"/>
          <w:b/>
          <w:bCs/>
          <w:sz w:val="24"/>
          <w:szCs w:val="24"/>
        </w:rPr>
        <w:t xml:space="preserve">ncentives and </w:t>
      </w:r>
      <w:r w:rsidR="00DE7A85">
        <w:rPr>
          <w:rFonts w:ascii="Times New Roman" w:hAnsi="Times New Roman" w:cs="Times New Roman"/>
          <w:b/>
          <w:bCs/>
          <w:sz w:val="24"/>
          <w:szCs w:val="24"/>
        </w:rPr>
        <w:t>B</w:t>
      </w:r>
      <w:r w:rsidRPr="004F4327">
        <w:rPr>
          <w:rFonts w:ascii="Times New Roman" w:hAnsi="Times New Roman" w:cs="Times New Roman"/>
          <w:b/>
          <w:bCs/>
          <w:sz w:val="24"/>
          <w:szCs w:val="24"/>
        </w:rPr>
        <w:t xml:space="preserve">usiness </w:t>
      </w:r>
      <w:r w:rsidR="00DE7A85">
        <w:rPr>
          <w:rFonts w:ascii="Times New Roman" w:hAnsi="Times New Roman" w:cs="Times New Roman"/>
          <w:b/>
          <w:bCs/>
          <w:sz w:val="24"/>
          <w:szCs w:val="24"/>
        </w:rPr>
        <w:t>I</w:t>
      </w:r>
      <w:r w:rsidRPr="004F4327">
        <w:rPr>
          <w:rFonts w:ascii="Times New Roman" w:hAnsi="Times New Roman" w:cs="Times New Roman"/>
          <w:b/>
          <w:bCs/>
          <w:sz w:val="24"/>
          <w:szCs w:val="24"/>
        </w:rPr>
        <w:t xml:space="preserve">ncome </w:t>
      </w:r>
      <w:r w:rsidR="00DE7A85">
        <w:rPr>
          <w:rFonts w:ascii="Times New Roman" w:hAnsi="Times New Roman" w:cs="Times New Roman"/>
          <w:b/>
          <w:bCs/>
          <w:sz w:val="24"/>
          <w:szCs w:val="24"/>
        </w:rPr>
        <w:t>T</w:t>
      </w:r>
      <w:r w:rsidRPr="004F4327">
        <w:rPr>
          <w:rFonts w:ascii="Times New Roman" w:hAnsi="Times New Roman" w:cs="Times New Roman"/>
          <w:b/>
          <w:bCs/>
          <w:sz w:val="24"/>
          <w:szCs w:val="24"/>
        </w:rPr>
        <w:t xml:space="preserve">ax </w:t>
      </w:r>
      <w:r w:rsidR="00DE7A85">
        <w:rPr>
          <w:rFonts w:ascii="Times New Roman" w:hAnsi="Times New Roman" w:cs="Times New Roman"/>
          <w:b/>
          <w:bCs/>
          <w:sz w:val="24"/>
          <w:szCs w:val="24"/>
        </w:rPr>
        <w:t>C</w:t>
      </w:r>
      <w:r w:rsidRPr="004F4327">
        <w:rPr>
          <w:rFonts w:ascii="Times New Roman" w:hAnsi="Times New Roman" w:cs="Times New Roman"/>
          <w:b/>
          <w:bCs/>
          <w:sz w:val="24"/>
          <w:szCs w:val="24"/>
        </w:rPr>
        <w:t xml:space="preserve">redits </w:t>
      </w:r>
    </w:p>
    <w:p w14:paraId="51CDECD5" w14:textId="6688A8F5" w:rsidR="00E93661" w:rsidRDefault="002D3617" w:rsidP="002D3617">
      <w:pPr>
        <w:ind w:firstLine="720"/>
        <w:rPr>
          <w:rFonts w:ascii="Times New Roman" w:hAnsi="Times New Roman" w:cs="Times New Roman"/>
          <w:sz w:val="24"/>
          <w:szCs w:val="24"/>
        </w:rPr>
      </w:pPr>
      <w:r>
        <w:rPr>
          <w:rFonts w:ascii="Times New Roman" w:hAnsi="Times New Roman" w:cs="Times New Roman"/>
          <w:sz w:val="24"/>
          <w:szCs w:val="24"/>
        </w:rPr>
        <w:t>Property tax incentives and tax i</w:t>
      </w:r>
      <w:r w:rsidR="0073611A">
        <w:rPr>
          <w:rFonts w:ascii="Times New Roman" w:hAnsi="Times New Roman" w:cs="Times New Roman"/>
          <w:sz w:val="24"/>
          <w:szCs w:val="24"/>
        </w:rPr>
        <w:t>ncrement</w:t>
      </w:r>
      <w:r>
        <w:rPr>
          <w:rFonts w:ascii="Times New Roman" w:hAnsi="Times New Roman" w:cs="Times New Roman"/>
          <w:sz w:val="24"/>
          <w:szCs w:val="24"/>
        </w:rPr>
        <w:t xml:space="preserve"> financing are similar in their application as fiscal tools used to incentivize </w:t>
      </w:r>
      <w:r w:rsidR="00381465">
        <w:rPr>
          <w:rFonts w:ascii="Times New Roman" w:hAnsi="Times New Roman" w:cs="Times New Roman"/>
          <w:sz w:val="24"/>
          <w:szCs w:val="24"/>
        </w:rPr>
        <w:t>economic development</w:t>
      </w:r>
      <w:r w:rsidR="00FF3F94">
        <w:rPr>
          <w:rFonts w:ascii="Times New Roman" w:hAnsi="Times New Roman" w:cs="Times New Roman"/>
          <w:sz w:val="24"/>
          <w:szCs w:val="24"/>
        </w:rPr>
        <w:t>; in fact, tax i</w:t>
      </w:r>
      <w:r w:rsidR="0073611A">
        <w:rPr>
          <w:rFonts w:ascii="Times New Roman" w:hAnsi="Times New Roman" w:cs="Times New Roman"/>
          <w:sz w:val="24"/>
          <w:szCs w:val="24"/>
        </w:rPr>
        <w:t xml:space="preserve">ncrement </w:t>
      </w:r>
      <w:r w:rsidR="00FF3F94">
        <w:rPr>
          <w:rFonts w:ascii="Times New Roman" w:hAnsi="Times New Roman" w:cs="Times New Roman"/>
          <w:sz w:val="24"/>
          <w:szCs w:val="24"/>
        </w:rPr>
        <w:t>financing strategies are c</w:t>
      </w:r>
      <w:r w:rsidR="0073611A">
        <w:rPr>
          <w:rFonts w:ascii="Times New Roman" w:hAnsi="Times New Roman" w:cs="Times New Roman"/>
          <w:sz w:val="24"/>
          <w:szCs w:val="24"/>
        </w:rPr>
        <w:t>onsidered to be a type of property tax incentives (Kenyon, Langley &amp; Paquin, 2012)</w:t>
      </w:r>
      <w:r>
        <w:rPr>
          <w:rFonts w:ascii="Times New Roman" w:hAnsi="Times New Roman" w:cs="Times New Roman"/>
          <w:sz w:val="24"/>
          <w:szCs w:val="24"/>
        </w:rPr>
        <w:t>.</w:t>
      </w:r>
      <w:r w:rsidR="0073611A">
        <w:rPr>
          <w:rFonts w:ascii="Times New Roman" w:hAnsi="Times New Roman" w:cs="Times New Roman"/>
          <w:sz w:val="24"/>
          <w:szCs w:val="24"/>
        </w:rPr>
        <w:t xml:space="preserve"> Other property tax incentives that can be used by the community include enterprise zones, property tax abatements, and tax-exempt industrial development bonds accompanied with property tax exemption (Kenyon et al., 2012). </w:t>
      </w:r>
      <w:r w:rsidR="00495F43">
        <w:rPr>
          <w:rFonts w:ascii="Times New Roman" w:hAnsi="Times New Roman" w:cs="Times New Roman"/>
          <w:sz w:val="24"/>
          <w:szCs w:val="24"/>
        </w:rPr>
        <w:t xml:space="preserve">Enterprise zones encourage economic activity within </w:t>
      </w:r>
      <w:r w:rsidR="00495F43">
        <w:rPr>
          <w:rFonts w:ascii="Times New Roman" w:hAnsi="Times New Roman" w:cs="Times New Roman"/>
          <w:sz w:val="24"/>
          <w:szCs w:val="24"/>
        </w:rPr>
        <w:lastRenderedPageBreak/>
        <w:t xml:space="preserve">economically distressed geographic areas by offering special tax rates to companies that conduct substantial operations in the region (Kenyon et al., 2012). </w:t>
      </w:r>
      <w:r w:rsidR="00F1372B">
        <w:rPr>
          <w:rFonts w:ascii="Times New Roman" w:hAnsi="Times New Roman" w:cs="Times New Roman"/>
          <w:sz w:val="24"/>
          <w:szCs w:val="24"/>
        </w:rPr>
        <w:t>Proper</w:t>
      </w:r>
      <w:r w:rsidR="00E93661">
        <w:rPr>
          <w:rFonts w:ascii="Times New Roman" w:hAnsi="Times New Roman" w:cs="Times New Roman"/>
          <w:sz w:val="24"/>
          <w:szCs w:val="24"/>
        </w:rPr>
        <w:t xml:space="preserve">ty tax abatements refer to the reduction of property taxes for selected commercial or manufacturing parcels (Kenyon et al., 2012). </w:t>
      </w:r>
      <w:r w:rsidR="00390DD6">
        <w:rPr>
          <w:rFonts w:ascii="Times New Roman" w:hAnsi="Times New Roman" w:cs="Times New Roman"/>
          <w:sz w:val="24"/>
          <w:szCs w:val="24"/>
        </w:rPr>
        <w:t>P</w:t>
      </w:r>
      <w:r w:rsidR="00E93661">
        <w:rPr>
          <w:rFonts w:ascii="Times New Roman" w:hAnsi="Times New Roman" w:cs="Times New Roman"/>
          <w:sz w:val="24"/>
          <w:szCs w:val="24"/>
        </w:rPr>
        <w:t xml:space="preserve">roperty tax incentives can be effectuated across the local/state government by enacting competitive local and state property tax rates. </w:t>
      </w:r>
      <w:r w:rsidR="00390DD6">
        <w:rPr>
          <w:rFonts w:ascii="Times New Roman" w:hAnsi="Times New Roman" w:cs="Times New Roman"/>
          <w:sz w:val="24"/>
          <w:szCs w:val="24"/>
        </w:rPr>
        <w:t>M</w:t>
      </w:r>
      <w:r w:rsidR="00E93661">
        <w:rPr>
          <w:rFonts w:ascii="Times New Roman" w:hAnsi="Times New Roman" w:cs="Times New Roman"/>
          <w:sz w:val="24"/>
          <w:szCs w:val="24"/>
        </w:rPr>
        <w:t>unicipalities also offer property tax incentives on a case by case basis by negotiating tax a</w:t>
      </w:r>
      <w:r w:rsidR="00390DD6">
        <w:rPr>
          <w:rFonts w:ascii="Times New Roman" w:hAnsi="Times New Roman" w:cs="Times New Roman"/>
          <w:sz w:val="24"/>
          <w:szCs w:val="24"/>
        </w:rPr>
        <w:t>dvantages with large companies seeking to expand to new locations.</w:t>
      </w:r>
    </w:p>
    <w:p w14:paraId="4A3FF4D7" w14:textId="4348841E" w:rsidR="00F1372B" w:rsidRDefault="00F1372B" w:rsidP="00F1372B">
      <w:pPr>
        <w:ind w:firstLine="720"/>
        <w:rPr>
          <w:rFonts w:ascii="Times New Roman" w:hAnsi="Times New Roman" w:cs="Times New Roman"/>
          <w:sz w:val="24"/>
          <w:szCs w:val="24"/>
        </w:rPr>
      </w:pPr>
      <w:r>
        <w:rPr>
          <w:rFonts w:ascii="Times New Roman" w:hAnsi="Times New Roman" w:cs="Times New Roman"/>
          <w:sz w:val="24"/>
          <w:szCs w:val="24"/>
        </w:rPr>
        <w:t xml:space="preserve">Unlike tax increment financing schemes, where the benefits received by the tax district are attributable to the growth made possible by investors in the district, the tax subsidies awarded to businesses to influence their location are made at the expense of the taxpayers who pay more tax than they would if the companies were not subsidized. When the benefits arising from the </w:t>
      </w:r>
      <w:r w:rsidR="00E93661">
        <w:rPr>
          <w:rFonts w:ascii="Times New Roman" w:hAnsi="Times New Roman" w:cs="Times New Roman"/>
          <w:sz w:val="24"/>
          <w:szCs w:val="24"/>
        </w:rPr>
        <w:t>subsidization such as reduction in unemployment, increased household income, and stimulation of related industries exceed the cost of the subsidies</w:t>
      </w:r>
      <w:r w:rsidR="00955F32">
        <w:rPr>
          <w:rFonts w:ascii="Times New Roman" w:hAnsi="Times New Roman" w:cs="Times New Roman"/>
          <w:sz w:val="24"/>
          <w:szCs w:val="24"/>
        </w:rPr>
        <w:t xml:space="preserve">, the higher taxes paid by residents are offset by the benefits flowing to households. Thus, tax policy makers should conduct cost-benefit analyses of tax incentives requested by companies to inform the negotiations. Kenyon et al. (2012) noted that </w:t>
      </w:r>
      <w:r w:rsidR="00A54B07">
        <w:rPr>
          <w:rFonts w:ascii="Times New Roman" w:hAnsi="Times New Roman" w:cs="Times New Roman"/>
          <w:sz w:val="24"/>
          <w:szCs w:val="24"/>
        </w:rPr>
        <w:t>cities</w:t>
      </w:r>
      <w:r w:rsidR="00955F32">
        <w:rPr>
          <w:rFonts w:ascii="Times New Roman" w:hAnsi="Times New Roman" w:cs="Times New Roman"/>
          <w:sz w:val="24"/>
          <w:szCs w:val="24"/>
        </w:rPr>
        <w:t xml:space="preserve"> ofte</w:t>
      </w:r>
      <w:r w:rsidR="00A54B07">
        <w:rPr>
          <w:rFonts w:ascii="Times New Roman" w:hAnsi="Times New Roman" w:cs="Times New Roman"/>
          <w:sz w:val="24"/>
          <w:szCs w:val="24"/>
        </w:rPr>
        <w:t>n award unnecessary tax incentives to companies that would have set up operations within the city due to other advantages such as proximity to raw materials and presence of a skilled workforce. Therefore, when offering property tax incentives to individual, the community should not only the tax rates of neighboring states but also its resource endowments.</w:t>
      </w:r>
    </w:p>
    <w:p w14:paraId="1C7D1B9B" w14:textId="77777777" w:rsidR="00DE7A85" w:rsidRDefault="00955F32" w:rsidP="00955F32">
      <w:pPr>
        <w:ind w:firstLine="720"/>
        <w:rPr>
          <w:rFonts w:ascii="Times New Roman" w:hAnsi="Times New Roman" w:cs="Times New Roman"/>
          <w:sz w:val="24"/>
          <w:szCs w:val="24"/>
        </w:rPr>
      </w:pPr>
      <w:r w:rsidRPr="00955F32">
        <w:rPr>
          <w:rFonts w:ascii="Times New Roman" w:hAnsi="Times New Roman" w:cs="Times New Roman"/>
          <w:sz w:val="24"/>
          <w:szCs w:val="24"/>
        </w:rPr>
        <w:t>Often times, the property tax incentives are accompanied by other non-property tax related benefits such as business income tax credits to incentive certain behavior. For example, Illinois’s ex-offenders’ job credits allows employers who hire qualified ex-offenders to apply for a credit amount up to 5% of the total qualified salaries paid to ex-offending employees or receive an amount equal to $600 per hire. To qualify, the employee should have been incarcerated within an adult correction facility in Illinois and have been employed within 1 year of release. The tax incentive reduces ex</w:t>
      </w:r>
      <w:r w:rsidR="00A54B07">
        <w:rPr>
          <w:rFonts w:ascii="Times New Roman" w:hAnsi="Times New Roman" w:cs="Times New Roman"/>
          <w:sz w:val="24"/>
          <w:szCs w:val="24"/>
        </w:rPr>
        <w:t>-</w:t>
      </w:r>
      <w:r w:rsidRPr="00955F32">
        <w:rPr>
          <w:rFonts w:ascii="Times New Roman" w:hAnsi="Times New Roman" w:cs="Times New Roman"/>
          <w:sz w:val="24"/>
          <w:szCs w:val="24"/>
        </w:rPr>
        <w:t>offenders risk of recidivism, which improves residents’ welfare and reduces tax spending on corrective institutions.</w:t>
      </w:r>
      <w:r w:rsidR="00A54B07">
        <w:rPr>
          <w:rFonts w:ascii="Times New Roman" w:hAnsi="Times New Roman" w:cs="Times New Roman"/>
          <w:sz w:val="24"/>
          <w:szCs w:val="24"/>
        </w:rPr>
        <w:t xml:space="preserve"> The local government can offer companies non-refundable business income tax credits, to reduce the tax liability up to a certain point, on top of the property tax incentives to incentivize the desired economic behavior.</w:t>
      </w:r>
    </w:p>
    <w:p w14:paraId="7B4C32D3" w14:textId="23B794EA" w:rsidR="00D80337" w:rsidRDefault="00D80337">
      <w:pPr>
        <w:rPr>
          <w:rFonts w:ascii="Times New Roman" w:hAnsi="Times New Roman" w:cs="Times New Roman"/>
          <w:sz w:val="24"/>
          <w:szCs w:val="24"/>
        </w:rPr>
      </w:pPr>
      <w:r>
        <w:rPr>
          <w:rFonts w:ascii="Times New Roman" w:hAnsi="Times New Roman" w:cs="Times New Roman"/>
          <w:sz w:val="24"/>
          <w:szCs w:val="24"/>
        </w:rPr>
        <w:br w:type="page"/>
      </w:r>
    </w:p>
    <w:p w14:paraId="139F5BB6" w14:textId="77777777" w:rsidR="00D80337" w:rsidRPr="00945D35" w:rsidRDefault="00D80337" w:rsidP="00D80337">
      <w:pPr>
        <w:jc w:val="center"/>
        <w:rPr>
          <w:rFonts w:ascii="Times New Roman" w:hAnsi="Times New Roman" w:cs="Times New Roman"/>
          <w:sz w:val="24"/>
          <w:szCs w:val="24"/>
        </w:rPr>
      </w:pPr>
      <w:r w:rsidRPr="00945D35">
        <w:rPr>
          <w:rFonts w:ascii="Times New Roman" w:hAnsi="Times New Roman" w:cs="Times New Roman"/>
          <w:sz w:val="24"/>
          <w:szCs w:val="24"/>
        </w:rPr>
        <w:lastRenderedPageBreak/>
        <w:t>References</w:t>
      </w:r>
    </w:p>
    <w:p w14:paraId="2BD5A0B1" w14:textId="77777777" w:rsidR="00D80337" w:rsidRDefault="00D80337" w:rsidP="00D80337">
      <w:pPr>
        <w:rPr>
          <w:rFonts w:ascii="Times New Roman" w:hAnsi="Times New Roman" w:cs="Times New Roman"/>
          <w:i/>
          <w:iCs/>
          <w:sz w:val="24"/>
          <w:szCs w:val="24"/>
        </w:rPr>
      </w:pPr>
      <w:r w:rsidRPr="00945D35">
        <w:rPr>
          <w:rFonts w:ascii="Times New Roman" w:hAnsi="Times New Roman" w:cs="Times New Roman"/>
          <w:sz w:val="24"/>
          <w:szCs w:val="24"/>
        </w:rPr>
        <w:t>Burchell, R</w:t>
      </w:r>
      <w:r>
        <w:rPr>
          <w:rFonts w:ascii="Times New Roman" w:hAnsi="Times New Roman" w:cs="Times New Roman"/>
          <w:sz w:val="24"/>
          <w:szCs w:val="24"/>
        </w:rPr>
        <w:t>.,</w:t>
      </w:r>
      <w:r w:rsidRPr="00945D35">
        <w:rPr>
          <w:rFonts w:ascii="Times New Roman" w:hAnsi="Times New Roman" w:cs="Times New Roman"/>
          <w:sz w:val="24"/>
          <w:szCs w:val="24"/>
        </w:rPr>
        <w:t xml:space="preserve"> </w:t>
      </w:r>
      <w:r>
        <w:rPr>
          <w:rFonts w:ascii="Times New Roman" w:hAnsi="Times New Roman" w:cs="Times New Roman"/>
          <w:sz w:val="24"/>
          <w:szCs w:val="24"/>
        </w:rPr>
        <w:t>&amp;</w:t>
      </w:r>
      <w:r w:rsidRPr="00945D35">
        <w:rPr>
          <w:rFonts w:ascii="Times New Roman" w:hAnsi="Times New Roman" w:cs="Times New Roman"/>
          <w:sz w:val="24"/>
          <w:szCs w:val="24"/>
        </w:rPr>
        <w:t xml:space="preserve"> Listokin</w:t>
      </w:r>
      <w:r>
        <w:rPr>
          <w:rFonts w:ascii="Times New Roman" w:hAnsi="Times New Roman" w:cs="Times New Roman"/>
          <w:sz w:val="24"/>
          <w:szCs w:val="24"/>
        </w:rPr>
        <w:t>, D. (</w:t>
      </w:r>
      <w:r w:rsidRPr="00945D35">
        <w:rPr>
          <w:rFonts w:ascii="Times New Roman" w:hAnsi="Times New Roman" w:cs="Times New Roman"/>
          <w:sz w:val="24"/>
          <w:szCs w:val="24"/>
        </w:rPr>
        <w:t>1994</w:t>
      </w:r>
      <w:r>
        <w:rPr>
          <w:rFonts w:ascii="Times New Roman" w:hAnsi="Times New Roman" w:cs="Times New Roman"/>
          <w:sz w:val="24"/>
          <w:szCs w:val="24"/>
        </w:rPr>
        <w:t>).</w:t>
      </w:r>
      <w:r w:rsidRPr="00945D35">
        <w:rPr>
          <w:rFonts w:ascii="Times New Roman" w:hAnsi="Times New Roman" w:cs="Times New Roman"/>
          <w:sz w:val="24"/>
          <w:szCs w:val="24"/>
        </w:rPr>
        <w:t xml:space="preserve">  Shared Infrastructure Cost. in </w:t>
      </w:r>
      <w:r w:rsidRPr="00945D35">
        <w:rPr>
          <w:rFonts w:ascii="Times New Roman" w:hAnsi="Times New Roman" w:cs="Times New Roman"/>
          <w:i/>
          <w:iCs/>
          <w:sz w:val="24"/>
          <w:szCs w:val="24"/>
        </w:rPr>
        <w:t xml:space="preserve">Development Impact </w:t>
      </w:r>
    </w:p>
    <w:p w14:paraId="638E1029" w14:textId="6DD552C7" w:rsidR="00D80337" w:rsidRDefault="00D80337" w:rsidP="00D80337">
      <w:pPr>
        <w:ind w:left="720"/>
        <w:rPr>
          <w:rFonts w:ascii="Times New Roman" w:hAnsi="Times New Roman" w:cs="Times New Roman"/>
          <w:sz w:val="24"/>
          <w:szCs w:val="24"/>
        </w:rPr>
      </w:pPr>
      <w:r w:rsidRPr="00945D35">
        <w:rPr>
          <w:rFonts w:ascii="Times New Roman" w:hAnsi="Times New Roman" w:cs="Times New Roman"/>
          <w:i/>
          <w:iCs/>
          <w:sz w:val="24"/>
          <w:szCs w:val="24"/>
        </w:rPr>
        <w:t xml:space="preserve">Assessment Handbook. </w:t>
      </w:r>
      <w:r w:rsidRPr="00945D35">
        <w:rPr>
          <w:rFonts w:ascii="Times New Roman" w:hAnsi="Times New Roman" w:cs="Times New Roman"/>
          <w:sz w:val="24"/>
          <w:szCs w:val="24"/>
        </w:rPr>
        <w:t>Urban Land Institute, Washington, DC. Chapter 10</w:t>
      </w:r>
    </w:p>
    <w:p w14:paraId="5C0ED3D4" w14:textId="77777777" w:rsidR="00D80337" w:rsidRDefault="00D80337" w:rsidP="00D80337">
      <w:pPr>
        <w:rPr>
          <w:rFonts w:ascii="Times New Roman" w:hAnsi="Times New Roman" w:cs="Times New Roman"/>
          <w:i/>
          <w:iCs/>
          <w:sz w:val="24"/>
          <w:szCs w:val="24"/>
        </w:rPr>
      </w:pPr>
      <w:r w:rsidRPr="00945D35">
        <w:rPr>
          <w:rFonts w:ascii="Times New Roman" w:hAnsi="Times New Roman" w:cs="Times New Roman"/>
          <w:sz w:val="24"/>
          <w:szCs w:val="24"/>
        </w:rPr>
        <w:t xml:space="preserve">Duncan Associates (2015). </w:t>
      </w:r>
      <w:r w:rsidRPr="00945D35">
        <w:rPr>
          <w:rFonts w:ascii="Times New Roman" w:hAnsi="Times New Roman" w:cs="Times New Roman"/>
          <w:i/>
          <w:iCs/>
          <w:sz w:val="24"/>
          <w:szCs w:val="24"/>
        </w:rPr>
        <w:t xml:space="preserve">National Impact Fee Survey: 2015. </w:t>
      </w:r>
    </w:p>
    <w:p w14:paraId="52413956" w14:textId="77777777" w:rsidR="00D80337" w:rsidRDefault="00D80337" w:rsidP="00D80337">
      <w:pPr>
        <w:rPr>
          <w:rFonts w:ascii="Times New Roman" w:hAnsi="Times New Roman" w:cs="Times New Roman"/>
          <w:i/>
          <w:iCs/>
          <w:sz w:val="24"/>
          <w:szCs w:val="24"/>
        </w:rPr>
      </w:pPr>
      <w:r w:rsidRPr="00024F6F">
        <w:rPr>
          <w:rFonts w:ascii="Times New Roman" w:hAnsi="Times New Roman" w:cs="Times New Roman"/>
          <w:sz w:val="24"/>
          <w:szCs w:val="24"/>
        </w:rPr>
        <w:t>Kenyon</w:t>
      </w:r>
      <w:r>
        <w:rPr>
          <w:rFonts w:ascii="Times New Roman" w:hAnsi="Times New Roman" w:cs="Times New Roman"/>
          <w:sz w:val="24"/>
          <w:szCs w:val="24"/>
        </w:rPr>
        <w:t xml:space="preserve">, </w:t>
      </w:r>
      <w:r w:rsidRPr="00024F6F">
        <w:rPr>
          <w:rFonts w:ascii="Times New Roman" w:hAnsi="Times New Roman" w:cs="Times New Roman"/>
          <w:sz w:val="24"/>
          <w:szCs w:val="24"/>
        </w:rPr>
        <w:t>D</w:t>
      </w:r>
      <w:r>
        <w:rPr>
          <w:rFonts w:ascii="Times New Roman" w:hAnsi="Times New Roman" w:cs="Times New Roman"/>
          <w:sz w:val="24"/>
          <w:szCs w:val="24"/>
        </w:rPr>
        <w:t xml:space="preserve">., &amp; </w:t>
      </w:r>
      <w:r w:rsidRPr="00024F6F">
        <w:rPr>
          <w:rFonts w:ascii="Times New Roman" w:hAnsi="Times New Roman" w:cs="Times New Roman"/>
          <w:sz w:val="24"/>
          <w:szCs w:val="24"/>
        </w:rPr>
        <w:t>Langley</w:t>
      </w:r>
      <w:r>
        <w:rPr>
          <w:rFonts w:ascii="Times New Roman" w:hAnsi="Times New Roman" w:cs="Times New Roman"/>
          <w:sz w:val="24"/>
          <w:szCs w:val="24"/>
        </w:rPr>
        <w:t>, A</w:t>
      </w:r>
      <w:r w:rsidRPr="00024F6F">
        <w:rPr>
          <w:rFonts w:ascii="Times New Roman" w:hAnsi="Times New Roman" w:cs="Times New Roman"/>
          <w:sz w:val="24"/>
          <w:szCs w:val="24"/>
        </w:rPr>
        <w:t xml:space="preserve">. </w:t>
      </w:r>
      <w:r>
        <w:rPr>
          <w:rFonts w:ascii="Times New Roman" w:hAnsi="Times New Roman" w:cs="Times New Roman"/>
          <w:sz w:val="24"/>
          <w:szCs w:val="24"/>
        </w:rPr>
        <w:t>(</w:t>
      </w:r>
      <w:r w:rsidRPr="00024F6F">
        <w:rPr>
          <w:rFonts w:ascii="Times New Roman" w:hAnsi="Times New Roman" w:cs="Times New Roman"/>
          <w:sz w:val="24"/>
          <w:szCs w:val="24"/>
        </w:rPr>
        <w:t>2010</w:t>
      </w:r>
      <w:r>
        <w:rPr>
          <w:rFonts w:ascii="Times New Roman" w:hAnsi="Times New Roman" w:cs="Times New Roman"/>
          <w:sz w:val="24"/>
          <w:szCs w:val="24"/>
        </w:rPr>
        <w:t>)</w:t>
      </w:r>
      <w:r w:rsidRPr="00024F6F">
        <w:rPr>
          <w:rFonts w:ascii="Times New Roman" w:hAnsi="Times New Roman" w:cs="Times New Roman"/>
          <w:sz w:val="24"/>
          <w:szCs w:val="24"/>
        </w:rPr>
        <w:t xml:space="preserve">. </w:t>
      </w:r>
      <w:r w:rsidRPr="00024F6F">
        <w:rPr>
          <w:rFonts w:ascii="Times New Roman" w:hAnsi="Times New Roman" w:cs="Times New Roman"/>
          <w:i/>
          <w:iCs/>
          <w:sz w:val="24"/>
          <w:szCs w:val="24"/>
        </w:rPr>
        <w:t xml:space="preserve">Payments in Lieu of Taxes: Balancing Municipal and </w:t>
      </w:r>
    </w:p>
    <w:p w14:paraId="3FE14B2D" w14:textId="3D827EA4" w:rsidR="00D80337" w:rsidRDefault="00D80337" w:rsidP="00D80337">
      <w:pPr>
        <w:ind w:left="720"/>
        <w:rPr>
          <w:rFonts w:ascii="Times New Roman" w:hAnsi="Times New Roman" w:cs="Times New Roman"/>
          <w:sz w:val="24"/>
          <w:szCs w:val="24"/>
        </w:rPr>
      </w:pPr>
      <w:r w:rsidRPr="00024F6F">
        <w:rPr>
          <w:rFonts w:ascii="Times New Roman" w:hAnsi="Times New Roman" w:cs="Times New Roman"/>
          <w:i/>
          <w:iCs/>
          <w:sz w:val="24"/>
          <w:szCs w:val="24"/>
        </w:rPr>
        <w:t>Nonprofit Interests</w:t>
      </w:r>
      <w:r w:rsidRPr="00024F6F">
        <w:rPr>
          <w:rFonts w:ascii="Times New Roman" w:hAnsi="Times New Roman" w:cs="Times New Roman"/>
          <w:sz w:val="24"/>
          <w:szCs w:val="24"/>
        </w:rPr>
        <w:t>. Lincoln Institute of Land Policy. Cambridge, MA.</w:t>
      </w:r>
    </w:p>
    <w:p w14:paraId="098B9840" w14:textId="77777777" w:rsidR="00D80337" w:rsidRDefault="00D80337" w:rsidP="00D80337">
      <w:pPr>
        <w:rPr>
          <w:rFonts w:ascii="Times New Roman" w:hAnsi="Times New Roman" w:cs="Times New Roman"/>
          <w:i/>
          <w:iCs/>
          <w:sz w:val="24"/>
          <w:szCs w:val="24"/>
        </w:rPr>
      </w:pPr>
      <w:r>
        <w:rPr>
          <w:rFonts w:ascii="Times New Roman" w:hAnsi="Times New Roman" w:cs="Times New Roman"/>
          <w:sz w:val="24"/>
          <w:szCs w:val="24"/>
        </w:rPr>
        <w:t>K</w:t>
      </w:r>
      <w:r w:rsidRPr="00024F6F">
        <w:rPr>
          <w:rFonts w:ascii="Times New Roman" w:hAnsi="Times New Roman" w:cs="Times New Roman"/>
          <w:sz w:val="24"/>
          <w:szCs w:val="24"/>
        </w:rPr>
        <w:t>enyon, D</w:t>
      </w:r>
      <w:r>
        <w:rPr>
          <w:rFonts w:ascii="Times New Roman" w:hAnsi="Times New Roman" w:cs="Times New Roman"/>
          <w:sz w:val="24"/>
          <w:szCs w:val="24"/>
        </w:rPr>
        <w:t xml:space="preserve">., </w:t>
      </w:r>
      <w:r w:rsidRPr="00024F6F">
        <w:rPr>
          <w:rFonts w:ascii="Times New Roman" w:hAnsi="Times New Roman" w:cs="Times New Roman"/>
          <w:sz w:val="24"/>
          <w:szCs w:val="24"/>
        </w:rPr>
        <w:t>Langley</w:t>
      </w:r>
      <w:r>
        <w:rPr>
          <w:rFonts w:ascii="Times New Roman" w:hAnsi="Times New Roman" w:cs="Times New Roman"/>
          <w:sz w:val="24"/>
          <w:szCs w:val="24"/>
        </w:rPr>
        <w:t>, A. &amp;</w:t>
      </w:r>
      <w:r w:rsidRPr="00024F6F">
        <w:rPr>
          <w:rFonts w:ascii="Times New Roman" w:hAnsi="Times New Roman" w:cs="Times New Roman"/>
          <w:sz w:val="24"/>
          <w:szCs w:val="24"/>
        </w:rPr>
        <w:t xml:space="preserve"> Paquin</w:t>
      </w:r>
      <w:r>
        <w:rPr>
          <w:rFonts w:ascii="Times New Roman" w:hAnsi="Times New Roman" w:cs="Times New Roman"/>
          <w:sz w:val="24"/>
          <w:szCs w:val="24"/>
        </w:rPr>
        <w:t>, B</w:t>
      </w:r>
      <w:r w:rsidRPr="00024F6F">
        <w:rPr>
          <w:rFonts w:ascii="Times New Roman" w:hAnsi="Times New Roman" w:cs="Times New Roman"/>
          <w:sz w:val="24"/>
          <w:szCs w:val="24"/>
        </w:rPr>
        <w:t>. </w:t>
      </w:r>
      <w:r>
        <w:rPr>
          <w:rFonts w:ascii="Times New Roman" w:hAnsi="Times New Roman" w:cs="Times New Roman"/>
          <w:sz w:val="24"/>
          <w:szCs w:val="24"/>
        </w:rPr>
        <w:t>(</w:t>
      </w:r>
      <w:r w:rsidRPr="00024F6F">
        <w:rPr>
          <w:rFonts w:ascii="Times New Roman" w:hAnsi="Times New Roman" w:cs="Times New Roman"/>
          <w:sz w:val="24"/>
          <w:szCs w:val="24"/>
        </w:rPr>
        <w:t>2012</w:t>
      </w:r>
      <w:r>
        <w:rPr>
          <w:rFonts w:ascii="Times New Roman" w:hAnsi="Times New Roman" w:cs="Times New Roman"/>
          <w:sz w:val="24"/>
          <w:szCs w:val="24"/>
        </w:rPr>
        <w:t>)</w:t>
      </w:r>
      <w:r w:rsidRPr="00024F6F">
        <w:rPr>
          <w:rFonts w:ascii="Times New Roman" w:hAnsi="Times New Roman" w:cs="Times New Roman"/>
          <w:sz w:val="24"/>
          <w:szCs w:val="24"/>
        </w:rPr>
        <w:t xml:space="preserve">.  </w:t>
      </w:r>
      <w:r w:rsidRPr="00024F6F">
        <w:rPr>
          <w:rFonts w:ascii="Times New Roman" w:hAnsi="Times New Roman" w:cs="Times New Roman"/>
          <w:i/>
          <w:iCs/>
          <w:sz w:val="24"/>
          <w:szCs w:val="24"/>
        </w:rPr>
        <w:t xml:space="preserve">Rethinking Property Tax Incentives for </w:t>
      </w:r>
    </w:p>
    <w:p w14:paraId="410DCB0C" w14:textId="2B417754" w:rsidR="00D80337" w:rsidRDefault="00D80337" w:rsidP="00D80337">
      <w:pPr>
        <w:ind w:left="720"/>
        <w:rPr>
          <w:rFonts w:ascii="Times New Roman" w:hAnsi="Times New Roman" w:cs="Times New Roman"/>
          <w:sz w:val="24"/>
          <w:szCs w:val="24"/>
        </w:rPr>
      </w:pPr>
      <w:r w:rsidRPr="00024F6F">
        <w:rPr>
          <w:rFonts w:ascii="Times New Roman" w:hAnsi="Times New Roman" w:cs="Times New Roman"/>
          <w:i/>
          <w:iCs/>
          <w:sz w:val="24"/>
          <w:szCs w:val="24"/>
        </w:rPr>
        <w:t>Business</w:t>
      </w:r>
      <w:r w:rsidRPr="00024F6F">
        <w:rPr>
          <w:rFonts w:ascii="Times New Roman" w:hAnsi="Times New Roman" w:cs="Times New Roman"/>
          <w:sz w:val="24"/>
          <w:szCs w:val="24"/>
        </w:rPr>
        <w:t>.  Lincoln Institute of Land Policy.  Cambridge, MA</w:t>
      </w:r>
    </w:p>
    <w:p w14:paraId="39C1CC34" w14:textId="77777777" w:rsidR="00D80337" w:rsidRDefault="00D80337" w:rsidP="00D80337">
      <w:pPr>
        <w:rPr>
          <w:rFonts w:ascii="Times New Roman" w:hAnsi="Times New Roman" w:cs="Times New Roman"/>
          <w:i/>
          <w:iCs/>
          <w:sz w:val="24"/>
          <w:szCs w:val="24"/>
        </w:rPr>
      </w:pPr>
      <w:r w:rsidRPr="00FE250B">
        <w:rPr>
          <w:rFonts w:ascii="Times New Roman" w:hAnsi="Times New Roman" w:cs="Times New Roman"/>
          <w:sz w:val="24"/>
          <w:szCs w:val="24"/>
        </w:rPr>
        <w:t xml:space="preserve">LeRoy, G. </w:t>
      </w:r>
      <w:r>
        <w:rPr>
          <w:rFonts w:ascii="Times New Roman" w:hAnsi="Times New Roman" w:cs="Times New Roman"/>
          <w:sz w:val="24"/>
          <w:szCs w:val="24"/>
        </w:rPr>
        <w:t>(</w:t>
      </w:r>
      <w:r w:rsidRPr="00FE250B">
        <w:rPr>
          <w:rFonts w:ascii="Times New Roman" w:hAnsi="Times New Roman" w:cs="Times New Roman"/>
          <w:sz w:val="24"/>
          <w:szCs w:val="24"/>
        </w:rPr>
        <w:t>2008</w:t>
      </w:r>
      <w:r>
        <w:rPr>
          <w:rFonts w:ascii="Times New Roman" w:hAnsi="Times New Roman" w:cs="Times New Roman"/>
          <w:sz w:val="24"/>
          <w:szCs w:val="24"/>
        </w:rPr>
        <w:t>)</w:t>
      </w:r>
      <w:r w:rsidRPr="00FE250B">
        <w:rPr>
          <w:rFonts w:ascii="Times New Roman" w:hAnsi="Times New Roman" w:cs="Times New Roman"/>
          <w:sz w:val="24"/>
          <w:szCs w:val="24"/>
        </w:rPr>
        <w:t>. </w:t>
      </w:r>
      <w:r w:rsidRPr="00FE250B">
        <w:rPr>
          <w:rFonts w:ascii="Times New Roman" w:hAnsi="Times New Roman" w:cs="Times New Roman"/>
          <w:i/>
          <w:iCs/>
          <w:sz w:val="24"/>
          <w:szCs w:val="24"/>
        </w:rPr>
        <w:t xml:space="preserve">TIF, Greenfields, and Sprawl: How and Incentive Created to Alleviate Slums </w:t>
      </w:r>
    </w:p>
    <w:p w14:paraId="4933730F" w14:textId="4B5C94B5" w:rsidR="00D80337" w:rsidRPr="00FE250B" w:rsidRDefault="00D80337" w:rsidP="00D80337">
      <w:pPr>
        <w:ind w:left="720"/>
        <w:rPr>
          <w:rFonts w:ascii="Times New Roman" w:hAnsi="Times New Roman" w:cs="Times New Roman"/>
          <w:sz w:val="24"/>
          <w:szCs w:val="24"/>
        </w:rPr>
      </w:pPr>
      <w:r w:rsidRPr="00FE250B">
        <w:rPr>
          <w:rFonts w:ascii="Times New Roman" w:hAnsi="Times New Roman" w:cs="Times New Roman"/>
          <w:i/>
          <w:iCs/>
          <w:sz w:val="24"/>
          <w:szCs w:val="24"/>
        </w:rPr>
        <w:t>Has Come to Subsidize Upscale Malls and New Urbanist Developments</w:t>
      </w:r>
      <w:r>
        <w:rPr>
          <w:rFonts w:ascii="Times New Roman" w:hAnsi="Times New Roman" w:cs="Times New Roman"/>
          <w:sz w:val="24"/>
          <w:szCs w:val="24"/>
        </w:rPr>
        <w:t xml:space="preserve">. </w:t>
      </w:r>
      <w:r w:rsidRPr="00FE250B">
        <w:rPr>
          <w:rFonts w:ascii="Times New Roman" w:hAnsi="Times New Roman" w:cs="Times New Roman"/>
          <w:sz w:val="24"/>
          <w:szCs w:val="24"/>
        </w:rPr>
        <w:t>American Planning Association: Planning Environmental Law</w:t>
      </w:r>
    </w:p>
    <w:p w14:paraId="23F649E6" w14:textId="77777777" w:rsidR="00D80337" w:rsidRDefault="00D80337" w:rsidP="00D80337">
      <w:pPr>
        <w:rPr>
          <w:rFonts w:ascii="Times New Roman" w:hAnsi="Times New Roman" w:cs="Times New Roman"/>
          <w:i/>
          <w:iCs/>
          <w:sz w:val="24"/>
          <w:szCs w:val="24"/>
        </w:rPr>
      </w:pPr>
      <w:r w:rsidRPr="009B47AA">
        <w:rPr>
          <w:rFonts w:ascii="Times New Roman" w:hAnsi="Times New Roman" w:cs="Times New Roman"/>
          <w:sz w:val="24"/>
          <w:szCs w:val="24"/>
        </w:rPr>
        <w:t>Mawhorter, S</w:t>
      </w:r>
      <w:r>
        <w:rPr>
          <w:rFonts w:ascii="Times New Roman" w:hAnsi="Times New Roman" w:cs="Times New Roman"/>
          <w:sz w:val="24"/>
          <w:szCs w:val="24"/>
        </w:rPr>
        <w:t>.</w:t>
      </w:r>
      <w:r w:rsidRPr="009B47AA">
        <w:rPr>
          <w:rFonts w:ascii="Times New Roman" w:hAnsi="Times New Roman" w:cs="Times New Roman"/>
          <w:sz w:val="24"/>
          <w:szCs w:val="24"/>
        </w:rPr>
        <w:t>, Garcia</w:t>
      </w:r>
      <w:r>
        <w:rPr>
          <w:rFonts w:ascii="Times New Roman" w:hAnsi="Times New Roman" w:cs="Times New Roman"/>
          <w:sz w:val="24"/>
          <w:szCs w:val="24"/>
        </w:rPr>
        <w:t>, D.,</w:t>
      </w:r>
      <w:r w:rsidRPr="009B47AA">
        <w:rPr>
          <w:rFonts w:ascii="Times New Roman" w:hAnsi="Times New Roman" w:cs="Times New Roman"/>
          <w:sz w:val="24"/>
          <w:szCs w:val="24"/>
        </w:rPr>
        <w:t xml:space="preserve"> </w:t>
      </w:r>
      <w:r>
        <w:rPr>
          <w:rFonts w:ascii="Times New Roman" w:hAnsi="Times New Roman" w:cs="Times New Roman"/>
          <w:sz w:val="24"/>
          <w:szCs w:val="24"/>
        </w:rPr>
        <w:t>&amp;</w:t>
      </w:r>
      <w:r w:rsidRPr="009B47AA">
        <w:rPr>
          <w:rFonts w:ascii="Times New Roman" w:hAnsi="Times New Roman" w:cs="Times New Roman"/>
          <w:sz w:val="24"/>
          <w:szCs w:val="24"/>
        </w:rPr>
        <w:t xml:space="preserve"> Raetz</w:t>
      </w:r>
      <w:r>
        <w:rPr>
          <w:rFonts w:ascii="Times New Roman" w:hAnsi="Times New Roman" w:cs="Times New Roman"/>
          <w:sz w:val="24"/>
          <w:szCs w:val="24"/>
        </w:rPr>
        <w:t>, H</w:t>
      </w:r>
      <w:r w:rsidRPr="009B47AA">
        <w:rPr>
          <w:rFonts w:ascii="Times New Roman" w:hAnsi="Times New Roman" w:cs="Times New Roman"/>
          <w:sz w:val="24"/>
          <w:szCs w:val="24"/>
        </w:rPr>
        <w:t xml:space="preserve">. </w:t>
      </w:r>
      <w:r>
        <w:rPr>
          <w:rFonts w:ascii="Times New Roman" w:hAnsi="Times New Roman" w:cs="Times New Roman"/>
          <w:sz w:val="24"/>
          <w:szCs w:val="24"/>
        </w:rPr>
        <w:t>(</w:t>
      </w:r>
      <w:r w:rsidRPr="009B47AA">
        <w:rPr>
          <w:rFonts w:ascii="Times New Roman" w:hAnsi="Times New Roman" w:cs="Times New Roman"/>
          <w:sz w:val="24"/>
          <w:szCs w:val="24"/>
        </w:rPr>
        <w:t>2018</w:t>
      </w:r>
      <w:r>
        <w:rPr>
          <w:rFonts w:ascii="Times New Roman" w:hAnsi="Times New Roman" w:cs="Times New Roman"/>
          <w:sz w:val="24"/>
          <w:szCs w:val="24"/>
        </w:rPr>
        <w:t>)</w:t>
      </w:r>
      <w:r w:rsidRPr="009B47AA">
        <w:rPr>
          <w:rFonts w:ascii="Times New Roman" w:hAnsi="Times New Roman" w:cs="Times New Roman"/>
          <w:sz w:val="24"/>
          <w:szCs w:val="24"/>
        </w:rPr>
        <w:t xml:space="preserve">. </w:t>
      </w:r>
      <w:r w:rsidRPr="009B47AA">
        <w:rPr>
          <w:rFonts w:ascii="Times New Roman" w:hAnsi="Times New Roman" w:cs="Times New Roman"/>
          <w:i/>
          <w:iCs/>
          <w:sz w:val="24"/>
          <w:szCs w:val="24"/>
        </w:rPr>
        <w:t xml:space="preserve">It All Adds Up—The Cost of Housing </w:t>
      </w:r>
    </w:p>
    <w:p w14:paraId="55D1EF46" w14:textId="5AC3C8AC" w:rsidR="00D80337" w:rsidRDefault="00D80337" w:rsidP="00D80337">
      <w:pPr>
        <w:ind w:left="720"/>
        <w:rPr>
          <w:rFonts w:ascii="Times New Roman" w:hAnsi="Times New Roman" w:cs="Times New Roman"/>
          <w:sz w:val="24"/>
          <w:szCs w:val="24"/>
        </w:rPr>
      </w:pPr>
      <w:r w:rsidRPr="009B47AA">
        <w:rPr>
          <w:rFonts w:ascii="Times New Roman" w:hAnsi="Times New Roman" w:cs="Times New Roman"/>
          <w:i/>
          <w:iCs/>
          <w:sz w:val="24"/>
          <w:szCs w:val="24"/>
        </w:rPr>
        <w:t>Development Fees in Seven California Cities.</w:t>
      </w:r>
      <w:r>
        <w:rPr>
          <w:rFonts w:ascii="Times New Roman" w:hAnsi="Times New Roman" w:cs="Times New Roman"/>
          <w:sz w:val="24"/>
          <w:szCs w:val="24"/>
        </w:rPr>
        <w:t xml:space="preserve"> </w:t>
      </w:r>
      <w:r w:rsidRPr="009B47AA">
        <w:rPr>
          <w:rFonts w:ascii="Times New Roman" w:hAnsi="Times New Roman" w:cs="Times New Roman"/>
          <w:sz w:val="24"/>
          <w:szCs w:val="24"/>
        </w:rPr>
        <w:t xml:space="preserve">Berkeley, CA: University of California, Berkeley. </w:t>
      </w:r>
    </w:p>
    <w:p w14:paraId="064C4CC0" w14:textId="77777777" w:rsidR="00D80337" w:rsidRDefault="00D80337" w:rsidP="00D80337">
      <w:pPr>
        <w:rPr>
          <w:rFonts w:ascii="Times New Roman" w:hAnsi="Times New Roman" w:cs="Times New Roman"/>
          <w:i/>
          <w:iCs/>
          <w:sz w:val="24"/>
          <w:szCs w:val="24"/>
        </w:rPr>
      </w:pPr>
      <w:r w:rsidRPr="003E2E27">
        <w:rPr>
          <w:rFonts w:ascii="Times New Roman" w:hAnsi="Times New Roman" w:cs="Times New Roman"/>
          <w:sz w:val="24"/>
          <w:szCs w:val="24"/>
        </w:rPr>
        <w:t xml:space="preserve">Merriman, D. </w:t>
      </w:r>
      <w:r>
        <w:rPr>
          <w:rFonts w:ascii="Times New Roman" w:hAnsi="Times New Roman" w:cs="Times New Roman"/>
          <w:sz w:val="24"/>
          <w:szCs w:val="24"/>
        </w:rPr>
        <w:t>(</w:t>
      </w:r>
      <w:r w:rsidRPr="003E2E27">
        <w:rPr>
          <w:rFonts w:ascii="Times New Roman" w:hAnsi="Times New Roman" w:cs="Times New Roman"/>
          <w:sz w:val="24"/>
          <w:szCs w:val="24"/>
        </w:rPr>
        <w:t>2018</w:t>
      </w:r>
      <w:r>
        <w:rPr>
          <w:rFonts w:ascii="Times New Roman" w:hAnsi="Times New Roman" w:cs="Times New Roman"/>
          <w:sz w:val="24"/>
          <w:szCs w:val="24"/>
        </w:rPr>
        <w:t>)</w:t>
      </w:r>
      <w:r w:rsidRPr="00FE250B">
        <w:rPr>
          <w:rFonts w:ascii="Times New Roman" w:hAnsi="Times New Roman" w:cs="Times New Roman"/>
          <w:i/>
          <w:iCs/>
          <w:sz w:val="24"/>
          <w:szCs w:val="24"/>
        </w:rPr>
        <w:t xml:space="preserve">. Improving Tax Increment Financing (TIF) for Economic Development. </w:t>
      </w:r>
    </w:p>
    <w:p w14:paraId="71D52EB0" w14:textId="3A7DC71C" w:rsidR="00D80337" w:rsidRDefault="00D80337" w:rsidP="00D80337">
      <w:pPr>
        <w:ind w:left="720"/>
        <w:rPr>
          <w:rFonts w:ascii="Times New Roman" w:hAnsi="Times New Roman" w:cs="Times New Roman"/>
          <w:sz w:val="24"/>
          <w:szCs w:val="24"/>
        </w:rPr>
      </w:pPr>
      <w:r w:rsidRPr="003E2E27">
        <w:rPr>
          <w:rFonts w:ascii="Times New Roman" w:hAnsi="Times New Roman" w:cs="Times New Roman"/>
          <w:sz w:val="24"/>
          <w:szCs w:val="24"/>
        </w:rPr>
        <w:t>Policy Focus Report. Lincoln Land Institute.</w:t>
      </w:r>
    </w:p>
    <w:p w14:paraId="1A906A36" w14:textId="77777777" w:rsidR="00D80337" w:rsidRDefault="00D80337" w:rsidP="00D80337">
      <w:pPr>
        <w:rPr>
          <w:rFonts w:ascii="Times New Roman" w:hAnsi="Times New Roman" w:cs="Times New Roman"/>
          <w:i/>
          <w:iCs/>
          <w:sz w:val="24"/>
          <w:szCs w:val="24"/>
        </w:rPr>
      </w:pPr>
      <w:r w:rsidRPr="00024F6F">
        <w:rPr>
          <w:rFonts w:ascii="Times New Roman" w:hAnsi="Times New Roman" w:cs="Times New Roman"/>
          <w:sz w:val="24"/>
          <w:szCs w:val="24"/>
        </w:rPr>
        <w:t>Quigly, J</w:t>
      </w:r>
      <w:r>
        <w:rPr>
          <w:rFonts w:ascii="Times New Roman" w:hAnsi="Times New Roman" w:cs="Times New Roman"/>
          <w:sz w:val="24"/>
          <w:szCs w:val="24"/>
        </w:rPr>
        <w:t>.</w:t>
      </w:r>
      <w:r w:rsidRPr="00024F6F">
        <w:rPr>
          <w:rFonts w:ascii="Times New Roman" w:hAnsi="Times New Roman" w:cs="Times New Roman"/>
          <w:sz w:val="24"/>
          <w:szCs w:val="24"/>
        </w:rPr>
        <w:t xml:space="preserve"> </w:t>
      </w:r>
      <w:r>
        <w:rPr>
          <w:rFonts w:ascii="Times New Roman" w:hAnsi="Times New Roman" w:cs="Times New Roman"/>
          <w:sz w:val="24"/>
          <w:szCs w:val="24"/>
        </w:rPr>
        <w:t>(</w:t>
      </w:r>
      <w:r w:rsidRPr="00024F6F">
        <w:rPr>
          <w:rFonts w:ascii="Times New Roman" w:hAnsi="Times New Roman" w:cs="Times New Roman"/>
          <w:sz w:val="24"/>
          <w:szCs w:val="24"/>
        </w:rPr>
        <w:t>2018</w:t>
      </w:r>
      <w:r>
        <w:rPr>
          <w:rFonts w:ascii="Times New Roman" w:hAnsi="Times New Roman" w:cs="Times New Roman"/>
          <w:sz w:val="24"/>
          <w:szCs w:val="24"/>
        </w:rPr>
        <w:t>)</w:t>
      </w:r>
      <w:r w:rsidRPr="00024F6F">
        <w:rPr>
          <w:rFonts w:ascii="Times New Roman" w:hAnsi="Times New Roman" w:cs="Times New Roman"/>
          <w:sz w:val="24"/>
          <w:szCs w:val="24"/>
        </w:rPr>
        <w:t xml:space="preserve">. </w:t>
      </w:r>
      <w:r w:rsidRPr="00024F6F">
        <w:rPr>
          <w:rFonts w:ascii="Times New Roman" w:hAnsi="Times New Roman" w:cs="Times New Roman"/>
          <w:i/>
          <w:iCs/>
          <w:sz w:val="24"/>
          <w:szCs w:val="24"/>
        </w:rPr>
        <w:t xml:space="preserve">Payments in Lieu of Trouble: Nonprofit Pilots as Extortion or Efficient Public </w:t>
      </w:r>
    </w:p>
    <w:p w14:paraId="1A6D031C" w14:textId="3829117B" w:rsidR="00D80337" w:rsidRDefault="00D80337" w:rsidP="00D80337">
      <w:pPr>
        <w:ind w:left="720"/>
        <w:rPr>
          <w:rFonts w:ascii="Times New Roman" w:hAnsi="Times New Roman" w:cs="Times New Roman"/>
          <w:sz w:val="24"/>
          <w:szCs w:val="24"/>
        </w:rPr>
      </w:pPr>
      <w:r w:rsidRPr="00024F6F">
        <w:rPr>
          <w:rFonts w:ascii="Times New Roman" w:hAnsi="Times New Roman" w:cs="Times New Roman"/>
          <w:i/>
          <w:iCs/>
          <w:sz w:val="24"/>
          <w:szCs w:val="24"/>
        </w:rPr>
        <w:t xml:space="preserve">Finance? </w:t>
      </w:r>
      <w:r w:rsidRPr="00024F6F">
        <w:rPr>
          <w:rFonts w:ascii="Times New Roman" w:hAnsi="Times New Roman" w:cs="Times New Roman"/>
          <w:sz w:val="24"/>
          <w:szCs w:val="24"/>
        </w:rPr>
        <w:t>N.Y.U. Environmental Law Journal. Vol. 26</w:t>
      </w:r>
    </w:p>
    <w:p w14:paraId="19764B99" w14:textId="77777777" w:rsidR="00D80337" w:rsidRDefault="00D80337" w:rsidP="00D80337">
      <w:pPr>
        <w:rPr>
          <w:rFonts w:ascii="Times New Roman" w:hAnsi="Times New Roman" w:cs="Times New Roman"/>
          <w:sz w:val="24"/>
          <w:szCs w:val="24"/>
        </w:rPr>
      </w:pPr>
      <w:r w:rsidRPr="00FE250B">
        <w:rPr>
          <w:rFonts w:ascii="Times New Roman" w:hAnsi="Times New Roman" w:cs="Times New Roman"/>
          <w:sz w:val="24"/>
          <w:szCs w:val="24"/>
        </w:rPr>
        <w:t>Weber, R</w:t>
      </w:r>
      <w:r>
        <w:rPr>
          <w:rFonts w:ascii="Times New Roman" w:hAnsi="Times New Roman" w:cs="Times New Roman"/>
          <w:sz w:val="24"/>
          <w:szCs w:val="24"/>
        </w:rPr>
        <w:t>. &amp;</w:t>
      </w:r>
      <w:r w:rsidRPr="00FE250B">
        <w:rPr>
          <w:rFonts w:ascii="Times New Roman" w:hAnsi="Times New Roman" w:cs="Times New Roman"/>
          <w:sz w:val="24"/>
          <w:szCs w:val="24"/>
        </w:rPr>
        <w:t xml:space="preserve"> Goddeeris</w:t>
      </w:r>
      <w:r>
        <w:rPr>
          <w:rFonts w:ascii="Times New Roman" w:hAnsi="Times New Roman" w:cs="Times New Roman"/>
          <w:sz w:val="24"/>
          <w:szCs w:val="24"/>
        </w:rPr>
        <w:t>, L</w:t>
      </w:r>
      <w:r w:rsidRPr="00FE250B">
        <w:rPr>
          <w:rFonts w:ascii="Times New Roman" w:hAnsi="Times New Roman" w:cs="Times New Roman"/>
          <w:sz w:val="24"/>
          <w:szCs w:val="24"/>
        </w:rPr>
        <w:t xml:space="preserve">. </w:t>
      </w:r>
      <w:r>
        <w:rPr>
          <w:rFonts w:ascii="Times New Roman" w:hAnsi="Times New Roman" w:cs="Times New Roman"/>
          <w:sz w:val="24"/>
          <w:szCs w:val="24"/>
        </w:rPr>
        <w:t>(</w:t>
      </w:r>
      <w:r w:rsidRPr="00FE250B">
        <w:rPr>
          <w:rFonts w:ascii="Times New Roman" w:hAnsi="Times New Roman" w:cs="Times New Roman"/>
          <w:sz w:val="24"/>
          <w:szCs w:val="24"/>
        </w:rPr>
        <w:t>2007</w:t>
      </w:r>
      <w:r>
        <w:rPr>
          <w:rFonts w:ascii="Times New Roman" w:hAnsi="Times New Roman" w:cs="Times New Roman"/>
          <w:sz w:val="24"/>
          <w:szCs w:val="24"/>
        </w:rPr>
        <w:t>)</w:t>
      </w:r>
      <w:r w:rsidRPr="00FE250B">
        <w:rPr>
          <w:rFonts w:ascii="Times New Roman" w:hAnsi="Times New Roman" w:cs="Times New Roman"/>
          <w:sz w:val="24"/>
          <w:szCs w:val="24"/>
        </w:rPr>
        <w:t xml:space="preserve">. </w:t>
      </w:r>
      <w:r w:rsidRPr="006505F4">
        <w:rPr>
          <w:rFonts w:ascii="Times New Roman" w:hAnsi="Times New Roman" w:cs="Times New Roman"/>
          <w:i/>
          <w:iCs/>
          <w:sz w:val="24"/>
          <w:szCs w:val="24"/>
        </w:rPr>
        <w:t>Tax Increment Financing: Process and Planning Issues</w:t>
      </w:r>
      <w:r w:rsidRPr="00FE250B">
        <w:rPr>
          <w:rFonts w:ascii="Times New Roman" w:hAnsi="Times New Roman" w:cs="Times New Roman"/>
          <w:sz w:val="24"/>
          <w:szCs w:val="24"/>
        </w:rPr>
        <w:t xml:space="preserve">. </w:t>
      </w:r>
    </w:p>
    <w:p w14:paraId="631D15AC" w14:textId="31475AE2" w:rsidR="00D80337" w:rsidRPr="009B47AA" w:rsidRDefault="00D80337" w:rsidP="00D80337">
      <w:pPr>
        <w:ind w:left="720"/>
        <w:rPr>
          <w:rFonts w:ascii="Times New Roman" w:hAnsi="Times New Roman" w:cs="Times New Roman"/>
          <w:sz w:val="24"/>
          <w:szCs w:val="24"/>
        </w:rPr>
      </w:pPr>
      <w:r w:rsidRPr="00FE250B">
        <w:rPr>
          <w:rFonts w:ascii="Times New Roman" w:hAnsi="Times New Roman" w:cs="Times New Roman"/>
          <w:sz w:val="24"/>
          <w:szCs w:val="24"/>
        </w:rPr>
        <w:t>Lincoln Institute of Land Policy, Cambridge, MA.  WP07RWI.</w:t>
      </w:r>
    </w:p>
    <w:p w14:paraId="54D8937F" w14:textId="77777777" w:rsidR="00955F32" w:rsidRDefault="00955F32" w:rsidP="00D80337">
      <w:pPr>
        <w:rPr>
          <w:rFonts w:ascii="Times New Roman" w:hAnsi="Times New Roman" w:cs="Times New Roman"/>
          <w:sz w:val="24"/>
          <w:szCs w:val="24"/>
        </w:rPr>
      </w:pPr>
    </w:p>
    <w:p w14:paraId="0634B438" w14:textId="77777777" w:rsidR="004F4327" w:rsidRPr="00CD6CE6" w:rsidRDefault="004F4327">
      <w:pPr>
        <w:rPr>
          <w:rFonts w:ascii="Times New Roman" w:hAnsi="Times New Roman" w:cs="Times New Roman"/>
          <w:sz w:val="24"/>
          <w:szCs w:val="24"/>
        </w:rPr>
      </w:pPr>
    </w:p>
    <w:sectPr w:rsidR="004F4327" w:rsidRPr="00CD6CE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417D"/>
    <w:rsid w:val="00084A1A"/>
    <w:rsid w:val="00096A49"/>
    <w:rsid w:val="000C5721"/>
    <w:rsid w:val="000F3775"/>
    <w:rsid w:val="001012A9"/>
    <w:rsid w:val="00101E28"/>
    <w:rsid w:val="001C239E"/>
    <w:rsid w:val="002626BE"/>
    <w:rsid w:val="002960CB"/>
    <w:rsid w:val="002B5D1E"/>
    <w:rsid w:val="002D3617"/>
    <w:rsid w:val="00311438"/>
    <w:rsid w:val="00381465"/>
    <w:rsid w:val="00390DD6"/>
    <w:rsid w:val="003E3060"/>
    <w:rsid w:val="00424641"/>
    <w:rsid w:val="00443DDF"/>
    <w:rsid w:val="00450635"/>
    <w:rsid w:val="004825F6"/>
    <w:rsid w:val="00495F43"/>
    <w:rsid w:val="004E1A2B"/>
    <w:rsid w:val="004F4327"/>
    <w:rsid w:val="00563B0F"/>
    <w:rsid w:val="005F7631"/>
    <w:rsid w:val="00616482"/>
    <w:rsid w:val="006524EA"/>
    <w:rsid w:val="0066045A"/>
    <w:rsid w:val="006A25F2"/>
    <w:rsid w:val="006E56EC"/>
    <w:rsid w:val="007055AD"/>
    <w:rsid w:val="0073611A"/>
    <w:rsid w:val="00752A99"/>
    <w:rsid w:val="00763266"/>
    <w:rsid w:val="007923E9"/>
    <w:rsid w:val="00955F32"/>
    <w:rsid w:val="00980C14"/>
    <w:rsid w:val="00A348E2"/>
    <w:rsid w:val="00A54B07"/>
    <w:rsid w:val="00A83C6A"/>
    <w:rsid w:val="00B01753"/>
    <w:rsid w:val="00B26C50"/>
    <w:rsid w:val="00BB60DD"/>
    <w:rsid w:val="00C6402B"/>
    <w:rsid w:val="00C95A65"/>
    <w:rsid w:val="00CA09F3"/>
    <w:rsid w:val="00CD6CE6"/>
    <w:rsid w:val="00CE30C9"/>
    <w:rsid w:val="00D80337"/>
    <w:rsid w:val="00DE15D5"/>
    <w:rsid w:val="00DE7A85"/>
    <w:rsid w:val="00E2453B"/>
    <w:rsid w:val="00E93661"/>
    <w:rsid w:val="00EB5D06"/>
    <w:rsid w:val="00EF64CC"/>
    <w:rsid w:val="00F0417D"/>
    <w:rsid w:val="00F1372B"/>
    <w:rsid w:val="00F271BD"/>
    <w:rsid w:val="00F54996"/>
    <w:rsid w:val="00FF3F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DEDFF6"/>
  <w15:chartTrackingRefBased/>
  <w15:docId w15:val="{D94E8AC0-B58E-44D5-9C44-7A30BA87AF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3725063">
      <w:bodyDiv w:val="1"/>
      <w:marLeft w:val="0"/>
      <w:marRight w:val="0"/>
      <w:marTop w:val="0"/>
      <w:marBottom w:val="0"/>
      <w:divBdr>
        <w:top w:val="none" w:sz="0" w:space="0" w:color="auto"/>
        <w:left w:val="none" w:sz="0" w:space="0" w:color="auto"/>
        <w:bottom w:val="none" w:sz="0" w:space="0" w:color="auto"/>
        <w:right w:val="none" w:sz="0" w:space="0" w:color="auto"/>
      </w:divBdr>
      <w:divsChild>
        <w:div w:id="922228853">
          <w:marLeft w:val="0"/>
          <w:marRight w:val="0"/>
          <w:marTop w:val="0"/>
          <w:marBottom w:val="0"/>
          <w:divBdr>
            <w:top w:val="none" w:sz="0" w:space="0" w:color="auto"/>
            <w:left w:val="none" w:sz="0" w:space="0" w:color="auto"/>
            <w:bottom w:val="none" w:sz="0" w:space="0" w:color="auto"/>
            <w:right w:val="none" w:sz="0" w:space="0" w:color="auto"/>
          </w:divBdr>
          <w:divsChild>
            <w:div w:id="2006203588">
              <w:marLeft w:val="0"/>
              <w:marRight w:val="0"/>
              <w:marTop w:val="0"/>
              <w:marBottom w:val="0"/>
              <w:divBdr>
                <w:top w:val="none" w:sz="0" w:space="0" w:color="auto"/>
                <w:left w:val="none" w:sz="0" w:space="0" w:color="auto"/>
                <w:bottom w:val="none" w:sz="0" w:space="0" w:color="auto"/>
                <w:right w:val="none" w:sz="0" w:space="0" w:color="auto"/>
              </w:divBdr>
              <w:divsChild>
                <w:div w:id="1567106474">
                  <w:marLeft w:val="0"/>
                  <w:marRight w:val="0"/>
                  <w:marTop w:val="0"/>
                  <w:marBottom w:val="0"/>
                  <w:divBdr>
                    <w:top w:val="none" w:sz="0" w:space="0" w:color="auto"/>
                    <w:left w:val="none" w:sz="0" w:space="0" w:color="auto"/>
                    <w:bottom w:val="none" w:sz="0" w:space="0" w:color="auto"/>
                    <w:right w:val="none" w:sz="0" w:space="0" w:color="auto"/>
                  </w:divBdr>
                  <w:divsChild>
                    <w:div w:id="1674910891">
                      <w:marLeft w:val="0"/>
                      <w:marRight w:val="0"/>
                      <w:marTop w:val="0"/>
                      <w:marBottom w:val="0"/>
                      <w:divBdr>
                        <w:top w:val="none" w:sz="0" w:space="0" w:color="auto"/>
                        <w:left w:val="none" w:sz="0" w:space="0" w:color="auto"/>
                        <w:bottom w:val="none" w:sz="0" w:space="0" w:color="auto"/>
                        <w:right w:val="none" w:sz="0" w:space="0" w:color="auto"/>
                      </w:divBdr>
                      <w:divsChild>
                        <w:div w:id="1243954022">
                          <w:marLeft w:val="0"/>
                          <w:marRight w:val="0"/>
                          <w:marTop w:val="0"/>
                          <w:marBottom w:val="0"/>
                          <w:divBdr>
                            <w:top w:val="none" w:sz="0" w:space="0" w:color="auto"/>
                            <w:left w:val="none" w:sz="0" w:space="0" w:color="auto"/>
                            <w:bottom w:val="none" w:sz="0" w:space="0" w:color="auto"/>
                            <w:right w:val="none" w:sz="0" w:space="0" w:color="auto"/>
                          </w:divBdr>
                          <w:divsChild>
                            <w:div w:id="1763641960">
                              <w:marLeft w:val="0"/>
                              <w:marRight w:val="0"/>
                              <w:marTop w:val="0"/>
                              <w:marBottom w:val="0"/>
                              <w:divBdr>
                                <w:top w:val="none" w:sz="0" w:space="0" w:color="auto"/>
                                <w:left w:val="none" w:sz="0" w:space="0" w:color="auto"/>
                                <w:bottom w:val="none" w:sz="0" w:space="0" w:color="auto"/>
                                <w:right w:val="none" w:sz="0" w:space="0" w:color="auto"/>
                              </w:divBdr>
                              <w:divsChild>
                                <w:div w:id="12801776">
                                  <w:marLeft w:val="0"/>
                                  <w:marRight w:val="0"/>
                                  <w:marTop w:val="0"/>
                                  <w:marBottom w:val="0"/>
                                  <w:divBdr>
                                    <w:top w:val="none" w:sz="0" w:space="0" w:color="auto"/>
                                    <w:left w:val="none" w:sz="0" w:space="0" w:color="auto"/>
                                    <w:bottom w:val="none" w:sz="0" w:space="0" w:color="auto"/>
                                    <w:right w:val="none" w:sz="0" w:space="0" w:color="auto"/>
                                  </w:divBdr>
                                  <w:divsChild>
                                    <w:div w:id="942616099">
                                      <w:marLeft w:val="0"/>
                                      <w:marRight w:val="0"/>
                                      <w:marTop w:val="0"/>
                                      <w:marBottom w:val="0"/>
                                      <w:divBdr>
                                        <w:top w:val="none" w:sz="0" w:space="0" w:color="auto"/>
                                        <w:left w:val="none" w:sz="0" w:space="0" w:color="auto"/>
                                        <w:bottom w:val="none" w:sz="0" w:space="0" w:color="auto"/>
                                        <w:right w:val="none" w:sz="0" w:space="0" w:color="auto"/>
                                      </w:divBdr>
                                      <w:divsChild>
                                        <w:div w:id="668866770">
                                          <w:marLeft w:val="0"/>
                                          <w:marRight w:val="0"/>
                                          <w:marTop w:val="0"/>
                                          <w:marBottom w:val="0"/>
                                          <w:divBdr>
                                            <w:top w:val="none" w:sz="0" w:space="0" w:color="auto"/>
                                            <w:left w:val="none" w:sz="0" w:space="0" w:color="auto"/>
                                            <w:bottom w:val="none" w:sz="0" w:space="0" w:color="auto"/>
                                            <w:right w:val="none" w:sz="0" w:space="0" w:color="auto"/>
                                          </w:divBdr>
                                          <w:divsChild>
                                            <w:div w:id="1682393134">
                                              <w:marLeft w:val="0"/>
                                              <w:marRight w:val="0"/>
                                              <w:marTop w:val="0"/>
                                              <w:marBottom w:val="0"/>
                                              <w:divBdr>
                                                <w:top w:val="none" w:sz="0" w:space="0" w:color="auto"/>
                                                <w:left w:val="none" w:sz="0" w:space="0" w:color="auto"/>
                                                <w:bottom w:val="none" w:sz="0" w:space="0" w:color="auto"/>
                                                <w:right w:val="none" w:sz="0" w:space="0" w:color="auto"/>
                                              </w:divBdr>
                                              <w:divsChild>
                                                <w:div w:id="1082069052">
                                                  <w:marLeft w:val="0"/>
                                                  <w:marRight w:val="0"/>
                                                  <w:marTop w:val="0"/>
                                                  <w:marBottom w:val="0"/>
                                                  <w:divBdr>
                                                    <w:top w:val="none" w:sz="0" w:space="0" w:color="auto"/>
                                                    <w:left w:val="none" w:sz="0" w:space="0" w:color="auto"/>
                                                    <w:bottom w:val="none" w:sz="0" w:space="0" w:color="auto"/>
                                                    <w:right w:val="none" w:sz="0" w:space="0" w:color="auto"/>
                                                  </w:divBdr>
                                                  <w:divsChild>
                                                    <w:div w:id="985741578">
                                                      <w:marLeft w:val="0"/>
                                                      <w:marRight w:val="0"/>
                                                      <w:marTop w:val="0"/>
                                                      <w:marBottom w:val="0"/>
                                                      <w:divBdr>
                                                        <w:top w:val="none" w:sz="0" w:space="0" w:color="auto"/>
                                                        <w:left w:val="none" w:sz="0" w:space="0" w:color="auto"/>
                                                        <w:bottom w:val="none" w:sz="0" w:space="0" w:color="auto"/>
                                                        <w:right w:val="none" w:sz="0" w:space="0" w:color="auto"/>
                                                      </w:divBdr>
                                                      <w:divsChild>
                                                        <w:div w:id="1408578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96322860">
          <w:marLeft w:val="0"/>
          <w:marRight w:val="0"/>
          <w:marTop w:val="0"/>
          <w:marBottom w:val="0"/>
          <w:divBdr>
            <w:top w:val="none" w:sz="0" w:space="0" w:color="auto"/>
            <w:left w:val="none" w:sz="0" w:space="0" w:color="auto"/>
            <w:bottom w:val="none" w:sz="0" w:space="0" w:color="auto"/>
            <w:right w:val="none" w:sz="0" w:space="0" w:color="auto"/>
          </w:divBdr>
          <w:divsChild>
            <w:div w:id="200553206">
              <w:marLeft w:val="0"/>
              <w:marRight w:val="0"/>
              <w:marTop w:val="0"/>
              <w:marBottom w:val="0"/>
              <w:divBdr>
                <w:top w:val="none" w:sz="0" w:space="0" w:color="auto"/>
                <w:left w:val="none" w:sz="0" w:space="0" w:color="auto"/>
                <w:bottom w:val="none" w:sz="0" w:space="0" w:color="auto"/>
                <w:right w:val="none" w:sz="0" w:space="0" w:color="auto"/>
              </w:divBdr>
              <w:divsChild>
                <w:div w:id="2013142499">
                  <w:marLeft w:val="0"/>
                  <w:marRight w:val="0"/>
                  <w:marTop w:val="0"/>
                  <w:marBottom w:val="0"/>
                  <w:divBdr>
                    <w:top w:val="none" w:sz="0" w:space="0" w:color="auto"/>
                    <w:left w:val="none" w:sz="0" w:space="0" w:color="auto"/>
                    <w:bottom w:val="none" w:sz="0" w:space="0" w:color="auto"/>
                    <w:right w:val="none" w:sz="0" w:space="0" w:color="auto"/>
                  </w:divBdr>
                  <w:divsChild>
                    <w:div w:id="1760370656">
                      <w:marLeft w:val="0"/>
                      <w:marRight w:val="0"/>
                      <w:marTop w:val="0"/>
                      <w:marBottom w:val="0"/>
                      <w:divBdr>
                        <w:top w:val="none" w:sz="0" w:space="0" w:color="auto"/>
                        <w:left w:val="none" w:sz="0" w:space="0" w:color="auto"/>
                        <w:bottom w:val="none" w:sz="0" w:space="0" w:color="auto"/>
                        <w:right w:val="none" w:sz="0" w:space="0" w:color="auto"/>
                      </w:divBdr>
                      <w:divsChild>
                        <w:div w:id="304555283">
                          <w:marLeft w:val="0"/>
                          <w:marRight w:val="0"/>
                          <w:marTop w:val="0"/>
                          <w:marBottom w:val="0"/>
                          <w:divBdr>
                            <w:top w:val="none" w:sz="0" w:space="0" w:color="auto"/>
                            <w:left w:val="none" w:sz="0" w:space="0" w:color="auto"/>
                            <w:bottom w:val="none" w:sz="0" w:space="0" w:color="auto"/>
                            <w:right w:val="none" w:sz="0" w:space="0" w:color="auto"/>
                          </w:divBdr>
                          <w:divsChild>
                            <w:div w:id="2140956676">
                              <w:marLeft w:val="0"/>
                              <w:marRight w:val="0"/>
                              <w:marTop w:val="0"/>
                              <w:marBottom w:val="0"/>
                              <w:divBdr>
                                <w:top w:val="none" w:sz="0" w:space="0" w:color="auto"/>
                                <w:left w:val="none" w:sz="0" w:space="0" w:color="auto"/>
                                <w:bottom w:val="none" w:sz="0" w:space="0" w:color="auto"/>
                                <w:right w:val="none" w:sz="0" w:space="0" w:color="auto"/>
                              </w:divBdr>
                              <w:divsChild>
                                <w:div w:id="912817214">
                                  <w:marLeft w:val="0"/>
                                  <w:marRight w:val="0"/>
                                  <w:marTop w:val="0"/>
                                  <w:marBottom w:val="0"/>
                                  <w:divBdr>
                                    <w:top w:val="none" w:sz="0" w:space="0" w:color="auto"/>
                                    <w:left w:val="none" w:sz="0" w:space="0" w:color="auto"/>
                                    <w:bottom w:val="none" w:sz="0" w:space="0" w:color="auto"/>
                                    <w:right w:val="none" w:sz="0" w:space="0" w:color="auto"/>
                                  </w:divBdr>
                                  <w:divsChild>
                                    <w:div w:id="1236089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61111021">
      <w:bodyDiv w:val="1"/>
      <w:marLeft w:val="0"/>
      <w:marRight w:val="0"/>
      <w:marTop w:val="0"/>
      <w:marBottom w:val="0"/>
      <w:divBdr>
        <w:top w:val="none" w:sz="0" w:space="0" w:color="auto"/>
        <w:left w:val="none" w:sz="0" w:space="0" w:color="auto"/>
        <w:bottom w:val="none" w:sz="0" w:space="0" w:color="auto"/>
        <w:right w:val="none" w:sz="0" w:space="0" w:color="auto"/>
      </w:divBdr>
      <w:divsChild>
        <w:div w:id="1344749264">
          <w:marLeft w:val="0"/>
          <w:marRight w:val="0"/>
          <w:marTop w:val="0"/>
          <w:marBottom w:val="0"/>
          <w:divBdr>
            <w:top w:val="none" w:sz="0" w:space="0" w:color="auto"/>
            <w:left w:val="none" w:sz="0" w:space="0" w:color="auto"/>
            <w:bottom w:val="none" w:sz="0" w:space="0" w:color="auto"/>
            <w:right w:val="none" w:sz="0" w:space="0" w:color="auto"/>
          </w:divBdr>
          <w:divsChild>
            <w:div w:id="973371312">
              <w:marLeft w:val="0"/>
              <w:marRight w:val="0"/>
              <w:marTop w:val="0"/>
              <w:marBottom w:val="0"/>
              <w:divBdr>
                <w:top w:val="none" w:sz="0" w:space="0" w:color="auto"/>
                <w:left w:val="none" w:sz="0" w:space="0" w:color="auto"/>
                <w:bottom w:val="none" w:sz="0" w:space="0" w:color="auto"/>
                <w:right w:val="none" w:sz="0" w:space="0" w:color="auto"/>
              </w:divBdr>
              <w:divsChild>
                <w:div w:id="2010406293">
                  <w:marLeft w:val="0"/>
                  <w:marRight w:val="0"/>
                  <w:marTop w:val="0"/>
                  <w:marBottom w:val="0"/>
                  <w:divBdr>
                    <w:top w:val="none" w:sz="0" w:space="0" w:color="auto"/>
                    <w:left w:val="none" w:sz="0" w:space="0" w:color="auto"/>
                    <w:bottom w:val="none" w:sz="0" w:space="0" w:color="auto"/>
                    <w:right w:val="none" w:sz="0" w:space="0" w:color="auto"/>
                  </w:divBdr>
                  <w:divsChild>
                    <w:div w:id="532310724">
                      <w:marLeft w:val="0"/>
                      <w:marRight w:val="0"/>
                      <w:marTop w:val="0"/>
                      <w:marBottom w:val="0"/>
                      <w:divBdr>
                        <w:top w:val="none" w:sz="0" w:space="0" w:color="auto"/>
                        <w:left w:val="none" w:sz="0" w:space="0" w:color="auto"/>
                        <w:bottom w:val="none" w:sz="0" w:space="0" w:color="auto"/>
                        <w:right w:val="none" w:sz="0" w:space="0" w:color="auto"/>
                      </w:divBdr>
                      <w:divsChild>
                        <w:div w:id="1185289061">
                          <w:marLeft w:val="0"/>
                          <w:marRight w:val="0"/>
                          <w:marTop w:val="0"/>
                          <w:marBottom w:val="0"/>
                          <w:divBdr>
                            <w:top w:val="none" w:sz="0" w:space="0" w:color="auto"/>
                            <w:left w:val="none" w:sz="0" w:space="0" w:color="auto"/>
                            <w:bottom w:val="none" w:sz="0" w:space="0" w:color="auto"/>
                            <w:right w:val="none" w:sz="0" w:space="0" w:color="auto"/>
                          </w:divBdr>
                          <w:divsChild>
                            <w:div w:id="742682353">
                              <w:marLeft w:val="0"/>
                              <w:marRight w:val="0"/>
                              <w:marTop w:val="0"/>
                              <w:marBottom w:val="0"/>
                              <w:divBdr>
                                <w:top w:val="none" w:sz="0" w:space="0" w:color="auto"/>
                                <w:left w:val="none" w:sz="0" w:space="0" w:color="auto"/>
                                <w:bottom w:val="none" w:sz="0" w:space="0" w:color="auto"/>
                                <w:right w:val="none" w:sz="0" w:space="0" w:color="auto"/>
                              </w:divBdr>
                              <w:divsChild>
                                <w:div w:id="679818575">
                                  <w:marLeft w:val="0"/>
                                  <w:marRight w:val="0"/>
                                  <w:marTop w:val="0"/>
                                  <w:marBottom w:val="0"/>
                                  <w:divBdr>
                                    <w:top w:val="none" w:sz="0" w:space="0" w:color="auto"/>
                                    <w:left w:val="none" w:sz="0" w:space="0" w:color="auto"/>
                                    <w:bottom w:val="none" w:sz="0" w:space="0" w:color="auto"/>
                                    <w:right w:val="none" w:sz="0" w:space="0" w:color="auto"/>
                                  </w:divBdr>
                                  <w:divsChild>
                                    <w:div w:id="1534070873">
                                      <w:marLeft w:val="0"/>
                                      <w:marRight w:val="0"/>
                                      <w:marTop w:val="0"/>
                                      <w:marBottom w:val="0"/>
                                      <w:divBdr>
                                        <w:top w:val="none" w:sz="0" w:space="0" w:color="auto"/>
                                        <w:left w:val="none" w:sz="0" w:space="0" w:color="auto"/>
                                        <w:bottom w:val="none" w:sz="0" w:space="0" w:color="auto"/>
                                        <w:right w:val="none" w:sz="0" w:space="0" w:color="auto"/>
                                      </w:divBdr>
                                      <w:divsChild>
                                        <w:div w:id="693650552">
                                          <w:marLeft w:val="0"/>
                                          <w:marRight w:val="0"/>
                                          <w:marTop w:val="0"/>
                                          <w:marBottom w:val="0"/>
                                          <w:divBdr>
                                            <w:top w:val="none" w:sz="0" w:space="0" w:color="auto"/>
                                            <w:left w:val="none" w:sz="0" w:space="0" w:color="auto"/>
                                            <w:bottom w:val="none" w:sz="0" w:space="0" w:color="auto"/>
                                            <w:right w:val="none" w:sz="0" w:space="0" w:color="auto"/>
                                          </w:divBdr>
                                          <w:divsChild>
                                            <w:div w:id="99223116">
                                              <w:marLeft w:val="0"/>
                                              <w:marRight w:val="0"/>
                                              <w:marTop w:val="0"/>
                                              <w:marBottom w:val="0"/>
                                              <w:divBdr>
                                                <w:top w:val="none" w:sz="0" w:space="0" w:color="auto"/>
                                                <w:left w:val="none" w:sz="0" w:space="0" w:color="auto"/>
                                                <w:bottom w:val="none" w:sz="0" w:space="0" w:color="auto"/>
                                                <w:right w:val="none" w:sz="0" w:space="0" w:color="auto"/>
                                              </w:divBdr>
                                              <w:divsChild>
                                                <w:div w:id="1446341993">
                                                  <w:marLeft w:val="0"/>
                                                  <w:marRight w:val="0"/>
                                                  <w:marTop w:val="0"/>
                                                  <w:marBottom w:val="0"/>
                                                  <w:divBdr>
                                                    <w:top w:val="none" w:sz="0" w:space="0" w:color="auto"/>
                                                    <w:left w:val="none" w:sz="0" w:space="0" w:color="auto"/>
                                                    <w:bottom w:val="none" w:sz="0" w:space="0" w:color="auto"/>
                                                    <w:right w:val="none" w:sz="0" w:space="0" w:color="auto"/>
                                                  </w:divBdr>
                                                  <w:divsChild>
                                                    <w:div w:id="2103183266">
                                                      <w:marLeft w:val="0"/>
                                                      <w:marRight w:val="0"/>
                                                      <w:marTop w:val="0"/>
                                                      <w:marBottom w:val="0"/>
                                                      <w:divBdr>
                                                        <w:top w:val="none" w:sz="0" w:space="0" w:color="auto"/>
                                                        <w:left w:val="none" w:sz="0" w:space="0" w:color="auto"/>
                                                        <w:bottom w:val="none" w:sz="0" w:space="0" w:color="auto"/>
                                                        <w:right w:val="none" w:sz="0" w:space="0" w:color="auto"/>
                                                      </w:divBdr>
                                                      <w:divsChild>
                                                        <w:div w:id="1847205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73225312">
          <w:marLeft w:val="0"/>
          <w:marRight w:val="0"/>
          <w:marTop w:val="0"/>
          <w:marBottom w:val="0"/>
          <w:divBdr>
            <w:top w:val="none" w:sz="0" w:space="0" w:color="auto"/>
            <w:left w:val="none" w:sz="0" w:space="0" w:color="auto"/>
            <w:bottom w:val="none" w:sz="0" w:space="0" w:color="auto"/>
            <w:right w:val="none" w:sz="0" w:space="0" w:color="auto"/>
          </w:divBdr>
          <w:divsChild>
            <w:div w:id="1507941268">
              <w:marLeft w:val="0"/>
              <w:marRight w:val="0"/>
              <w:marTop w:val="0"/>
              <w:marBottom w:val="0"/>
              <w:divBdr>
                <w:top w:val="none" w:sz="0" w:space="0" w:color="auto"/>
                <w:left w:val="none" w:sz="0" w:space="0" w:color="auto"/>
                <w:bottom w:val="none" w:sz="0" w:space="0" w:color="auto"/>
                <w:right w:val="none" w:sz="0" w:space="0" w:color="auto"/>
              </w:divBdr>
              <w:divsChild>
                <w:div w:id="662972341">
                  <w:marLeft w:val="0"/>
                  <w:marRight w:val="0"/>
                  <w:marTop w:val="0"/>
                  <w:marBottom w:val="0"/>
                  <w:divBdr>
                    <w:top w:val="none" w:sz="0" w:space="0" w:color="auto"/>
                    <w:left w:val="none" w:sz="0" w:space="0" w:color="auto"/>
                    <w:bottom w:val="none" w:sz="0" w:space="0" w:color="auto"/>
                    <w:right w:val="none" w:sz="0" w:space="0" w:color="auto"/>
                  </w:divBdr>
                  <w:divsChild>
                    <w:div w:id="279266783">
                      <w:marLeft w:val="0"/>
                      <w:marRight w:val="0"/>
                      <w:marTop w:val="0"/>
                      <w:marBottom w:val="0"/>
                      <w:divBdr>
                        <w:top w:val="none" w:sz="0" w:space="0" w:color="auto"/>
                        <w:left w:val="none" w:sz="0" w:space="0" w:color="auto"/>
                        <w:bottom w:val="none" w:sz="0" w:space="0" w:color="auto"/>
                        <w:right w:val="none" w:sz="0" w:space="0" w:color="auto"/>
                      </w:divBdr>
                      <w:divsChild>
                        <w:div w:id="411129142">
                          <w:marLeft w:val="0"/>
                          <w:marRight w:val="0"/>
                          <w:marTop w:val="0"/>
                          <w:marBottom w:val="0"/>
                          <w:divBdr>
                            <w:top w:val="none" w:sz="0" w:space="0" w:color="auto"/>
                            <w:left w:val="none" w:sz="0" w:space="0" w:color="auto"/>
                            <w:bottom w:val="none" w:sz="0" w:space="0" w:color="auto"/>
                            <w:right w:val="none" w:sz="0" w:space="0" w:color="auto"/>
                          </w:divBdr>
                          <w:divsChild>
                            <w:div w:id="168641414">
                              <w:marLeft w:val="0"/>
                              <w:marRight w:val="0"/>
                              <w:marTop w:val="0"/>
                              <w:marBottom w:val="0"/>
                              <w:divBdr>
                                <w:top w:val="none" w:sz="0" w:space="0" w:color="auto"/>
                                <w:left w:val="none" w:sz="0" w:space="0" w:color="auto"/>
                                <w:bottom w:val="none" w:sz="0" w:space="0" w:color="auto"/>
                                <w:right w:val="none" w:sz="0" w:space="0" w:color="auto"/>
                              </w:divBdr>
                              <w:divsChild>
                                <w:div w:id="389622657">
                                  <w:marLeft w:val="0"/>
                                  <w:marRight w:val="0"/>
                                  <w:marTop w:val="0"/>
                                  <w:marBottom w:val="0"/>
                                  <w:divBdr>
                                    <w:top w:val="none" w:sz="0" w:space="0" w:color="auto"/>
                                    <w:left w:val="none" w:sz="0" w:space="0" w:color="auto"/>
                                    <w:bottom w:val="none" w:sz="0" w:space="0" w:color="auto"/>
                                    <w:right w:val="none" w:sz="0" w:space="0" w:color="auto"/>
                                  </w:divBdr>
                                  <w:divsChild>
                                    <w:div w:id="1584795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470</TotalTime>
  <Pages>5</Pages>
  <Words>2149</Words>
  <Characters>12250</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40</cp:revision>
  <dcterms:created xsi:type="dcterms:W3CDTF">2021-05-03T07:14:00Z</dcterms:created>
  <dcterms:modified xsi:type="dcterms:W3CDTF">2021-05-03T20:43:00Z</dcterms:modified>
</cp:coreProperties>
</file>