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477A" w:rsidRDefault="00FD477A" w:rsidP="00ED3EA5">
      <w:pPr>
        <w:spacing w:after="160" w:line="240" w:lineRule="auto"/>
      </w:pPr>
      <w:r>
        <w:t>Name</w:t>
      </w:r>
      <w:r w:rsidR="00C26DA5">
        <w:t>:</w:t>
      </w:r>
    </w:p>
    <w:p w:rsidR="00FD477A" w:rsidRPr="00FD477A" w:rsidRDefault="00FD477A" w:rsidP="00ED3EA5">
      <w:pPr>
        <w:spacing w:after="160" w:line="240" w:lineRule="auto"/>
      </w:pPr>
      <w:r>
        <w:t>Date</w:t>
      </w:r>
      <w:r w:rsidR="00C26DA5">
        <w:t>:</w:t>
      </w:r>
    </w:p>
    <w:p w:rsidR="00EF6406" w:rsidRPr="00100AA8" w:rsidRDefault="006F4B8F" w:rsidP="00ED3EA5">
      <w:pPr>
        <w:spacing w:after="160" w:line="240" w:lineRule="auto"/>
        <w:jc w:val="center"/>
        <w:rPr>
          <w:b/>
        </w:rPr>
      </w:pPr>
      <w:r>
        <w:rPr>
          <w:b/>
        </w:rPr>
        <w:t xml:space="preserve">Case Study: </w:t>
      </w:r>
      <w:r w:rsidR="008053D0" w:rsidRPr="00100AA8">
        <w:rPr>
          <w:b/>
        </w:rPr>
        <w:t>Bosnia and Herzegovina v Serbia and Montenegro</w:t>
      </w:r>
      <w:r w:rsidR="00694376" w:rsidRPr="00100AA8">
        <w:rPr>
          <w:b/>
        </w:rPr>
        <w:t xml:space="preserve"> </w:t>
      </w:r>
      <w:r w:rsidR="00E01072" w:rsidRPr="00100AA8">
        <w:rPr>
          <w:b/>
        </w:rPr>
        <w:t>(</w:t>
      </w:r>
      <w:r w:rsidR="00694376" w:rsidRPr="00100AA8">
        <w:rPr>
          <w:b/>
        </w:rPr>
        <w:t>2007</w:t>
      </w:r>
      <w:r w:rsidR="00E01072" w:rsidRPr="00100AA8">
        <w:rPr>
          <w:b/>
        </w:rPr>
        <w:t>)</w:t>
      </w:r>
    </w:p>
    <w:p w:rsidR="002D3956" w:rsidRDefault="00FF0A83" w:rsidP="00ED3EA5">
      <w:pPr>
        <w:spacing w:after="160" w:line="240" w:lineRule="auto"/>
        <w:rPr>
          <w:b/>
        </w:rPr>
      </w:pPr>
      <w:r>
        <w:rPr>
          <w:b/>
        </w:rPr>
        <w:t>Introduction</w:t>
      </w:r>
    </w:p>
    <w:p w:rsidR="00DE7702" w:rsidRPr="00DE7702" w:rsidRDefault="00DE7702" w:rsidP="00F9580D">
      <w:pPr>
        <w:spacing w:after="160" w:line="240" w:lineRule="auto"/>
        <w:ind w:firstLine="720"/>
      </w:pPr>
      <w:r w:rsidRPr="00DE7702">
        <w:t xml:space="preserve">Bosnia and Herzegovina filed a lawsuit </w:t>
      </w:r>
      <w:r w:rsidR="00B30F5D">
        <w:t xml:space="preserve">seeking justice </w:t>
      </w:r>
      <w:r w:rsidR="00B30F5D" w:rsidRPr="00B30F5D">
        <w:t xml:space="preserve">at the International Court of Justice (ICJ) </w:t>
      </w:r>
      <w:r w:rsidRPr="00DE7702">
        <w:t>against Serbia and Montenegro on March 20, 1993</w:t>
      </w:r>
      <w:r w:rsidR="00AF261E">
        <w:t xml:space="preserve"> </w:t>
      </w:r>
      <w:r w:rsidR="00AF261E" w:rsidRPr="00AF261E">
        <w:t>(Quigley, 2016)</w:t>
      </w:r>
      <w:r w:rsidRPr="00DE7702">
        <w:t xml:space="preserve">. According to </w:t>
      </w:r>
      <w:r w:rsidR="00B30F5D">
        <w:t>the plaintiff</w:t>
      </w:r>
      <w:r w:rsidRPr="00DE7702">
        <w:t xml:space="preserve">, the </w:t>
      </w:r>
      <w:r w:rsidR="00F470ED">
        <w:t xml:space="preserve">Serbia and Montenegro </w:t>
      </w:r>
      <w:r w:rsidRPr="00DE7702">
        <w:t xml:space="preserve">had </w:t>
      </w:r>
      <w:r w:rsidR="00C75689">
        <w:t xml:space="preserve">breached </w:t>
      </w:r>
      <w:r w:rsidRPr="00DE7702">
        <w:t xml:space="preserve">the Genocide </w:t>
      </w:r>
      <w:r w:rsidR="00C75689">
        <w:t xml:space="preserve">Convention due to failure </w:t>
      </w:r>
      <w:r w:rsidRPr="00DE7702">
        <w:t xml:space="preserve">to </w:t>
      </w:r>
      <w:r w:rsidR="00C75689">
        <w:t xml:space="preserve">stop </w:t>
      </w:r>
      <w:r w:rsidRPr="00DE7702">
        <w:t>the 1995 Srebrenica genocide (Sivakumaran, 2007). Srebrenica was considered a safe zone controlled by the United Nations (UN) peacekeeping troops from Holland. Thousands of Bosnian Muslim refugees used the area for refuge and shelter for a long period. However, the conflicts in Bosnia and Herzegovina led to the Srebrenica massacre perpetrated by the Serbian army. At least 8 000 Bosniak men were murdered under the order of General Ratko Mladic and 25 000-30 000 refugees registered (Sivakumaran, 2007).</w:t>
      </w:r>
    </w:p>
    <w:p w:rsidR="00DE7702" w:rsidRPr="00DE7702" w:rsidRDefault="00DE7702" w:rsidP="00117B66">
      <w:pPr>
        <w:spacing w:after="160" w:line="240" w:lineRule="auto"/>
        <w:jc w:val="center"/>
      </w:pPr>
      <w:r w:rsidRPr="00DE7702">
        <w:rPr>
          <w:b/>
          <w:bCs/>
        </w:rPr>
        <w:t>Facts</w:t>
      </w:r>
    </w:p>
    <w:p w:rsidR="00DE7702" w:rsidRPr="00DE7702" w:rsidRDefault="00DE7702" w:rsidP="00F9580D">
      <w:pPr>
        <w:spacing w:after="160" w:line="240" w:lineRule="auto"/>
        <w:ind w:firstLine="720"/>
      </w:pPr>
      <w:r w:rsidRPr="00DE7702">
        <w:t xml:space="preserve">The lawsuit was filed by the plaintiff, Bosnia, and Herzegovina on March 20, 1993, at the </w:t>
      </w:r>
      <w:r w:rsidR="003D577E">
        <w:t xml:space="preserve">ICJ </w:t>
      </w:r>
      <w:r w:rsidRPr="00DE7702">
        <w:t xml:space="preserve">(Sivakumaran, 2007). The </w:t>
      </w:r>
      <w:r w:rsidR="00EF3926">
        <w:t>petition</w:t>
      </w:r>
      <w:r w:rsidRPr="00DE7702">
        <w:t xml:space="preserve"> was filed against the defendant </w:t>
      </w:r>
      <w:r w:rsidR="00B60963">
        <w:t>Serbia and Montenegro</w:t>
      </w:r>
      <w:r w:rsidRPr="00DE7702">
        <w:t xml:space="preserve"> on the basis of </w:t>
      </w:r>
      <w:r w:rsidR="005A7C9B">
        <w:t>breach</w:t>
      </w:r>
      <w:r w:rsidRPr="00DE7702">
        <w:t xml:space="preserve"> of the </w:t>
      </w:r>
      <w:r w:rsidR="0059119E">
        <w:t>G</w:t>
      </w:r>
      <w:r w:rsidRPr="00DE7702">
        <w:t>enocide</w:t>
      </w:r>
      <w:r w:rsidR="0059119E">
        <w:t xml:space="preserve"> Convention</w:t>
      </w:r>
      <w:r w:rsidRPr="00DE7702">
        <w:t xml:space="preserve">. According to </w:t>
      </w:r>
      <w:r w:rsidR="008D4DA2">
        <w:t xml:space="preserve">the plaintiff’s </w:t>
      </w:r>
      <w:r w:rsidRPr="00DE7702">
        <w:t>claims, the massacre was perpetrated by Serbian forces led by General Ratko Mladic in Srebrenica. This place had been declared safe by the UN and was controlled by about 400 UN peacekeepers from the Netherlands. According to International law, wrong conduct by any of the state organs is termed an act of the state (Quigley, 2016). The state is therefore held accountable for the actions of its organ as evident in the FRY case where the state was sued for its military actions that breached international law (Quigley, 2016).</w:t>
      </w:r>
    </w:p>
    <w:p w:rsidR="00DE7702" w:rsidRPr="00DE7702" w:rsidRDefault="00DE7702" w:rsidP="00117B66">
      <w:pPr>
        <w:spacing w:after="160" w:line="240" w:lineRule="auto"/>
        <w:jc w:val="center"/>
      </w:pPr>
      <w:r w:rsidRPr="00DE7702">
        <w:rPr>
          <w:b/>
          <w:bCs/>
        </w:rPr>
        <w:t>Questions</w:t>
      </w:r>
    </w:p>
    <w:p w:rsidR="00DE7702" w:rsidRDefault="00772F08" w:rsidP="00ED3EA5">
      <w:pPr>
        <w:spacing w:after="160" w:line="240" w:lineRule="auto"/>
        <w:rPr>
          <w:i/>
          <w:iCs/>
        </w:rPr>
      </w:pPr>
      <w:r>
        <w:rPr>
          <w:i/>
          <w:iCs/>
        </w:rPr>
        <w:t xml:space="preserve">Was Serbia accountable for the </w:t>
      </w:r>
      <w:r w:rsidR="00745274" w:rsidRPr="00745274">
        <w:rPr>
          <w:i/>
          <w:iCs/>
        </w:rPr>
        <w:t>1995 Srebrenica genocide</w:t>
      </w:r>
      <w:r>
        <w:rPr>
          <w:i/>
          <w:iCs/>
        </w:rPr>
        <w:t>?</w:t>
      </w:r>
    </w:p>
    <w:p w:rsidR="00CC3335" w:rsidRPr="00CC3335" w:rsidRDefault="00CC3335" w:rsidP="00ED3EA5">
      <w:pPr>
        <w:spacing w:after="160" w:line="240" w:lineRule="auto"/>
      </w:pPr>
      <w:r>
        <w:rPr>
          <w:iCs/>
        </w:rPr>
        <w:t>Serbia was a jurisdiction and had the power to regulate the actions of its forces. The International law holds responsible the states for the actions of any of their organs.</w:t>
      </w:r>
      <w:r w:rsidR="00BA6E8F">
        <w:rPr>
          <w:iCs/>
        </w:rPr>
        <w:t xml:space="preserve"> Application of this law would make Serbia liable for the actions of its forces.</w:t>
      </w:r>
    </w:p>
    <w:p w:rsidR="00DE7702" w:rsidRPr="00DE7702" w:rsidRDefault="00DE7702" w:rsidP="00ED3EA5">
      <w:pPr>
        <w:spacing w:after="160" w:line="240" w:lineRule="auto"/>
      </w:pPr>
      <w:r w:rsidRPr="00DE7702">
        <w:rPr>
          <w:i/>
          <w:iCs/>
        </w:rPr>
        <w:t xml:space="preserve">Was </w:t>
      </w:r>
      <w:r w:rsidR="00BA59A4">
        <w:rPr>
          <w:i/>
          <w:iCs/>
        </w:rPr>
        <w:t xml:space="preserve">Serbia </w:t>
      </w:r>
      <w:r w:rsidRPr="00DE7702">
        <w:rPr>
          <w:i/>
          <w:iCs/>
        </w:rPr>
        <w:t xml:space="preserve">liable for the actions of </w:t>
      </w:r>
      <w:r w:rsidR="000361A4">
        <w:rPr>
          <w:i/>
          <w:iCs/>
        </w:rPr>
        <w:t xml:space="preserve">its </w:t>
      </w:r>
      <w:r w:rsidRPr="00DE7702">
        <w:rPr>
          <w:i/>
          <w:iCs/>
        </w:rPr>
        <w:t>forces in the Srebrenica massacre?</w:t>
      </w:r>
    </w:p>
    <w:p w:rsidR="00DE7702" w:rsidRPr="00DE7702" w:rsidRDefault="00DE7702" w:rsidP="00283964">
      <w:pPr>
        <w:spacing w:after="160" w:line="240" w:lineRule="auto"/>
        <w:ind w:firstLine="720"/>
      </w:pPr>
      <w:r w:rsidRPr="00DE7702">
        <w:t xml:space="preserve">The case was filed on the basis of violation of the </w:t>
      </w:r>
      <w:r w:rsidR="005641C7" w:rsidRPr="003C7647">
        <w:rPr>
          <w:color w:val="FFFFFF" w:themeColor="background1"/>
        </w:rPr>
        <w:t>“</w:t>
      </w:r>
      <w:r w:rsidRPr="00DE7702">
        <w:t>Article IX of the Genocide Convention</w:t>
      </w:r>
      <w:r w:rsidR="005641C7" w:rsidRPr="003C7647">
        <w:rPr>
          <w:color w:val="FFFFFF" w:themeColor="background1"/>
        </w:rPr>
        <w:t>”</w:t>
      </w:r>
      <w:r w:rsidRPr="00DE7702">
        <w:t xml:space="preserve"> (Quigley, 2016). International law states that the conduct of any state organ is considered the state’s actions, and the state is held accountable for such action. Bosnia and Herzegovina sued </w:t>
      </w:r>
      <w:r w:rsidR="00F307BB">
        <w:t xml:space="preserve">Serbia and Montenegro </w:t>
      </w:r>
      <w:r w:rsidRPr="00DE7702">
        <w:t>on the account of the Serbian force</w:t>
      </w:r>
      <w:r w:rsidR="004F4E65">
        <w:t>s that perpetrated the massacre, and were not prevented by their state.</w:t>
      </w:r>
    </w:p>
    <w:p w:rsidR="00DE7702" w:rsidRPr="00DE7702" w:rsidRDefault="00DE7702" w:rsidP="00ED3EA5">
      <w:pPr>
        <w:spacing w:after="160" w:line="240" w:lineRule="auto"/>
      </w:pPr>
      <w:r w:rsidRPr="00DE7702">
        <w:rPr>
          <w:i/>
          <w:iCs/>
        </w:rPr>
        <w:t>Was the court fair in rejecting the preliminary objections submitted by Yugoslavia?</w:t>
      </w:r>
    </w:p>
    <w:p w:rsidR="00DE7702" w:rsidRPr="00DE7702" w:rsidRDefault="00DE7702" w:rsidP="00283964">
      <w:pPr>
        <w:spacing w:after="160" w:line="240" w:lineRule="auto"/>
        <w:ind w:firstLine="720"/>
      </w:pPr>
      <w:r w:rsidRPr="00DE7702">
        <w:t xml:space="preserve">The court was bonded to the case by </w:t>
      </w:r>
      <w:r w:rsidR="00D85F41" w:rsidRPr="00BA12DF">
        <w:rPr>
          <w:color w:val="FFFFFF" w:themeColor="background1"/>
        </w:rPr>
        <w:t>“</w:t>
      </w:r>
      <w:r w:rsidRPr="00DE7702">
        <w:t>Article IX of the Genocide Convention</w:t>
      </w:r>
      <w:r w:rsidR="00D85F41" w:rsidRPr="00BA12DF">
        <w:rPr>
          <w:color w:val="FFFFFF" w:themeColor="background1"/>
        </w:rPr>
        <w:t>”</w:t>
      </w:r>
      <w:r w:rsidRPr="00DE7702">
        <w:t xml:space="preserve"> and had jurisdiction to deal with the dispute (Quigley, 2016). Based on Article I of the International law, Yugoslavia was responsible for monitoring and controlling the acts of its organs, therefore it would have prevented the massacre by regulating its army’s operations.</w:t>
      </w:r>
    </w:p>
    <w:p w:rsidR="00DE7702" w:rsidRPr="00DE7702" w:rsidRDefault="00DE7702" w:rsidP="00172DEA">
      <w:pPr>
        <w:spacing w:after="160" w:line="240" w:lineRule="auto"/>
        <w:jc w:val="center"/>
      </w:pPr>
      <w:r w:rsidRPr="00DE7702">
        <w:rPr>
          <w:b/>
          <w:bCs/>
        </w:rPr>
        <w:lastRenderedPageBreak/>
        <w:t>Decision</w:t>
      </w:r>
    </w:p>
    <w:p w:rsidR="00DE7702" w:rsidRPr="00DE7702" w:rsidRDefault="00DE7702" w:rsidP="00283964">
      <w:pPr>
        <w:spacing w:after="160" w:line="240" w:lineRule="auto"/>
        <w:ind w:firstLine="720"/>
      </w:pPr>
      <w:r w:rsidRPr="00DE7702">
        <w:t>The court ruled out the respondent’s (Serbia) claim that it had no jurisdiction in the case (10 votes to 1). The court affirmed that massive killings indeed occurred during the conflict in Bosnia and Herzegovina. However, it upheld that the killings were not accompanied by a particular intent that defines genocide; therefore the act was not genocide (13 votes to 2) (Sivakumaran, 2007). The court, however, ruled the 1995 Srebrenica mass killing as genocide because it targeted a specific group of Muslim Bosnians that were protected in the refugee camp by the Dutch UN peacekeeping troops. The court ruled that FRY was not accountable for the genocide (11 votes to 4) (Patel, 2014).</w:t>
      </w:r>
    </w:p>
    <w:p w:rsidR="00DE7702" w:rsidRPr="00DE7702" w:rsidRDefault="00DE7702" w:rsidP="00283964">
      <w:pPr>
        <w:spacing w:after="160" w:line="240" w:lineRule="auto"/>
        <w:ind w:firstLine="720"/>
      </w:pPr>
      <w:r w:rsidRPr="00DE7702">
        <w:t xml:space="preserve">The court ruled that the Republic of Serbia </w:t>
      </w:r>
      <w:r w:rsidR="00451596">
        <w:t>breached</w:t>
      </w:r>
      <w:r w:rsidRPr="00DE7702">
        <w:t xml:space="preserve"> </w:t>
      </w:r>
      <w:r w:rsidR="00A13E33" w:rsidRPr="00BA12DF">
        <w:rPr>
          <w:color w:val="FFFFFF" w:themeColor="background1"/>
        </w:rPr>
        <w:t>“</w:t>
      </w:r>
      <w:r w:rsidRPr="00DE7702">
        <w:t>Article I of the Genocide Convention</w:t>
      </w:r>
      <w:r w:rsidR="00A13E33" w:rsidRPr="00BA12DF">
        <w:rPr>
          <w:color w:val="FFFFFF" w:themeColor="background1"/>
        </w:rPr>
        <w:t>”</w:t>
      </w:r>
      <w:r w:rsidRPr="00DE7702">
        <w:t xml:space="preserve"> by failing to prevent the Srebrenica genocide (12 votes to 3). The court also </w:t>
      </w:r>
      <w:r w:rsidR="00427D9F">
        <w:t>ruled against the</w:t>
      </w:r>
      <w:r w:rsidRPr="00DE7702">
        <w:t xml:space="preserve"> defendant</w:t>
      </w:r>
      <w:r w:rsidR="00F97BDE">
        <w:t>, stating that it</w:t>
      </w:r>
      <w:r w:rsidRPr="00DE7702">
        <w:t xml:space="preserve"> </w:t>
      </w:r>
      <w:r w:rsidR="00F97BDE">
        <w:t>dishonored</w:t>
      </w:r>
      <w:r w:rsidR="00F97BDE" w:rsidRPr="00DE7702">
        <w:t xml:space="preserve"> </w:t>
      </w:r>
      <w:r w:rsidRPr="00DE7702">
        <w:t xml:space="preserve">its </w:t>
      </w:r>
      <w:r w:rsidR="00F97BDE">
        <w:t>role</w:t>
      </w:r>
      <w:r w:rsidRPr="00DE7702">
        <w:t xml:space="preserve"> to punish the committers of the </w:t>
      </w:r>
      <w:r w:rsidR="00F97BDE">
        <w:t>massacre</w:t>
      </w:r>
      <w:r w:rsidRPr="00DE7702">
        <w:t xml:space="preserve">. The respondent had also failed to cooperate fully with the </w:t>
      </w:r>
      <w:r w:rsidR="009E6461" w:rsidRPr="009E6461">
        <w:rPr>
          <w:color w:val="FFFFFF" w:themeColor="background1"/>
        </w:rPr>
        <w:t>“</w:t>
      </w:r>
      <w:r w:rsidRPr="00DE7702">
        <w:t>International Criminal Tribunal for the former Yugoslavia (ICTY),</w:t>
      </w:r>
      <w:r w:rsidR="009E6461" w:rsidRPr="009E6461">
        <w:rPr>
          <w:color w:val="FFFFFF" w:themeColor="background1"/>
        </w:rPr>
        <w:t>”</w:t>
      </w:r>
      <w:r w:rsidRPr="00DE7702">
        <w:t xml:space="preserve"> thereby violating Article VI of the Genocide Convention (14 votes to 1) (Quigley, 2016). The court ruled out the financial compensation to Bosnia and Herzegovina as a form of reparation (13 votes to 2) due to lack of adequate evidence to prove that Serbia’s efforts would have prevented the genocide. The court held that the best form of reparation was handing over the genocide perpetrators to ICTY and fully cooperating with the tribunal.</w:t>
      </w:r>
    </w:p>
    <w:p w:rsidR="00DE7702" w:rsidRPr="00DE7702" w:rsidRDefault="00DE7702" w:rsidP="00ED3EA5">
      <w:pPr>
        <w:spacing w:after="160" w:line="240" w:lineRule="auto"/>
        <w:jc w:val="center"/>
      </w:pPr>
      <w:r w:rsidRPr="00DE7702">
        <w:rPr>
          <w:b/>
          <w:bCs/>
        </w:rPr>
        <w:t>Principles</w:t>
      </w:r>
    </w:p>
    <w:p w:rsidR="00DE7702" w:rsidRPr="00DE7702" w:rsidRDefault="00FE2DE7" w:rsidP="00ED3EA5">
      <w:pPr>
        <w:spacing w:after="160" w:line="240" w:lineRule="auto"/>
      </w:pPr>
      <w:r w:rsidRPr="00FE2DE7">
        <w:rPr>
          <w:color w:val="FFFFFF" w:themeColor="background1"/>
        </w:rPr>
        <w:t>“</w:t>
      </w:r>
      <w:r w:rsidR="00DE7702" w:rsidRPr="00DE7702">
        <w:t>Article IX of the Genocide Convention: Convention on the Prevention and Punishment of the Crime of Genocide (CPPCG)</w:t>
      </w:r>
      <w:r w:rsidRPr="00FE2DE7">
        <w:rPr>
          <w:color w:val="FFFFFF" w:themeColor="background1"/>
        </w:rPr>
        <w:t>”</w:t>
      </w:r>
      <w:r w:rsidR="00DE7702" w:rsidRPr="00DE7702">
        <w:t xml:space="preserve"> (Patel, 2014; Sivakumaran, 2007).</w:t>
      </w:r>
    </w:p>
    <w:p w:rsidR="00DE7702" w:rsidRPr="00DE7702" w:rsidRDefault="001B4062" w:rsidP="00ED3EA5">
      <w:pPr>
        <w:spacing w:after="160" w:line="240" w:lineRule="auto"/>
      </w:pPr>
      <w:r w:rsidRPr="001B4062">
        <w:rPr>
          <w:color w:val="FFFFFF" w:themeColor="background1"/>
        </w:rPr>
        <w:t>“</w:t>
      </w:r>
      <w:r w:rsidR="00DE7702" w:rsidRPr="00DE7702">
        <w:t>Article 80, paragraph 1, of the court rules:</w:t>
      </w:r>
      <w:r w:rsidRPr="001B4062">
        <w:rPr>
          <w:color w:val="FFFFFF" w:themeColor="background1"/>
        </w:rPr>
        <w:t>”</w:t>
      </w:r>
      <w:r w:rsidR="00DE7702" w:rsidRPr="00DE7702">
        <w:t xml:space="preserve"> deals with the admissibility of claims and counter-claims.</w:t>
      </w:r>
    </w:p>
    <w:p w:rsidR="00DE7702" w:rsidRPr="00DE7702" w:rsidRDefault="00EA7140" w:rsidP="00ED3EA5">
      <w:pPr>
        <w:spacing w:after="160" w:line="240" w:lineRule="auto"/>
      </w:pPr>
      <w:r>
        <w:t xml:space="preserve"> </w:t>
      </w:r>
      <w:r w:rsidR="00DE7702" w:rsidRPr="00DE7702">
        <w:t>Article I of the International Law: state responsibility on the actions of its organs (Robinson, 2007).</w:t>
      </w:r>
    </w:p>
    <w:p w:rsidR="00DE7702" w:rsidRPr="00DE7702" w:rsidRDefault="00EA7140" w:rsidP="00ED3EA5">
      <w:pPr>
        <w:spacing w:after="160" w:line="240" w:lineRule="auto"/>
      </w:pPr>
      <w:r>
        <w:t xml:space="preserve"> </w:t>
      </w:r>
      <w:bookmarkStart w:id="0" w:name="_GoBack"/>
      <w:bookmarkEnd w:id="0"/>
      <w:r w:rsidR="00DE7702" w:rsidRPr="00DE7702">
        <w:t>Article VI of the Genocide Convention: state cooperation with ICTY during an investigation (Robinson, 2007).</w:t>
      </w:r>
    </w:p>
    <w:p w:rsidR="00DE7702" w:rsidRPr="00DE7702" w:rsidRDefault="00DE7702" w:rsidP="00ED3EA5">
      <w:pPr>
        <w:spacing w:after="160" w:line="240" w:lineRule="auto"/>
        <w:jc w:val="center"/>
      </w:pPr>
      <w:r w:rsidRPr="00DE7702">
        <w:rPr>
          <w:b/>
          <w:bCs/>
        </w:rPr>
        <w:t>Conclusion</w:t>
      </w:r>
    </w:p>
    <w:p w:rsidR="003B2B0C" w:rsidRDefault="00DE7702" w:rsidP="00283964">
      <w:pPr>
        <w:spacing w:after="160" w:line="240" w:lineRule="auto"/>
        <w:ind w:firstLine="720"/>
      </w:pPr>
      <w:r w:rsidRPr="00DE7702">
        <w:t>This case perfectly portrays a typical instance where International Law was applied to bring justice between conflicting nations. The Genocide Convention expects every nation to act responsibly and prevent genocide or mass killing of people at all costs. The failure of Serbia to stop its forces from committing genocide on the Bosnian Muslims led to intervention by the ICJ to bring justice under international law. The verdict of this case aligns with the principles of international law. The case was thus a turning point for all nations to embrace international law and prevent unethical acts like the Srebrenica genocide. The case is relevant and reliable in reminding states of their responsibilities and requirements of international law.</w:t>
      </w:r>
    </w:p>
    <w:p w:rsidR="00CC3335" w:rsidRDefault="00CC3335">
      <w:r>
        <w:br w:type="page"/>
      </w:r>
    </w:p>
    <w:p w:rsidR="00E61B84" w:rsidRDefault="003B2B0C" w:rsidP="00ED3EA5">
      <w:pPr>
        <w:spacing w:after="160" w:line="240" w:lineRule="auto"/>
        <w:jc w:val="center"/>
      </w:pPr>
      <w:r>
        <w:lastRenderedPageBreak/>
        <w:t>References</w:t>
      </w:r>
    </w:p>
    <w:p w:rsidR="006468AA" w:rsidRDefault="006468AA" w:rsidP="00ED3EA5">
      <w:pPr>
        <w:spacing w:after="160" w:line="240" w:lineRule="auto"/>
        <w:ind w:left="720" w:hanging="720"/>
      </w:pPr>
      <w:r w:rsidRPr="003619D3">
        <w:t>Patel, B. N. (2014). Application of the Convention on the Prevention and Punishment of the Crime of Genocide (Bosnia and Herzegovina v. Serbia and Montenegro). In </w:t>
      </w:r>
      <w:r w:rsidRPr="003619D3">
        <w:rPr>
          <w:i/>
          <w:iCs/>
        </w:rPr>
        <w:t>The World Court Reference Guide and Case-Law Digest</w:t>
      </w:r>
      <w:r w:rsidRPr="003619D3">
        <w:t> (pp. 63-109). Brill Nijhoff.</w:t>
      </w:r>
    </w:p>
    <w:p w:rsidR="006468AA" w:rsidRPr="00D2522E" w:rsidRDefault="006468AA" w:rsidP="00ED3EA5">
      <w:pPr>
        <w:spacing w:after="160" w:line="240" w:lineRule="auto"/>
        <w:ind w:left="720" w:hanging="720"/>
      </w:pPr>
      <w:r w:rsidRPr="006111EC">
        <w:t>Quigley, J. (2016). </w:t>
      </w:r>
      <w:r w:rsidRPr="006111EC">
        <w:rPr>
          <w:i/>
          <w:iCs/>
        </w:rPr>
        <w:t>The genocide convention: An international law analysis</w:t>
      </w:r>
      <w:r w:rsidRPr="006111EC">
        <w:t>. Routledge.</w:t>
      </w:r>
      <w:r>
        <w:t xml:space="preserve"> </w:t>
      </w:r>
    </w:p>
    <w:p w:rsidR="006468AA" w:rsidRDefault="006468AA" w:rsidP="00ED3EA5">
      <w:pPr>
        <w:spacing w:after="160" w:line="240" w:lineRule="auto"/>
        <w:ind w:left="720" w:hanging="720"/>
      </w:pPr>
      <w:r w:rsidRPr="00AD5635">
        <w:t>Robinson, N. (2007). The Genocide Convention. </w:t>
      </w:r>
      <w:r w:rsidRPr="00AD5635">
        <w:rPr>
          <w:i/>
          <w:iCs/>
        </w:rPr>
        <w:t>Case W. Res. J. Int'l L.</w:t>
      </w:r>
      <w:r w:rsidRPr="00AD5635">
        <w:t>, </w:t>
      </w:r>
      <w:r w:rsidRPr="00AD5635">
        <w:rPr>
          <w:i/>
          <w:iCs/>
        </w:rPr>
        <w:t>40</w:t>
      </w:r>
      <w:r w:rsidRPr="00AD5635">
        <w:t>, i.</w:t>
      </w:r>
      <w:r>
        <w:t xml:space="preserve"> </w:t>
      </w:r>
    </w:p>
    <w:p w:rsidR="006468AA" w:rsidRDefault="006468AA" w:rsidP="00ED3EA5">
      <w:pPr>
        <w:spacing w:after="160" w:line="240" w:lineRule="auto"/>
        <w:ind w:left="720" w:hanging="720"/>
      </w:pPr>
      <w:r w:rsidRPr="003B2B0C">
        <w:t>Sivakumaran, S. (2007). Application of the Convention on the Prevention and Punishment of the Crime of Genocide (Bosnia and Herzegovina v Serbia and Montenegro). </w:t>
      </w:r>
      <w:r w:rsidRPr="003B2B0C">
        <w:rPr>
          <w:i/>
          <w:iCs/>
        </w:rPr>
        <w:t>The International and Comparative Law Quarterly</w:t>
      </w:r>
      <w:r w:rsidRPr="003B2B0C">
        <w:t>, </w:t>
      </w:r>
      <w:r w:rsidRPr="003B2B0C">
        <w:rPr>
          <w:i/>
          <w:iCs/>
        </w:rPr>
        <w:t>56</w:t>
      </w:r>
      <w:r w:rsidRPr="003B2B0C">
        <w:t>(3), 695-708.</w:t>
      </w:r>
      <w:r>
        <w:t xml:space="preserve"> (</w:t>
      </w:r>
      <w:r w:rsidRPr="00F93865">
        <w:t>Sivakumaran</w:t>
      </w:r>
      <w:r>
        <w:t>, 2007)</w:t>
      </w:r>
    </w:p>
    <w:sectPr w:rsidR="006468A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028A" w:rsidRDefault="006B028A" w:rsidP="00C56DD7">
      <w:pPr>
        <w:spacing w:after="0" w:line="240" w:lineRule="auto"/>
      </w:pPr>
      <w:r>
        <w:separator/>
      </w:r>
    </w:p>
  </w:endnote>
  <w:endnote w:type="continuationSeparator" w:id="0">
    <w:p w:rsidR="006B028A" w:rsidRDefault="006B028A" w:rsidP="00C56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028A" w:rsidRDefault="006B028A" w:rsidP="00C56DD7">
      <w:pPr>
        <w:spacing w:after="0" w:line="240" w:lineRule="auto"/>
      </w:pPr>
      <w:r>
        <w:separator/>
      </w:r>
    </w:p>
  </w:footnote>
  <w:footnote w:type="continuationSeparator" w:id="0">
    <w:p w:rsidR="006B028A" w:rsidRDefault="006B028A" w:rsidP="00C56D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7496935"/>
      <w:docPartObj>
        <w:docPartGallery w:val="Page Numbers (Top of Page)"/>
        <w:docPartUnique/>
      </w:docPartObj>
    </w:sdtPr>
    <w:sdtEndPr>
      <w:rPr>
        <w:noProof/>
      </w:rPr>
    </w:sdtEndPr>
    <w:sdtContent>
      <w:p w:rsidR="00C56DD7" w:rsidRDefault="00C56DD7">
        <w:pPr>
          <w:pStyle w:val="Header"/>
          <w:jc w:val="right"/>
        </w:pPr>
        <w:r>
          <w:fldChar w:fldCharType="begin"/>
        </w:r>
        <w:r>
          <w:instrText xml:space="preserve"> PAGE   \* MERGEFORMAT </w:instrText>
        </w:r>
        <w:r>
          <w:fldChar w:fldCharType="separate"/>
        </w:r>
        <w:r w:rsidR="00EA7140">
          <w:rPr>
            <w:noProof/>
          </w:rPr>
          <w:t>2</w:t>
        </w:r>
        <w:r>
          <w:rPr>
            <w:noProof/>
          </w:rPr>
          <w:fldChar w:fldCharType="end"/>
        </w:r>
      </w:p>
    </w:sdtContent>
  </w:sdt>
  <w:p w:rsidR="00C56DD7" w:rsidRDefault="00C56DD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15E"/>
    <w:rsid w:val="00017EB8"/>
    <w:rsid w:val="0002165C"/>
    <w:rsid w:val="00023BC3"/>
    <w:rsid w:val="000361A4"/>
    <w:rsid w:val="00042FCD"/>
    <w:rsid w:val="00057029"/>
    <w:rsid w:val="0008015E"/>
    <w:rsid w:val="000930A6"/>
    <w:rsid w:val="000A50FB"/>
    <w:rsid w:val="000B675F"/>
    <w:rsid w:val="000C3595"/>
    <w:rsid w:val="00100AA8"/>
    <w:rsid w:val="00100BCB"/>
    <w:rsid w:val="001036CB"/>
    <w:rsid w:val="0010473A"/>
    <w:rsid w:val="00112408"/>
    <w:rsid w:val="00117B66"/>
    <w:rsid w:val="001317A4"/>
    <w:rsid w:val="0013487E"/>
    <w:rsid w:val="0013588B"/>
    <w:rsid w:val="00147F4D"/>
    <w:rsid w:val="00172DEA"/>
    <w:rsid w:val="00183F7A"/>
    <w:rsid w:val="001A3D75"/>
    <w:rsid w:val="001A7C35"/>
    <w:rsid w:val="001B228E"/>
    <w:rsid w:val="001B4062"/>
    <w:rsid w:val="001B4924"/>
    <w:rsid w:val="001D4D24"/>
    <w:rsid w:val="001F5BC2"/>
    <w:rsid w:val="0020777F"/>
    <w:rsid w:val="002156D3"/>
    <w:rsid w:val="0022768A"/>
    <w:rsid w:val="00241D6C"/>
    <w:rsid w:val="0025159F"/>
    <w:rsid w:val="00283964"/>
    <w:rsid w:val="00291F2E"/>
    <w:rsid w:val="002A5E7E"/>
    <w:rsid w:val="002B0CE4"/>
    <w:rsid w:val="002B0CFA"/>
    <w:rsid w:val="002C7E81"/>
    <w:rsid w:val="002D3956"/>
    <w:rsid w:val="002E7E12"/>
    <w:rsid w:val="002F2139"/>
    <w:rsid w:val="0034788D"/>
    <w:rsid w:val="00347FD0"/>
    <w:rsid w:val="003553B9"/>
    <w:rsid w:val="003619D3"/>
    <w:rsid w:val="00364F40"/>
    <w:rsid w:val="0037174B"/>
    <w:rsid w:val="00376C8A"/>
    <w:rsid w:val="003B2B0C"/>
    <w:rsid w:val="003C7647"/>
    <w:rsid w:val="003C7C64"/>
    <w:rsid w:val="003D577E"/>
    <w:rsid w:val="004043FC"/>
    <w:rsid w:val="00416142"/>
    <w:rsid w:val="00427D9F"/>
    <w:rsid w:val="00451596"/>
    <w:rsid w:val="004F4E65"/>
    <w:rsid w:val="005116D4"/>
    <w:rsid w:val="00515FC1"/>
    <w:rsid w:val="005641C7"/>
    <w:rsid w:val="0059119E"/>
    <w:rsid w:val="005969F5"/>
    <w:rsid w:val="005A01B7"/>
    <w:rsid w:val="005A0C63"/>
    <w:rsid w:val="005A4679"/>
    <w:rsid w:val="005A7C9B"/>
    <w:rsid w:val="005B094B"/>
    <w:rsid w:val="005B2E93"/>
    <w:rsid w:val="005B403D"/>
    <w:rsid w:val="005D3A85"/>
    <w:rsid w:val="005D76C0"/>
    <w:rsid w:val="005E429C"/>
    <w:rsid w:val="005E75DC"/>
    <w:rsid w:val="006111EC"/>
    <w:rsid w:val="0064145A"/>
    <w:rsid w:val="00641B63"/>
    <w:rsid w:val="006468AA"/>
    <w:rsid w:val="006576B4"/>
    <w:rsid w:val="00694376"/>
    <w:rsid w:val="006B028A"/>
    <w:rsid w:val="006B55D0"/>
    <w:rsid w:val="006D037E"/>
    <w:rsid w:val="006D3D68"/>
    <w:rsid w:val="006D5F26"/>
    <w:rsid w:val="006F4B8F"/>
    <w:rsid w:val="007012A2"/>
    <w:rsid w:val="00704600"/>
    <w:rsid w:val="00707F93"/>
    <w:rsid w:val="0071083E"/>
    <w:rsid w:val="00713D41"/>
    <w:rsid w:val="00714BA0"/>
    <w:rsid w:val="00745274"/>
    <w:rsid w:val="00761B13"/>
    <w:rsid w:val="00772F08"/>
    <w:rsid w:val="00773355"/>
    <w:rsid w:val="0077568E"/>
    <w:rsid w:val="00794F41"/>
    <w:rsid w:val="007954BA"/>
    <w:rsid w:val="00797D6A"/>
    <w:rsid w:val="007A5358"/>
    <w:rsid w:val="007B5E86"/>
    <w:rsid w:val="007C0DA1"/>
    <w:rsid w:val="00802C39"/>
    <w:rsid w:val="008053D0"/>
    <w:rsid w:val="00822828"/>
    <w:rsid w:val="00870137"/>
    <w:rsid w:val="008946DC"/>
    <w:rsid w:val="008A32DE"/>
    <w:rsid w:val="008C5630"/>
    <w:rsid w:val="008C5FCD"/>
    <w:rsid w:val="008C6F14"/>
    <w:rsid w:val="008D4DA2"/>
    <w:rsid w:val="008E3787"/>
    <w:rsid w:val="008F6E03"/>
    <w:rsid w:val="009342A7"/>
    <w:rsid w:val="00946173"/>
    <w:rsid w:val="00965D98"/>
    <w:rsid w:val="009769E6"/>
    <w:rsid w:val="009800A5"/>
    <w:rsid w:val="00983EE9"/>
    <w:rsid w:val="0098621F"/>
    <w:rsid w:val="0099741B"/>
    <w:rsid w:val="009C4D6F"/>
    <w:rsid w:val="009E6461"/>
    <w:rsid w:val="009F34AA"/>
    <w:rsid w:val="00A012EE"/>
    <w:rsid w:val="00A06105"/>
    <w:rsid w:val="00A13E33"/>
    <w:rsid w:val="00A431E3"/>
    <w:rsid w:val="00A62627"/>
    <w:rsid w:val="00A633E8"/>
    <w:rsid w:val="00A64FFE"/>
    <w:rsid w:val="00A80545"/>
    <w:rsid w:val="00A91E86"/>
    <w:rsid w:val="00A9395B"/>
    <w:rsid w:val="00A9552C"/>
    <w:rsid w:val="00A975AA"/>
    <w:rsid w:val="00AD5635"/>
    <w:rsid w:val="00AE4CD9"/>
    <w:rsid w:val="00AF261E"/>
    <w:rsid w:val="00B27DB2"/>
    <w:rsid w:val="00B30F5D"/>
    <w:rsid w:val="00B60963"/>
    <w:rsid w:val="00B665CA"/>
    <w:rsid w:val="00B66F5C"/>
    <w:rsid w:val="00B714EF"/>
    <w:rsid w:val="00B96865"/>
    <w:rsid w:val="00BA12DF"/>
    <w:rsid w:val="00BA59A4"/>
    <w:rsid w:val="00BA6E8F"/>
    <w:rsid w:val="00BF4C23"/>
    <w:rsid w:val="00C12DF4"/>
    <w:rsid w:val="00C1456F"/>
    <w:rsid w:val="00C26DA5"/>
    <w:rsid w:val="00C40796"/>
    <w:rsid w:val="00C563A3"/>
    <w:rsid w:val="00C56DD7"/>
    <w:rsid w:val="00C66416"/>
    <w:rsid w:val="00C75689"/>
    <w:rsid w:val="00C773EB"/>
    <w:rsid w:val="00CC0F3B"/>
    <w:rsid w:val="00CC3335"/>
    <w:rsid w:val="00CC6FEB"/>
    <w:rsid w:val="00CC7272"/>
    <w:rsid w:val="00D05628"/>
    <w:rsid w:val="00D137D8"/>
    <w:rsid w:val="00D22521"/>
    <w:rsid w:val="00D24EDC"/>
    <w:rsid w:val="00D2522E"/>
    <w:rsid w:val="00D66096"/>
    <w:rsid w:val="00D73CE9"/>
    <w:rsid w:val="00D750EC"/>
    <w:rsid w:val="00D85F41"/>
    <w:rsid w:val="00DB7E97"/>
    <w:rsid w:val="00DC4868"/>
    <w:rsid w:val="00DE409E"/>
    <w:rsid w:val="00DE7702"/>
    <w:rsid w:val="00E01072"/>
    <w:rsid w:val="00E04317"/>
    <w:rsid w:val="00E46BDB"/>
    <w:rsid w:val="00E61B84"/>
    <w:rsid w:val="00E75C50"/>
    <w:rsid w:val="00E826DB"/>
    <w:rsid w:val="00E84FDF"/>
    <w:rsid w:val="00E87BA7"/>
    <w:rsid w:val="00E976DD"/>
    <w:rsid w:val="00EA6B12"/>
    <w:rsid w:val="00EA7140"/>
    <w:rsid w:val="00ED3EA5"/>
    <w:rsid w:val="00EF01B9"/>
    <w:rsid w:val="00EF0BD0"/>
    <w:rsid w:val="00EF3926"/>
    <w:rsid w:val="00EF6406"/>
    <w:rsid w:val="00F14A7F"/>
    <w:rsid w:val="00F23543"/>
    <w:rsid w:val="00F307BB"/>
    <w:rsid w:val="00F470ED"/>
    <w:rsid w:val="00F47945"/>
    <w:rsid w:val="00F614CF"/>
    <w:rsid w:val="00F77119"/>
    <w:rsid w:val="00F77A10"/>
    <w:rsid w:val="00F859D4"/>
    <w:rsid w:val="00F93865"/>
    <w:rsid w:val="00F9580D"/>
    <w:rsid w:val="00F97BDE"/>
    <w:rsid w:val="00FC324C"/>
    <w:rsid w:val="00FD477A"/>
    <w:rsid w:val="00FD5006"/>
    <w:rsid w:val="00FE2DE7"/>
    <w:rsid w:val="00FF0A83"/>
    <w:rsid w:val="00FF2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6D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DD7"/>
  </w:style>
  <w:style w:type="paragraph" w:styleId="Footer">
    <w:name w:val="footer"/>
    <w:basedOn w:val="Normal"/>
    <w:link w:val="FooterChar"/>
    <w:uiPriority w:val="99"/>
    <w:unhideWhenUsed/>
    <w:rsid w:val="00C56D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D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6D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DD7"/>
  </w:style>
  <w:style w:type="paragraph" w:styleId="Footer">
    <w:name w:val="footer"/>
    <w:basedOn w:val="Normal"/>
    <w:link w:val="FooterChar"/>
    <w:uiPriority w:val="99"/>
    <w:unhideWhenUsed/>
    <w:rsid w:val="00C56D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95661">
      <w:bodyDiv w:val="1"/>
      <w:marLeft w:val="0"/>
      <w:marRight w:val="0"/>
      <w:marTop w:val="0"/>
      <w:marBottom w:val="0"/>
      <w:divBdr>
        <w:top w:val="none" w:sz="0" w:space="0" w:color="auto"/>
        <w:left w:val="none" w:sz="0" w:space="0" w:color="auto"/>
        <w:bottom w:val="none" w:sz="0" w:space="0" w:color="auto"/>
        <w:right w:val="none" w:sz="0" w:space="0" w:color="auto"/>
      </w:divBdr>
      <w:divsChild>
        <w:div w:id="1280456166">
          <w:marLeft w:val="0"/>
          <w:marRight w:val="0"/>
          <w:marTop w:val="0"/>
          <w:marBottom w:val="0"/>
          <w:divBdr>
            <w:top w:val="none" w:sz="0" w:space="0" w:color="auto"/>
            <w:left w:val="none" w:sz="0" w:space="0" w:color="auto"/>
            <w:bottom w:val="none" w:sz="0" w:space="0" w:color="auto"/>
            <w:right w:val="none" w:sz="0" w:space="0" w:color="auto"/>
          </w:divBdr>
        </w:div>
      </w:divsChild>
    </w:div>
    <w:div w:id="879437193">
      <w:bodyDiv w:val="1"/>
      <w:marLeft w:val="0"/>
      <w:marRight w:val="0"/>
      <w:marTop w:val="0"/>
      <w:marBottom w:val="0"/>
      <w:divBdr>
        <w:top w:val="none" w:sz="0" w:space="0" w:color="auto"/>
        <w:left w:val="none" w:sz="0" w:space="0" w:color="auto"/>
        <w:bottom w:val="none" w:sz="0" w:space="0" w:color="auto"/>
        <w:right w:val="none" w:sz="0" w:space="0" w:color="auto"/>
      </w:divBdr>
    </w:div>
    <w:div w:id="986863533">
      <w:bodyDiv w:val="1"/>
      <w:marLeft w:val="0"/>
      <w:marRight w:val="0"/>
      <w:marTop w:val="0"/>
      <w:marBottom w:val="0"/>
      <w:divBdr>
        <w:top w:val="none" w:sz="0" w:space="0" w:color="auto"/>
        <w:left w:val="none" w:sz="0" w:space="0" w:color="auto"/>
        <w:bottom w:val="none" w:sz="0" w:space="0" w:color="auto"/>
        <w:right w:val="none" w:sz="0" w:space="0" w:color="auto"/>
      </w:divBdr>
      <w:divsChild>
        <w:div w:id="63837013">
          <w:marLeft w:val="0"/>
          <w:marRight w:val="0"/>
          <w:marTop w:val="0"/>
          <w:marBottom w:val="0"/>
          <w:divBdr>
            <w:top w:val="none" w:sz="0" w:space="0" w:color="auto"/>
            <w:left w:val="none" w:sz="0" w:space="0" w:color="auto"/>
            <w:bottom w:val="none" w:sz="0" w:space="0" w:color="auto"/>
            <w:right w:val="none" w:sz="0" w:space="0" w:color="auto"/>
          </w:divBdr>
        </w:div>
      </w:divsChild>
    </w:div>
    <w:div w:id="166377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TotalTime>
  <Pages>3</Pages>
  <Words>950</Words>
  <Characters>5417</Characters>
  <Application>Microsoft Office Word</Application>
  <DocSecurity>0</DocSecurity>
  <Lines>45</Lines>
  <Paragraphs>12</Paragraphs>
  <ScaleCrop>false</ScaleCrop>
  <Company/>
  <LinksUpToDate>false</LinksUpToDate>
  <CharactersWithSpaces>6355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222</cp:revision>
  <dcterms:created xsi:type="dcterms:W3CDTF">2021-04-15T19:50:00Z</dcterms:created>
  <dcterms:modified xsi:type="dcterms:W3CDTF">2021-04-16T08:29:00Z</dcterms:modified>
</cp:coreProperties>
</file>