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4AFA" w:rsidRDefault="00A54AFA" w:rsidP="00D71C3B">
      <w:pPr>
        <w:jc w:val="center"/>
      </w:pPr>
    </w:p>
    <w:p w:rsidR="00A54AFA" w:rsidRDefault="00A54AFA" w:rsidP="00D71C3B">
      <w:pPr>
        <w:jc w:val="center"/>
      </w:pPr>
    </w:p>
    <w:p w:rsidR="00A54AFA" w:rsidRDefault="00A54AFA" w:rsidP="00D71C3B">
      <w:pPr>
        <w:jc w:val="center"/>
      </w:pPr>
    </w:p>
    <w:p w:rsidR="00A54AFA" w:rsidRDefault="00A54AFA" w:rsidP="00D71C3B">
      <w:pPr>
        <w:jc w:val="center"/>
      </w:pPr>
    </w:p>
    <w:p w:rsidR="00A54AFA" w:rsidRDefault="00A54AFA" w:rsidP="00D71C3B">
      <w:pPr>
        <w:jc w:val="center"/>
      </w:pPr>
    </w:p>
    <w:p w:rsidR="00A54AFA" w:rsidRDefault="00A54AFA" w:rsidP="00D71C3B">
      <w:pPr>
        <w:jc w:val="center"/>
      </w:pPr>
      <w:r w:rsidRPr="00A54AFA">
        <w:t>ASCI 512 Discussion 3.3: NASA's Legacy Missions</w:t>
      </w:r>
    </w:p>
    <w:p w:rsidR="00A54AFA" w:rsidRDefault="00A54AFA" w:rsidP="00D71C3B">
      <w:pPr>
        <w:jc w:val="center"/>
      </w:pPr>
      <w:r>
        <w:t>Student</w:t>
      </w:r>
    </w:p>
    <w:p w:rsidR="00A54AFA" w:rsidRDefault="00A54AFA" w:rsidP="00D71C3B">
      <w:pPr>
        <w:jc w:val="center"/>
      </w:pPr>
      <w:r>
        <w:t>Institution</w:t>
      </w:r>
    </w:p>
    <w:p w:rsidR="00A54AFA" w:rsidRDefault="00A54AFA" w:rsidP="00D71C3B">
      <w:pPr>
        <w:jc w:val="center"/>
      </w:pPr>
      <w:r>
        <w:t>Class</w:t>
      </w:r>
    </w:p>
    <w:p w:rsidR="00A54AFA" w:rsidRDefault="00A54AFA" w:rsidP="00D71C3B">
      <w:pPr>
        <w:jc w:val="center"/>
      </w:pPr>
      <w:r>
        <w:t>Professor</w:t>
      </w:r>
    </w:p>
    <w:p w:rsidR="00A54AFA" w:rsidRDefault="00A54AFA" w:rsidP="00D71C3B">
      <w:pPr>
        <w:jc w:val="center"/>
      </w:pPr>
      <w:r>
        <w:t>Date</w:t>
      </w:r>
    </w:p>
    <w:p w:rsidR="00A54AFA" w:rsidRDefault="00A54AFA">
      <w:r>
        <w:br w:type="page"/>
      </w:r>
    </w:p>
    <w:p w:rsidR="00EF6406" w:rsidRDefault="00D71C3B" w:rsidP="00D71C3B">
      <w:pPr>
        <w:jc w:val="center"/>
      </w:pPr>
      <w:r w:rsidRPr="00D71C3B">
        <w:lastRenderedPageBreak/>
        <w:t>ASCI 512 Discussion 3.3</w:t>
      </w:r>
      <w:r>
        <w:t xml:space="preserve">: </w:t>
      </w:r>
      <w:r w:rsidRPr="00D71C3B">
        <w:t>NASA's Legacy Missions</w:t>
      </w:r>
    </w:p>
    <w:p w:rsidR="0027115C" w:rsidRDefault="0027115C" w:rsidP="0027115C">
      <w:pPr>
        <w:ind w:firstLine="720"/>
      </w:pPr>
      <w:r>
        <w:t>Indeed, NASA’s legacy missions determined the requirements for launch systems. It also defined how early and on-orbit the human-crewed and unmanned missions were conducted. The space race significantly sped up the innovation that resulted in the advancement of space vehicles. However, the space missions were massively affected by factors including political influences, budget pressures, consolidation of large aerospace corporations, the emergence of commercial space programs, and lessons learned from previous missions (Neeck, 2020). Mission Operations Manager (MOM) and program teams for legacy programs play a vital role in the decision-making process. Their decisions affected follow-on space program initiatives that influenced the planning of launch missions. This paper aims to address various factors that influenced the launch of space missions.</w:t>
      </w:r>
    </w:p>
    <w:p w:rsidR="0027115C" w:rsidRDefault="0027115C" w:rsidP="0027115C">
      <w:pPr>
        <w:ind w:firstLine="720"/>
      </w:pPr>
      <w:r>
        <w:t>Budget pressure has remained one of the worst factors that have continued to influence the space mission programs.  The cost of conducting successful missions to the ISS is very expensive and consumes too much resource that can be used to develop other sectors of the economy (Crooke et al., 2019). For instance, the space mission directorate received $1.58 billion, and space technology received $1.1 billion in the fiscal year 2020, amounting to $2.69 billion (Crooke et al., 2019). This is an extremely high budget that leaves the economy struggling. Not all missions become successful, and in case this occurs, the spent resources are lost while the taxpayers remain struggling to raise capital for another mission which may also end in turmoil. Many a time, MOMs and program teams for legacy programs have made decisions to abandon missions due to excessively high budgets (Crooke et al., 2019). Thus, a high budget continues to affect the follow-on space program initiatives by influencing the decisions of the leading stakeholders.</w:t>
      </w:r>
    </w:p>
    <w:p w:rsidR="0027115C" w:rsidRDefault="0027115C" w:rsidP="0027115C">
      <w:pPr>
        <w:ind w:firstLine="720"/>
      </w:pPr>
      <w:r>
        <w:lastRenderedPageBreak/>
        <w:t>Politics continues to play a significant role in the planning of space missions. The Congress and Senate Houses have the responsibility of approving the space mission funding. Also, the two houses have to approve the space mission programs before they are launched (Krasnozhon &amp; Maye, 2019, pp. 103-116). Previous accidents and mission failures typically cause political division, which affects the space mission programs resulting from opposition by unsatisfied members. The Houses have to vote to approve the funding and the space mission themselves. For instance, the Senate and the Representative Houses abolished the use of space shuttle for manned missions to space following the crash of the Colombia Shuttle that claimed all the astronauts’ lives on board (Krasnozhon &amp; Maye, 2019, pp. 103-116). Also, space laws have been implemented and made stricter, making space missions challenging to conduct. The political also influences MOMs and program teams’ decisions for legacy programs by requiring them to comply with the set policies and regulations, failure to which results in withdrawal of licenses and legal actions (Krasnozhon &amp; Maye, 2019, pp. 103-116).</w:t>
      </w:r>
    </w:p>
    <w:p w:rsidR="0027115C" w:rsidRDefault="0027115C" w:rsidP="0027115C">
      <w:pPr>
        <w:ind w:firstLine="720"/>
      </w:pPr>
      <w:r>
        <w:t>Lessons learned from previous missions also influence the decisions of MOMs and the program teams for legacy programs. Colombia shuttle is a typical example of the previous mission that changed space missions’ future to date. The ground mission team’s ignorance to take necessary resolutions to save the Colombia shuttle from crashing on its journey back to earth led to the emergence of complex issues that eventually led to the abolishment of the space shuttle from space missions (Neeck, 2020). Also, the lessons learned from previous failures and success helped the MOMs and program teams for legacy programs to make sound decisions when planning future missions.</w:t>
      </w:r>
    </w:p>
    <w:p w:rsidR="0027115C" w:rsidRDefault="0027115C" w:rsidP="0027115C">
      <w:pPr>
        <w:ind w:firstLine="720"/>
      </w:pPr>
      <w:r>
        <w:t xml:space="preserve">The emergence of commercial space initiatives has greatly influenced space mission programs by impacting MOMs and program teams’ decision-making for legacy programs. The </w:t>
      </w:r>
      <w:r>
        <w:lastRenderedPageBreak/>
        <w:t>emergence of commercial space companies such as Space X and Russian Space company changed the future of space exploration in terms of innovation and technological advancements (Neeck, 2020). The MOMs can now decide to use commercial space companies to conduct both the manned and unmanned missions to ISS without necessarily developing their own space vehicle.</w:t>
      </w:r>
    </w:p>
    <w:p w:rsidR="006760E7" w:rsidRDefault="0027115C" w:rsidP="0027115C">
      <w:pPr>
        <w:ind w:firstLine="720"/>
      </w:pPr>
      <w:r>
        <w:t>The consolidation of large aerospace companies also influenced the space industry’s future by bringing together innovativeness and vital technologies necessary for successful space missions (Neeck, 2020). For instance, the union of Lockheed Martins, Boeing and small private space companies to form the United Launch Alliance significantly influenced the space mission programs by providing alternatives to MOMs and program teams for legacy programs (Neeck, 2020). Decision-making has thus become easier for these stakeholders following the above-discussed factors. Additionally, considering the above factors in decision- making has continued to affect the follow-on space program initiatives.</w:t>
      </w:r>
      <w:bookmarkStart w:id="0" w:name="_GoBack"/>
      <w:bookmarkEnd w:id="0"/>
    </w:p>
    <w:p w:rsidR="00D53709" w:rsidRDefault="00D53709">
      <w:r>
        <w:br w:type="page"/>
      </w:r>
    </w:p>
    <w:p w:rsidR="00D53709" w:rsidRDefault="00D53709" w:rsidP="007F075B">
      <w:pPr>
        <w:jc w:val="center"/>
      </w:pPr>
      <w:r>
        <w:lastRenderedPageBreak/>
        <w:t>References</w:t>
      </w:r>
    </w:p>
    <w:p w:rsidR="008B51FC" w:rsidRDefault="008B51FC" w:rsidP="00965DD0">
      <w:pPr>
        <w:ind w:left="720" w:hanging="720"/>
      </w:pPr>
      <w:r w:rsidRPr="00D50F3C">
        <w:t>Crooke, J., Bolcar, M., &amp; Hylan, J. (2019). Funding Strategy Impacts and Alternative Funding Approaches for NASA's Future Flagship Mission Developments. </w:t>
      </w:r>
      <w:r w:rsidRPr="00D50F3C">
        <w:rPr>
          <w:i/>
          <w:iCs/>
        </w:rPr>
        <w:t>Bulletin of the American Astronomical Society</w:t>
      </w:r>
      <w:r w:rsidRPr="00D50F3C">
        <w:t>, </w:t>
      </w:r>
      <w:r w:rsidRPr="00D50F3C">
        <w:rPr>
          <w:i/>
          <w:iCs/>
        </w:rPr>
        <w:t>51</w:t>
      </w:r>
      <w:r w:rsidRPr="00D50F3C">
        <w:t>(7), 163.</w:t>
      </w:r>
    </w:p>
    <w:p w:rsidR="008B51FC" w:rsidRDefault="008B51FC" w:rsidP="00965DD0">
      <w:pPr>
        <w:ind w:left="720" w:hanging="720"/>
      </w:pPr>
      <w:r w:rsidRPr="004B530E">
        <w:t>Krasnozhon, L., &amp; Maye, W. (2019). Economic History of the Relationship Between Congress and NASA: A Case Study of the Apollo Program. In </w:t>
      </w:r>
      <w:r w:rsidRPr="004B530E">
        <w:rPr>
          <w:i/>
          <w:iCs/>
        </w:rPr>
        <w:t>Public Choice Analyses of American Economic History</w:t>
      </w:r>
      <w:r w:rsidRPr="004B530E">
        <w:t> (pp. 103-116). Springer, Cham.</w:t>
      </w:r>
      <w:r>
        <w:t xml:space="preserve"> </w:t>
      </w:r>
    </w:p>
    <w:p w:rsidR="008B51FC" w:rsidRDefault="008B51FC" w:rsidP="00965DD0">
      <w:pPr>
        <w:ind w:left="720" w:hanging="720"/>
      </w:pPr>
      <w:r w:rsidRPr="003762B9">
        <w:t>Neeck, S. P. (2020, September). Status of the NASA Earth science flight program. In </w:t>
      </w:r>
      <w:r w:rsidRPr="003762B9">
        <w:rPr>
          <w:i/>
          <w:iCs/>
        </w:rPr>
        <w:t>Sensors, Systems, and Next-Generation Satellites XXIV</w:t>
      </w:r>
      <w:r w:rsidRPr="003762B9">
        <w:t> (Vol. 11530, p. 115300K). International Society for Optics and Photonics.</w:t>
      </w:r>
      <w:r>
        <w:t xml:space="preserve"> </w:t>
      </w:r>
    </w:p>
    <w:sectPr w:rsidR="008B51FC" w:rsidSect="00D14898">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6046" w:rsidRDefault="00BA6046" w:rsidP="00D14898">
      <w:pPr>
        <w:spacing w:after="0" w:line="240" w:lineRule="auto"/>
      </w:pPr>
      <w:r>
        <w:separator/>
      </w:r>
    </w:p>
  </w:endnote>
  <w:endnote w:type="continuationSeparator" w:id="0">
    <w:p w:rsidR="00BA6046" w:rsidRDefault="00BA6046" w:rsidP="00D148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6046" w:rsidRDefault="00BA6046" w:rsidP="00D14898">
      <w:pPr>
        <w:spacing w:after="0" w:line="240" w:lineRule="auto"/>
      </w:pPr>
      <w:r>
        <w:separator/>
      </w:r>
    </w:p>
  </w:footnote>
  <w:footnote w:type="continuationSeparator" w:id="0">
    <w:p w:rsidR="00BA6046" w:rsidRDefault="00BA6046" w:rsidP="00D1489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71750533"/>
      <w:docPartObj>
        <w:docPartGallery w:val="Page Numbers (Top of Page)"/>
        <w:docPartUnique/>
      </w:docPartObj>
    </w:sdtPr>
    <w:sdtEndPr>
      <w:rPr>
        <w:noProof/>
      </w:rPr>
    </w:sdtEndPr>
    <w:sdtContent>
      <w:p w:rsidR="00D14898" w:rsidRDefault="00D14898">
        <w:pPr>
          <w:pStyle w:val="Header"/>
        </w:pPr>
        <w:r w:rsidRPr="00D14898">
          <w:t xml:space="preserve">NASA'S LEGACY MISSIONS </w:t>
        </w:r>
        <w:r>
          <w:tab/>
        </w:r>
        <w:r>
          <w:tab/>
        </w:r>
        <w:r>
          <w:fldChar w:fldCharType="begin"/>
        </w:r>
        <w:r>
          <w:instrText xml:space="preserve"> PAGE   \* MERGEFORMAT </w:instrText>
        </w:r>
        <w:r>
          <w:fldChar w:fldCharType="separate"/>
        </w:r>
        <w:r w:rsidR="0027115C">
          <w:rPr>
            <w:noProof/>
          </w:rPr>
          <w:t>4</w:t>
        </w:r>
        <w:r>
          <w:rPr>
            <w:noProof/>
          </w:rPr>
          <w:fldChar w:fldCharType="end"/>
        </w:r>
      </w:p>
    </w:sdtContent>
  </w:sdt>
  <w:p w:rsidR="00D14898" w:rsidRDefault="00D1489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4898" w:rsidRDefault="00D14898">
    <w:pPr>
      <w:pStyle w:val="Header"/>
    </w:pPr>
    <w:r>
      <w:t xml:space="preserve">Running Head: </w:t>
    </w:r>
    <w:r w:rsidRPr="00D14898">
      <w:t>NASA'S LEGACY MISSIONS</w:t>
    </w:r>
    <w:r>
      <w:tab/>
    </w:r>
    <w:r>
      <w:tab/>
    </w:r>
    <w:sdt>
      <w:sdtPr>
        <w:id w:val="2044394021"/>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8B51FC">
          <w:rPr>
            <w:noProof/>
          </w:rPr>
          <w:t>1</w:t>
        </w:r>
        <w:r>
          <w:rPr>
            <w:noProof/>
          </w:rPr>
          <w:fldChar w:fldCharType="end"/>
        </w:r>
      </w:sdtContent>
    </w:sdt>
  </w:p>
  <w:p w:rsidR="00D14898" w:rsidRDefault="00D1489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72A9"/>
    <w:rsid w:val="000304CF"/>
    <w:rsid w:val="00031DB9"/>
    <w:rsid w:val="000540D5"/>
    <w:rsid w:val="00055818"/>
    <w:rsid w:val="00073E28"/>
    <w:rsid w:val="000D6683"/>
    <w:rsid w:val="000D7C02"/>
    <w:rsid w:val="000F1DEB"/>
    <w:rsid w:val="000F2F61"/>
    <w:rsid w:val="00134104"/>
    <w:rsid w:val="00135C4D"/>
    <w:rsid w:val="001430DD"/>
    <w:rsid w:val="001628CD"/>
    <w:rsid w:val="00163B33"/>
    <w:rsid w:val="001B055A"/>
    <w:rsid w:val="001B4B47"/>
    <w:rsid w:val="001B63A9"/>
    <w:rsid w:val="001C0CA0"/>
    <w:rsid w:val="001F6991"/>
    <w:rsid w:val="00202184"/>
    <w:rsid w:val="00245CF9"/>
    <w:rsid w:val="002475BE"/>
    <w:rsid w:val="0027115C"/>
    <w:rsid w:val="00293935"/>
    <w:rsid w:val="0029767F"/>
    <w:rsid w:val="0031509B"/>
    <w:rsid w:val="0033555B"/>
    <w:rsid w:val="003666A7"/>
    <w:rsid w:val="00375CAF"/>
    <w:rsid w:val="003762B9"/>
    <w:rsid w:val="003F5D64"/>
    <w:rsid w:val="00426431"/>
    <w:rsid w:val="00427A2E"/>
    <w:rsid w:val="00431893"/>
    <w:rsid w:val="004B530E"/>
    <w:rsid w:val="004C2C9E"/>
    <w:rsid w:val="004C5498"/>
    <w:rsid w:val="004F0190"/>
    <w:rsid w:val="004F4C07"/>
    <w:rsid w:val="004F7824"/>
    <w:rsid w:val="00523586"/>
    <w:rsid w:val="0055459B"/>
    <w:rsid w:val="005E17F7"/>
    <w:rsid w:val="00607807"/>
    <w:rsid w:val="0061166B"/>
    <w:rsid w:val="006760E7"/>
    <w:rsid w:val="00685B9F"/>
    <w:rsid w:val="006A0289"/>
    <w:rsid w:val="006A2578"/>
    <w:rsid w:val="006C5A46"/>
    <w:rsid w:val="006D06A1"/>
    <w:rsid w:val="006D6837"/>
    <w:rsid w:val="006D7AE9"/>
    <w:rsid w:val="006E1DE7"/>
    <w:rsid w:val="007066DC"/>
    <w:rsid w:val="00714CB6"/>
    <w:rsid w:val="0072129F"/>
    <w:rsid w:val="00745ABF"/>
    <w:rsid w:val="0076303F"/>
    <w:rsid w:val="0079257F"/>
    <w:rsid w:val="00795C92"/>
    <w:rsid w:val="007F075B"/>
    <w:rsid w:val="008222DC"/>
    <w:rsid w:val="0084213C"/>
    <w:rsid w:val="0085299A"/>
    <w:rsid w:val="00857B89"/>
    <w:rsid w:val="00860AA0"/>
    <w:rsid w:val="008805F8"/>
    <w:rsid w:val="0088062E"/>
    <w:rsid w:val="008859B0"/>
    <w:rsid w:val="008B1970"/>
    <w:rsid w:val="008B51FC"/>
    <w:rsid w:val="009618A6"/>
    <w:rsid w:val="00965DD0"/>
    <w:rsid w:val="00984323"/>
    <w:rsid w:val="009A60B0"/>
    <w:rsid w:val="00A059BD"/>
    <w:rsid w:val="00A14D66"/>
    <w:rsid w:val="00A54AFA"/>
    <w:rsid w:val="00A63AF0"/>
    <w:rsid w:val="00AA02DF"/>
    <w:rsid w:val="00AB1729"/>
    <w:rsid w:val="00AB72A9"/>
    <w:rsid w:val="00AC616C"/>
    <w:rsid w:val="00B077A3"/>
    <w:rsid w:val="00B32B76"/>
    <w:rsid w:val="00BA6046"/>
    <w:rsid w:val="00BE7202"/>
    <w:rsid w:val="00C031F1"/>
    <w:rsid w:val="00C03FBD"/>
    <w:rsid w:val="00C32B98"/>
    <w:rsid w:val="00C42DC6"/>
    <w:rsid w:val="00C8312A"/>
    <w:rsid w:val="00C8583D"/>
    <w:rsid w:val="00C95086"/>
    <w:rsid w:val="00C95EBC"/>
    <w:rsid w:val="00D13C23"/>
    <w:rsid w:val="00D14898"/>
    <w:rsid w:val="00D210C6"/>
    <w:rsid w:val="00D31360"/>
    <w:rsid w:val="00D50F3C"/>
    <w:rsid w:val="00D53709"/>
    <w:rsid w:val="00D71C3B"/>
    <w:rsid w:val="00D96DDF"/>
    <w:rsid w:val="00DC7BCE"/>
    <w:rsid w:val="00DE697F"/>
    <w:rsid w:val="00DF4CCF"/>
    <w:rsid w:val="00E1399A"/>
    <w:rsid w:val="00E33B62"/>
    <w:rsid w:val="00E45ADB"/>
    <w:rsid w:val="00E51303"/>
    <w:rsid w:val="00EA785D"/>
    <w:rsid w:val="00EA78DF"/>
    <w:rsid w:val="00EF2684"/>
    <w:rsid w:val="00EF6406"/>
    <w:rsid w:val="00F31C16"/>
    <w:rsid w:val="00F85DED"/>
    <w:rsid w:val="00F9243A"/>
    <w:rsid w:val="00F97D68"/>
    <w:rsid w:val="00FA7891"/>
    <w:rsid w:val="00FD34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after="20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148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14898"/>
  </w:style>
  <w:style w:type="paragraph" w:styleId="Footer">
    <w:name w:val="footer"/>
    <w:basedOn w:val="Normal"/>
    <w:link w:val="FooterChar"/>
    <w:uiPriority w:val="99"/>
    <w:unhideWhenUsed/>
    <w:rsid w:val="00D148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1489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after="20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148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14898"/>
  </w:style>
  <w:style w:type="paragraph" w:styleId="Footer">
    <w:name w:val="footer"/>
    <w:basedOn w:val="Normal"/>
    <w:link w:val="FooterChar"/>
    <w:uiPriority w:val="99"/>
    <w:unhideWhenUsed/>
    <w:rsid w:val="00D148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148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128</TotalTime>
  <Pages>5</Pages>
  <Words>860</Words>
  <Characters>4904</Characters>
  <Application>Microsoft Office Word</Application>
  <DocSecurity>0</DocSecurity>
  <Lines>40</Lines>
  <Paragraphs>11</Paragraphs>
  <ScaleCrop>false</ScaleCrop>
  <Company/>
  <LinksUpToDate>false</LinksUpToDate>
  <CharactersWithSpaces>5753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clinton otieno</dc:creator>
  <cp:keywords/>
  <dc:description/>
  <cp:lastModifiedBy>clinton otieno</cp:lastModifiedBy>
  <cp:revision>122</cp:revision>
  <dcterms:created xsi:type="dcterms:W3CDTF">2021-04-08T04:55:00Z</dcterms:created>
  <dcterms:modified xsi:type="dcterms:W3CDTF">2021-04-08T07:14:00Z</dcterms:modified>
</cp:coreProperties>
</file>