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A36" w:rsidRDefault="00070A7D" w:rsidP="00070A7D">
      <w:r>
        <w:t xml:space="preserve">1. </w:t>
      </w:r>
      <w:r w:rsidR="00525A36">
        <w:t>For a profitable company, an increase in the rate of depreciation on a specific project could</w:t>
      </w:r>
    </w:p>
    <w:p w:rsidR="00525A36" w:rsidRDefault="00525A36" w:rsidP="00525A36">
      <w:r>
        <w:t>a. increase the project’s profitability index.</w:t>
      </w:r>
    </w:p>
    <w:p w:rsidR="00525A36" w:rsidRDefault="00525A36" w:rsidP="00525A36">
      <w:pPr>
        <w:spacing w:after="0" w:line="240" w:lineRule="auto"/>
        <w:ind w:left="1385" w:right="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A3E9F81" wp14:editId="4F7A2314">
                <wp:extent cx="7697155" cy="9692132"/>
                <wp:effectExtent l="0" t="0" r="0" b="0"/>
                <wp:docPr id="4872" name="Group 4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7155" cy="9692132"/>
                          <a:chOff x="0" y="0"/>
                          <a:chExt cx="7697155" cy="9692132"/>
                        </a:xfrm>
                      </wpg:grpSpPr>
                      <wps:wsp>
                        <wps:cNvPr id="611" name="Rectangle 611"/>
                        <wps:cNvSpPr/>
                        <wps:spPr>
                          <a:xfrm>
                            <a:off x="457200" y="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914400" y="0"/>
                            <a:ext cx="310970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increase the project’s payback period.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457200" y="18669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914400" y="186690"/>
                            <a:ext cx="334117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decrease the project’s net present value.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457200" y="372110"/>
                            <a:ext cx="162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914400" y="372110"/>
                            <a:ext cx="37246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increase the project’s internal rate of return.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0" y="74422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2.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457200" y="744220"/>
                            <a:ext cx="701658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Which of the following </w:t>
                              </w:r>
                              <w:bookmarkStart w:id="0" w:name="_GoBack"/>
                              <w:bookmarkEnd w:id="0"/>
                              <w:r>
                                <w:t xml:space="preserve">capital expenditure planning and control techniques has been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457200" y="930910"/>
                            <a:ext cx="70632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criticized because it might mistakenly imply that earnings are reinvested at the rate of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457200" y="1116330"/>
                            <a:ext cx="276857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return earned by the investment?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457200" y="1303021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914400" y="1303021"/>
                            <a:ext cx="136695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payback method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457200" y="148844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914400" y="1488440"/>
                            <a:ext cx="205063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accounting rate of return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457200" y="167513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914400" y="1675130"/>
                            <a:ext cx="21264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net present value method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457200" y="1860550"/>
                            <a:ext cx="162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914400" y="1860550"/>
                            <a:ext cx="18783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internal rate of return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0" y="223266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3.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457200" y="2232660"/>
                            <a:ext cx="69782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If the discount rate that is used to evaluate a project is equal to the project’s internal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457200" y="2419350"/>
                            <a:ext cx="42046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rate of return, the project’s _____________ is zero.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457200" y="2604771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914400" y="2604771"/>
                            <a:ext cx="14462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profitability index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457200" y="279146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914400" y="2791460"/>
                            <a:ext cx="17901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internal rate of return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457200" y="297688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914400" y="2976880"/>
                            <a:ext cx="26100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present value of the investment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457200" y="3163571"/>
                            <a:ext cx="162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914400" y="3163571"/>
                            <a:ext cx="14638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net present value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0" y="353568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4.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457200" y="3535680"/>
                            <a:ext cx="63093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As the marginal tax rate goes up, the benefit from the depreciation tax shield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457200" y="3721100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914400" y="3721100"/>
                            <a:ext cx="8691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decreases.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457200" y="3907790"/>
                            <a:ext cx="162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914400" y="3907790"/>
                            <a:ext cx="83225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increases.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457200" y="409321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914400" y="4093210"/>
                            <a:ext cx="12609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stays the same.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457200" y="427990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914400" y="4279900"/>
                            <a:ext cx="65532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can move up or down depending on whether the firm’s cost of capital is high or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914400" y="4465320"/>
                            <a:ext cx="3346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low.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0" y="4837431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5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457200" y="4837431"/>
                            <a:ext cx="723995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When a profitable corporation sells an asset at a loss, the after-tax cash flow on the sale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457200" y="5024120"/>
                            <a:ext cx="2841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will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457200" y="5209540"/>
                            <a:ext cx="1538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914400" y="5209540"/>
                            <a:ext cx="341779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exceed the pre-tax cash flow on the sale.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457200" y="5396231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914400" y="5396231"/>
                            <a:ext cx="375000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be less than the pre-tax cash flow on the sale.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457200" y="558165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914400" y="5581650"/>
                            <a:ext cx="400316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be the same as the pre-tax cash flow on the sale.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457200" y="576834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914400" y="5768340"/>
                            <a:ext cx="369831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increase the corporation’s overall tax liability.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0" y="614045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6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457200" y="6140450"/>
                            <a:ext cx="646202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In a typical (conservative assumptions) after-tax discounted cash flow analysis,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457200" y="6325871"/>
                            <a:ext cx="37260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depreciation expense is assumed to accrue at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457200" y="6512560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914400" y="6512560"/>
                            <a:ext cx="22999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the beginning of the period.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457200" y="6697981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914400" y="6697981"/>
                            <a:ext cx="20587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the middle of the period.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457200" y="6884671"/>
                            <a:ext cx="1386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914400" y="6884671"/>
                            <a:ext cx="184084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the end of the period.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457200" y="707009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914400" y="7070090"/>
                            <a:ext cx="402505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irregular intervals over the life of the investment.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0" y="744220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7.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457200" y="7442200"/>
                            <a:ext cx="69373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The pre-tax and after-tax cash flows would be the same for all of the following items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457200" y="7628890"/>
                            <a:ext cx="5513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except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457200" y="7814310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914400" y="7814310"/>
                            <a:ext cx="50549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the liquidation of working capital at the end of a project’s life.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457200" y="800100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914400" y="8001000"/>
                            <a:ext cx="331766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the initial (outlay) cost of an investment.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457200" y="8186421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914400" y="8186421"/>
                            <a:ext cx="301727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the sale of an asset at its book value.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457200" y="8373110"/>
                            <a:ext cx="162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3" name="Rectangle 683"/>
                        <wps:cNvSpPr/>
                        <wps:spPr>
                          <a:xfrm>
                            <a:off x="914400" y="8373110"/>
                            <a:ext cx="32657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 cash payment for salaries and wages.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4" name="Rectangle 684"/>
                        <wps:cNvSpPr/>
                        <wps:spPr>
                          <a:xfrm>
                            <a:off x="0" y="874522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8. 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457200" y="8745220"/>
                            <a:ext cx="463658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The after-tax net present value of a project is affected by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6" name="Rectangle 686"/>
                        <wps:cNvSpPr/>
                        <wps:spPr>
                          <a:xfrm>
                            <a:off x="457200" y="8930640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914400" y="8930640"/>
                            <a:ext cx="212015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tax-deductible cash flows.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457200" y="911733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9" name="Rectangle 689"/>
                        <wps:cNvSpPr/>
                        <wps:spPr>
                          <a:xfrm>
                            <a:off x="914400" y="9117330"/>
                            <a:ext cx="250344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non-tax-deductible cash flows.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0" name="Rectangle 690"/>
                        <wps:cNvSpPr/>
                        <wps:spPr>
                          <a:xfrm>
                            <a:off x="457200" y="930275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1" name="Rectangle 691"/>
                        <wps:cNvSpPr/>
                        <wps:spPr>
                          <a:xfrm>
                            <a:off x="914400" y="9302750"/>
                            <a:ext cx="166389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accounting accruals.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457200" y="9489440"/>
                            <a:ext cx="162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914400" y="9489440"/>
                            <a:ext cx="13568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all of the above.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3E9F81" id="Group 4872" o:spid="_x0000_s1026" style="width:606.1pt;height:763.15pt;mso-position-horizontal-relative:char;mso-position-vertical-relative:line" coordsize="76971,9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">
                <v:rect id="Rectangle 611" o:spid="_x0000_s1027" style="position:absolute;left:4572;width:157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SacUA&#10;AADcAAAADwAAAGRycy9kb3ducmV2LnhtbESPT4vCMBTE7wv7HcJb8Lam9SBajSK7ih79s9D19mie&#10;bbF5KU201U9vBMHjMDO/YabzzlTiSo0rLSuI+xEI4szqknMFf4fV9wiE88gaK8uk4EYO5rPPjykm&#10;2ra8o+ve5yJA2CWooPC+TqR0WUEGXd/WxME72cagD7LJpW6wDXBTyUEUDaXBksNCgTX9FJSd9xej&#10;YD2qF/8be2/zanlcp9t0/Hs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BJp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612" o:spid="_x0000_s1028" style="position:absolute;left:9144;width:31097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MHs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L1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MHs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increase the project’s payback period. </w:t>
                        </w:r>
                      </w:p>
                    </w:txbxContent>
                  </v:textbox>
                </v:rect>
                <v:rect id="Rectangle 613" o:spid="_x0000_s1029" style="position:absolute;left:4572;top:1866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ph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KYX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614" o:spid="_x0000_s1030" style="position:absolute;left:9144;top:1866;width:3341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x8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sfH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decrease the project’s net present value. </w:t>
                        </w:r>
                      </w:p>
                    </w:txbxContent>
                  </v:textbox>
                </v:rect>
                <v:rect id="Rectangle 615" o:spid="_x0000_s1031" style="position:absolute;left:4572;top:3721;width:16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d.</w:t>
                        </w:r>
                      </w:p>
                    </w:txbxContent>
                  </v:textbox>
                </v:rect>
                <v:rect id="Rectangle 616" o:spid="_x0000_s1032" style="position:absolute;left:9144;top:3721;width:3724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Hc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J4Gc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od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increase the project’s internal rate of return. </w:t>
                        </w:r>
                      </w:p>
                    </w:txbxContent>
                  </v:textbox>
                </v:rect>
                <v:rect id="Rectangle 617" o:spid="_x0000_s1033" style="position:absolute;top:7442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hs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DT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L4bEAAAA3AAAAA8AAAAAAAAAAAAAAAAAmAIAAGRycy9k&#10;b3ducmV2LnhtbFBLBQYAAAAABAAEAPUAAACJAwAAAAA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2. </w:t>
                        </w:r>
                      </w:p>
                    </w:txbxContent>
                  </v:textbox>
                </v:rect>
                <v:rect id="Rectangle 618" o:spid="_x0000_s1034" style="position:absolute;left:4572;top:7442;width:7016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Which of the following </w:t>
                        </w:r>
                        <w:bookmarkStart w:id="1" w:name="_GoBack"/>
                        <w:bookmarkEnd w:id="1"/>
                        <w:r>
                          <w:t xml:space="preserve">capital expenditure planning and control techniques has been </w:t>
                        </w:r>
                      </w:p>
                    </w:txbxContent>
                  </v:textbox>
                </v:rect>
                <v:rect id="Rectangle 619" o:spid="_x0000_s1035" style="position:absolute;left:4572;top:9309;width:7063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b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WQU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Hm/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criticized because it might mistakenly imply that earnings are reinvested at the rate of </w:t>
                        </w:r>
                      </w:p>
                    </w:txbxContent>
                  </v:textbox>
                </v:rect>
                <v:rect id="Rectangle 620" o:spid="_x0000_s1036" style="position:absolute;left:4572;top:11163;width:2768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return earned by the investment? </w:t>
                        </w:r>
                      </w:p>
                    </w:txbxContent>
                  </v:textbox>
                </v:rect>
                <v:rect id="Rectangle 621" o:spid="_x0000_s1037" style="position:absolute;left:4572;top:13030;width:14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622" o:spid="_x0000_s1038" style="position:absolute;left:9144;top:13030;width:1366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pGo8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kaj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payback method </w:t>
                        </w:r>
                      </w:p>
                    </w:txbxContent>
                  </v:textbox>
                </v:rect>
                <v:rect id="Rectangle 623" o:spid="_x0000_s1039" style="position:absolute;left:4572;top:14884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jO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zj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624" o:spid="_x0000_s1040" style="position:absolute;left:9144;top:14884;width:2050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7TM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0z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accounting rate of return </w:t>
                        </w:r>
                      </w:p>
                    </w:txbxContent>
                  </v:textbox>
                </v:rect>
                <v:rect id="Rectangle 625" o:spid="_x0000_s1041" style="position:absolute;left:4572;top:16751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e1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3tf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626" o:spid="_x0000_s1042" style="position:absolute;left:9144;top:16751;width:2126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AoM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4Gc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UCg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net present value method </w:t>
                        </w:r>
                      </w:p>
                    </w:txbxContent>
                  </v:textbox>
                </v:rect>
                <v:rect id="Rectangle 627" o:spid="_x0000_s1043" style="position:absolute;left:4572;top:18605;width:16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lO8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MV/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3lO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d.</w:t>
                        </w:r>
                      </w:p>
                    </w:txbxContent>
                  </v:textbox>
                </v:rect>
                <v:rect id="Rectangle 628" o:spid="_x0000_s1044" style="position:absolute;left:9144;top:18605;width:1878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xSc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UnFJ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internal rate of return </w:t>
                        </w:r>
                      </w:p>
                    </w:txbxContent>
                  </v:textbox>
                </v:rect>
                <v:rect id="Rectangle 629" o:spid="_x0000_s1045" style="position:absolute;top:22326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7U0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8T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tTSxQAAANwAAAAPAAAAAAAAAAAAAAAAAJgCAABkcnMv&#10;ZG93bnJldi54bWxQSwUGAAAAAAQABAD1AAAAigMAAAAA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3. </w:t>
                        </w:r>
                      </w:p>
                    </w:txbxContent>
                  </v:textbox>
                </v:rect>
                <v:rect id="Rectangle 630" o:spid="_x0000_s1046" style="position:absolute;left:4572;top:22326;width:6978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rks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euS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If the discount rate that is used to evaluate a project is equal to the project’s internal </w:t>
                        </w:r>
                      </w:p>
                    </w:txbxContent>
                  </v:textbox>
                </v:rect>
                <v:rect id="Rectangle 631" o:spid="_x0000_s1047" style="position:absolute;left:4572;top:24193;width:4204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OC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xTgn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rate of return, the project’s _____________ is zero. </w:t>
                        </w:r>
                      </w:p>
                    </w:txbxContent>
                  </v:textbox>
                </v:rect>
                <v:rect id="Rectangle 632" o:spid="_x0000_s1048" style="position:absolute;left:4572;top:26047;width:14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Qfs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j0H7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633" o:spid="_x0000_s1049" style="position:absolute;left:9144;top:26047;width:1446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15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deX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profitability index </w:t>
                        </w:r>
                      </w:p>
                    </w:txbxContent>
                  </v:textbox>
                </v:rect>
                <v:rect id="Rectangle 634" o:spid="_x0000_s1050" style="position:absolute;left:4572;top:27914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tk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btkc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635" o:spid="_x0000_s1051" style="position:absolute;left:9144;top:27914;width:1790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ICs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pICs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internal rate of return </w:t>
                        </w:r>
                      </w:p>
                    </w:txbxContent>
                  </v:textbox>
                </v:rect>
                <v:rect id="Rectangle 636" o:spid="_x0000_s1052" style="position:absolute;left:4572;top:29768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Wfc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Wfc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637" o:spid="_x0000_s1053" style="position:absolute;left:9144;top:29768;width:2610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z5s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HPm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present value of the investment </w:t>
                        </w:r>
                      </w:p>
                    </w:txbxContent>
                  </v:textbox>
                </v:rect>
                <v:rect id="Rectangle 638" o:spid="_x0000_s1054" style="position:absolute;left:4572;top:31635;width:16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vnlM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+eU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d.</w:t>
                        </w:r>
                      </w:p>
                    </w:txbxContent>
                  </v:textbox>
                </v:rect>
                <v:rect id="Rectangle 639" o:spid="_x0000_s1055" style="position:absolute;left:9144;top:31635;width:1463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CD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0IP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net present value </w:t>
                        </w:r>
                      </w:p>
                    </w:txbxContent>
                  </v:textbox>
                </v:rect>
                <v:rect id="Rectangle 640" o:spid="_x0000_s1056" style="position:absolute;top:35356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Y78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5jvwgAAANwAAAAPAAAAAAAAAAAAAAAAAJgCAABkcnMvZG93&#10;bnJldi54bWxQSwUGAAAAAAQABAD1AAAAhwMAAAAA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4. </w:t>
                        </w:r>
                      </w:p>
                    </w:txbxContent>
                  </v:textbox>
                </v:rect>
                <v:rect id="Rectangle 641" o:spid="_x0000_s1057" style="position:absolute;left:4572;top:35356;width:6309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d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PXT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As the marginal tax rate goes up, the benefit from the depreciation tax shield </w:t>
                        </w:r>
                      </w:p>
                    </w:txbxContent>
                  </v:textbox>
                </v:rect>
                <v:rect id="Rectangle 642" o:spid="_x0000_s1058" style="position:absolute;left:4572;top:37211;width:1487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jA8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lowP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643" o:spid="_x0000_s1059" style="position:absolute;left:9144;top:37211;width:869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Gm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kGm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decreases. </w:t>
                        </w:r>
                      </w:p>
                    </w:txbxContent>
                  </v:textbox>
                </v:rect>
                <v:rect id="Rectangle 644" o:spid="_x0000_s1060" style="position:absolute;left:4572;top:39077;width:16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e7M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nuz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b.</w:t>
                        </w:r>
                      </w:p>
                    </w:txbxContent>
                  </v:textbox>
                </v:rect>
                <v:rect id="Rectangle 645" o:spid="_x0000_s1061" style="position:absolute;left:9144;top:39077;width:832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increases. </w:t>
                        </w:r>
                      </w:p>
                    </w:txbxContent>
                  </v:textbox>
                </v:rect>
                <v:rect id="Rectangle 646" o:spid="_x0000_s1062" style="position:absolute;left:4572;top:40932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A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6lA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647" o:spid="_x0000_s1063" style="position:absolute;left:9144;top:40932;width:1260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m8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gCb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stays the same. </w:t>
                        </w:r>
                      </w:p>
                    </w:txbxContent>
                  </v:textbox>
                </v:rect>
                <v:rect id="Rectangle 648" o:spid="_x0000_s1064" style="position:absolute;left:4572;top:42799;width:157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U6c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ZTp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649" o:spid="_x0000_s1065" style="position:absolute;left:9144;top:42799;width:65532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xc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TFy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can move up or down depending on whether the firm’s cost of capital is high or </w:t>
                        </w:r>
                      </w:p>
                    </w:txbxContent>
                  </v:textbox>
                </v:rect>
                <v:rect id="Rectangle 650" o:spid="_x0000_s1066" style="position:absolute;left:9144;top:44653;width:334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OMs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g4y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low. </w:t>
                        </w:r>
                      </w:p>
                    </w:txbxContent>
                  </v:textbox>
                </v:rect>
                <v:rect id="Rectangle 651" o:spid="_x0000_s1067" style="position:absolute;top:48374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rq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q6nEAAAA3AAAAA8AAAAAAAAAAAAAAAAAmAIAAGRycy9k&#10;b3ducmV2LnhtbFBLBQYAAAAABAAEAPUAAACJAwAAAAA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5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652" o:spid="_x0000_s1068" style="position:absolute;left:4572;top:48374;width:7239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13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8Nd7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When a profitable corporation sells an asset at a loss, the after-tax cash flow on the sale </w:t>
                        </w:r>
                      </w:p>
                    </w:txbxContent>
                  </v:textbox>
                </v:rect>
                <v:rect id="Rectangle 653" o:spid="_x0000_s1069" style="position:absolute;left:4572;top:50241;width:284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QR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CQRc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will </w:t>
                        </w:r>
                      </w:p>
                    </w:txbxContent>
                  </v:textbox>
                </v:rect>
                <v:rect id="Rectangle 654" o:spid="_x0000_s1070" style="position:absolute;left:4572;top:52095;width:153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IMc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kIMc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a.</w:t>
                        </w:r>
                      </w:p>
                    </w:txbxContent>
                  </v:textbox>
                </v:rect>
                <v:rect id="Rectangle 655" o:spid="_x0000_s1071" style="position:absolute;left:9144;top:52095;width:3417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tqs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Vrar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exceed the pre-tax cash flow on the sale. </w:t>
                        </w:r>
                      </w:p>
                    </w:txbxContent>
                  </v:textbox>
                </v:rect>
                <v:rect id="Rectangle 656" o:spid="_x0000_s1072" style="position:absolute;left:4572;top:53962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z3c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cz3c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657" o:spid="_x0000_s1073" style="position:absolute;left:9144;top:53962;width:3750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uWR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5ZG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be less than the pre-tax cash flow on the sale. </w:t>
                        </w:r>
                      </w:p>
                    </w:txbxContent>
                  </v:textbox>
                </v:rect>
                <v:rect id="Rectangle 658" o:spid="_x0000_s1074" style="position:absolute;left:4572;top:55816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CNM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AI0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659" o:spid="_x0000_s1075" style="position:absolute;left:9144;top:55816;width:4003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nr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Kev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be the same as the pre-tax cash flow on the sale. </w:t>
                        </w:r>
                      </w:p>
                    </w:txbxContent>
                  </v:textbox>
                </v:rect>
                <v:rect id="Rectangle 660" o:spid="_x0000_s1076" style="position:absolute;left:4572;top:57683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j8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vP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SP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661" o:spid="_x0000_s1077" style="position:absolute;left:9144;top:57683;width:3698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hFM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I4XsL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AmEU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increase the corporation’s overall tax liability. </w:t>
                        </w:r>
                      </w:p>
                    </w:txbxContent>
                  </v:textbox>
                </v:rect>
                <v:rect id="Rectangle 662" o:spid="_x0000_s1078" style="position:absolute;top:61404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/Y8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XsL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P9jxQAAANwAAAAPAAAAAAAAAAAAAAAAAJgCAABkcnMv&#10;ZG93bnJldi54bWxQSwUGAAAAAAQABAD1AAAAigMAAAAA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6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663" o:spid="_x0000_s1079" style="position:absolute;left:4572;top:61404;width:6462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a+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xa+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In a typical (conservative assumptions) after-tax discounted cash flow analysis, </w:t>
                        </w:r>
                      </w:p>
                    </w:txbxContent>
                  </v:textbox>
                </v:rect>
                <v:rect id="Rectangle 664" o:spid="_x0000_s1080" style="position:absolute;left:4572;top:63258;width:3726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Cj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XCj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depreciation expense is assumed to accrue at </w:t>
                        </w:r>
                      </w:p>
                    </w:txbxContent>
                  </v:textbox>
                </v:rect>
                <v:rect id="Rectangle 665" o:spid="_x0000_s1081" style="position:absolute;left:4572;top:65125;width:14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nF8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nF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666" o:spid="_x0000_s1082" style="position:absolute;left:9144;top:65125;width:2299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5YMQA&#10;AADc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c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r+WD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the beginning of the period. </w:t>
                        </w:r>
                      </w:p>
                    </w:txbxContent>
                  </v:textbox>
                </v:rect>
                <v:rect id="Rectangle 667" o:spid="_x0000_s1083" style="position:absolute;left:4572;top:66979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+8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XH8Bf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1z7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668" o:spid="_x0000_s1084" style="position:absolute;left:9144;top:66979;width:205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Iic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mv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MiJ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the middle of the period. </w:t>
                        </w:r>
                      </w:p>
                    </w:txbxContent>
                  </v:textbox>
                </v:rect>
                <v:rect id="Rectangle 669" o:spid="_x0000_s1085" style="position:absolute;left:4572;top:68846;width:138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tE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OIX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RtEs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c.</w:t>
                        </w:r>
                      </w:p>
                    </w:txbxContent>
                  </v:textbox>
                </v:rect>
                <v:rect id="Rectangle 670" o:spid="_x0000_s1086" style="position:absolute;left:9144;top:68846;width:1840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SU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JS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the end of the period. </w:t>
                        </w:r>
                      </w:p>
                    </w:txbxContent>
                  </v:textbox>
                </v:rect>
                <v:rect id="Rectangle 671" o:spid="_x0000_s1087" style="position:absolute;left:4572;top:70700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3y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PQ1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b98n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672" o:spid="_x0000_s1088" style="position:absolute;left:9144;top:70700;width:4025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pv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sZz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lpvs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irregular intervals over the life of the investment. </w:t>
                        </w:r>
                      </w:p>
                    </w:txbxContent>
                  </v:textbox>
                </v:rect>
                <v:rect id="Rectangle 673" o:spid="_x0000_s1089" style="position:absolute;top:74422;width:256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MJ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cwlxQAAANwAAAAPAAAAAAAAAAAAAAAAAJgCAABkcnMv&#10;ZG93bnJldi54bWxQSwUGAAAAAAQABAD1AAAAigMAAAAA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7. </w:t>
                        </w:r>
                      </w:p>
                    </w:txbxContent>
                  </v:textbox>
                </v:rect>
                <v:rect id="Rectangle 674" o:spid="_x0000_s1090" style="position:absolute;left:4572;top:74422;width:69373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UU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FRR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The pre-tax and after-tax cash flows would be the same for all of the following items </w:t>
                        </w:r>
                      </w:p>
                    </w:txbxContent>
                  </v:textbox>
                </v:rect>
                <v:rect id="Rectangle 675" o:spid="_x0000_s1091" style="position:absolute;left:4572;top:76288;width:55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xy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PHK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except </w:t>
                        </w:r>
                      </w:p>
                    </w:txbxContent>
                  </v:textbox>
                </v:rect>
                <v:rect id="Rectangle 676" o:spid="_x0000_s1092" style="position:absolute;left:4572;top:78143;width:14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vv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fF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m+9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677" o:spid="_x0000_s1093" style="position:absolute;left:9144;top:78143;width:5054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7KJ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XA0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+yib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the liquidation of working capital at the end of a project’s life. </w:t>
                        </w:r>
                      </w:p>
                    </w:txbxContent>
                  </v:textbox>
                </v:rect>
                <v:rect id="Rectangle 678" o:spid="_x0000_s1094" style="position:absolute;left:4572;top:80010;width:157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eV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V5U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679" o:spid="_x0000_s1095" style="position:absolute;left:9144;top:80010;width:3317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7z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Zf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fvP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the initial (outlay) cost of an investment. </w:t>
                        </w:r>
                      </w:p>
                    </w:txbxContent>
                  </v:textbox>
                </v:rect>
                <v:rect id="Rectangle 680" o:spid="_x0000_s1096" style="position:absolute;left:4572;top:81864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idc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mh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IidcAAAADcAAAADwAAAAAAAAAAAAAAAACYAgAAZHJzL2Rvd25y&#10;ZXYueG1sUEsFBgAAAAAEAAQA9QAAAIU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681" o:spid="_x0000_s1097" style="position:absolute;left:9144;top:81864;width:3017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H7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lE8gO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Oh+7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the sale of an asset at its book value. </w:t>
                        </w:r>
                      </w:p>
                    </w:txbxContent>
                  </v:textbox>
                </v:rect>
                <v:rect id="Rectangle 682" o:spid="_x0000_s1098" style="position:absolute;left:4572;top:83731;width:16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wZmc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GcLO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3BmZ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d.</w:t>
                        </w:r>
                      </w:p>
                    </w:txbxContent>
                  </v:textbox>
                </v:rect>
                <v:rect id="Rectangle 683" o:spid="_x0000_s1099" style="position:absolute;left:9144;top:83731;width:3265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8A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LwC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a cash payment for salaries and wages. </w:t>
                        </w:r>
                      </w:p>
                    </w:txbxContent>
                  </v:textbox>
                </v:rect>
                <v:rect id="Rectangle 684" o:spid="_x0000_s1100" style="position:absolute;top:87452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kkds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SR2xQAAANwAAAAPAAAAAAAAAAAAAAAAAJgCAABkcnMv&#10;ZG93bnJldi54bWxQSwUGAAAAAAQABAD1AAAAigMAAAAA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8. 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685" o:spid="_x0000_s1101" style="position:absolute;left:4572;top:87452;width:4636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WB7c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YHt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The after-tax net present value of a project is affected by </w:t>
                        </w:r>
                      </w:p>
                    </w:txbxContent>
                  </v:textbox>
                </v:rect>
                <v:rect id="Rectangle 686" o:spid="_x0000_s1102" style="position:absolute;left:4572;top:89306;width:14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fmsYA&#10;AADcAAAADwAAAGRycy9kb3ducmV2LnhtbESPQWvCQBSE74X+h+UVequb9hBidBWxLcmxmoJ6e2Sf&#10;STD7NmS3Sdpf7wpCj8PMfMMs15NpxUC9aywreJ1FIIhLqxuuFHwXny8JCOeRNbaWScEvOVivHh+W&#10;mGo78o6Gva9EgLBLUUHtfZdK6cqaDLqZ7YiDd7a9QR9kX0nd4xjgppVvURRLgw2HhRo72tZUXvY/&#10;RkGWdJtjbv/Gqv04ZYevw/y9mHulnp+mzQKEp8n/h+/tXCuIkxh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fms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687" o:spid="_x0000_s1103" style="position:absolute;left:9144;top:89306;width:2120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u6Ac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j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u6Ac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tax-deductible cash flows. </w:t>
                        </w:r>
                      </w:p>
                    </w:txbxContent>
                  </v:textbox>
                </v:rect>
                <v:rect id="Rectangle 688" o:spid="_x0000_s1104" style="position:absolute;left:4572;top:91173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uc8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Whj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Quc8AAAADcAAAADwAAAAAAAAAAAAAAAACYAgAAZHJzL2Rvd25y&#10;ZXYueG1sUEsFBgAAAAAEAAQA9QAAAIU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689" o:spid="_x0000_s1105" style="position:absolute;left:9144;top:91173;width:2503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iL6M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XESQr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iL6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non-tax-deductible cash flows. </w:t>
                        </w:r>
                      </w:p>
                    </w:txbxContent>
                  </v:textbox>
                </v:rect>
                <v:rect id="Rectangle 690" o:spid="_x0000_s1106" style="position:absolute;left:4572;top:93027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u0qM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v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m7So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691" o:spid="_x0000_s1107" style="position:absolute;left:9144;top:93027;width:1663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cRM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SQewd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XETP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accounting accruals. </w:t>
                        </w:r>
                      </w:p>
                    </w:txbxContent>
                  </v:textbox>
                </v:rect>
                <v:rect id="Rectangle 692" o:spid="_x0000_s1108" style="position:absolute;left:4572;top:94894;width:16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PRM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Gcz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BY9E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d.</w:t>
                        </w:r>
                      </w:p>
                    </w:txbxContent>
                  </v:textbox>
                </v:rect>
                <v:rect id="Rectangle 693" o:spid="_x0000_s1109" style="position:absolute;left:9144;top:94894;width:1356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kq3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Srf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all of the above.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25A36" w:rsidRDefault="00070A7D" w:rsidP="00525A36">
      <w:pPr>
        <w:ind w:left="1395"/>
      </w:pPr>
      <w:r>
        <w:t>9</w:t>
      </w:r>
      <w:r w:rsidR="00525A36">
        <w:t xml:space="preserve">. A project’s after-tax net present value is increased by all of the following </w:t>
      </w:r>
      <w:r w:rsidR="00525A36">
        <w:rPr>
          <w:b/>
        </w:rPr>
        <w:t>except</w:t>
      </w:r>
    </w:p>
    <w:p w:rsidR="00525A36" w:rsidRDefault="00525A36" w:rsidP="00525A36">
      <w:pPr>
        <w:spacing w:after="0" w:line="240" w:lineRule="auto"/>
        <w:ind w:left="1385" w:right="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BA0A2FD" wp14:editId="7C998CE3">
                <wp:extent cx="7679319" cy="9877552"/>
                <wp:effectExtent l="0" t="0" r="0" b="0"/>
                <wp:docPr id="4884" name="Group 4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9319" cy="9877552"/>
                          <a:chOff x="0" y="0"/>
                          <a:chExt cx="7679319" cy="9877552"/>
                        </a:xfrm>
                      </wpg:grpSpPr>
                      <wps:wsp>
                        <wps:cNvPr id="709" name="Rectangle 709"/>
                        <wps:cNvSpPr/>
                        <wps:spPr>
                          <a:xfrm>
                            <a:off x="457200" y="0"/>
                            <a:ext cx="1538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914400" y="0"/>
                            <a:ext cx="146708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revenue accruals.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457200" y="18669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914400" y="186690"/>
                            <a:ext cx="104994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cash inflows.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457200" y="37211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914400" y="372110"/>
                            <a:ext cx="204414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depreciation deductions.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457200" y="55880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914400" y="558800"/>
                            <a:ext cx="144458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expense accruals.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0" y="93091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10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419100" y="988060"/>
                            <a:ext cx="64421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Multiplying the depreciation deduction by the tax rate yields a measure of the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457200" y="1116330"/>
                            <a:ext cx="132803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depreciation tax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457200" y="1303021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914400" y="1303021"/>
                            <a:ext cx="53693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shield.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457200" y="1488440"/>
                            <a:ext cx="162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914400" y="1488440"/>
                            <a:ext cx="656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benefit.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457200" y="167513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914400" y="1675130"/>
                            <a:ext cx="69057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payable.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457200" y="186055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914400" y="1860550"/>
                            <a:ext cx="36302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loss.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0" y="223266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11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457200" y="2232660"/>
                            <a:ext cx="722211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Annual after-tax corporate net income can be converted to annual after-tax cash flow by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457200" y="2419350"/>
                            <a:ext cx="1538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914400" y="2419350"/>
                            <a:ext cx="320010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adding back the depreciation amount.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457200" y="2604771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914400" y="2604771"/>
                            <a:ext cx="296335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deducting the depreciation amount.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457200" y="279146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914400" y="2791460"/>
                            <a:ext cx="649648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adding back the quantity (t × depreciation deduction), where t is the corporate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914400" y="2976880"/>
                            <a:ext cx="67253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tax rate.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457200" y="3163571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914400" y="3163571"/>
                            <a:ext cx="66582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deducting the quantity [(1– t) × depreciation deduction], where t is the corporate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914400" y="3348990"/>
                            <a:ext cx="67253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tax rate.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0" y="372110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12.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457200" y="3721100"/>
                            <a:ext cx="21874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Income taxes are levied on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457200" y="3907790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914400" y="3907790"/>
                            <a:ext cx="11283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net cash flow.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457200" y="409321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914400" y="4093210"/>
                            <a:ext cx="338211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income as measured by accounting rules.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457200" y="427990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914400" y="4279900"/>
                            <a:ext cx="260661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net cash flow plus depreciation.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457200" y="4465320"/>
                            <a:ext cx="162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914400" y="4465320"/>
                            <a:ext cx="279329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income as measured by tax rules.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0" y="4837431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13. 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457200" y="4837431"/>
                            <a:ext cx="49742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Which of the following best represents a screening decision?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457200" y="5024120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914400" y="5024120"/>
                            <a:ext cx="49424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determining which project has the highest net present value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457200" y="5209540"/>
                            <a:ext cx="162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914400" y="5209540"/>
                            <a:ext cx="618636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determining if a project’s internal rate of return exceeds the firm’s cost of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457200" y="5396231"/>
                            <a:ext cx="5610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capital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457200" y="558165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914400" y="5581650"/>
                            <a:ext cx="410958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determining which projects are mutually exclusive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457200" y="576834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914400" y="5768340"/>
                            <a:ext cx="327894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determining which are the best projects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0" y="614045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14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457200" y="6140450"/>
                            <a:ext cx="639027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Below are pairs of projects. Which pair best represents independent projects?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57200" y="6325871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914400" y="6325871"/>
                            <a:ext cx="30375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buy computer; buy software package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457200" y="651256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914400" y="6512560"/>
                            <a:ext cx="29043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buy computer #1; buy computer #2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57200" y="6697981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914400" y="6697981"/>
                            <a:ext cx="371433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buy computer; buy computer security system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457200" y="6884671"/>
                            <a:ext cx="1621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914400" y="6884671"/>
                            <a:ext cx="280221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buy computer; repave parking lot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0" y="7256781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15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457200" y="7256781"/>
                            <a:ext cx="500953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Which of the following are tax deductible under U.S. tax law?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457200" y="7442200"/>
                            <a:ext cx="1538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914400" y="7442200"/>
                            <a:ext cx="28482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interest payments to bondholders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457200" y="762889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914400" y="7628890"/>
                            <a:ext cx="208549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preferred stock dividends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457200" y="781431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914400" y="7814310"/>
                            <a:ext cx="20368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common stock dividends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457200" y="800100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914400" y="8001000"/>
                            <a:ext cx="12682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all of the above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0" y="837311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16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457200" y="8373110"/>
                            <a:ext cx="169511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Sensitivity analysis is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457200" y="8558530"/>
                            <a:ext cx="1538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914400" y="8558530"/>
                            <a:ext cx="537377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an appropriate response to uncertainty in cash flow projections.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457200" y="874522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914400" y="8745220"/>
                            <a:ext cx="416734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useful in measuring the variance of the Fisher rate.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457200" y="8930640"/>
                            <a:ext cx="1370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914400" y="8930640"/>
                            <a:ext cx="400174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typically conducted in the post investment audit.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457200" y="911733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914400" y="9117330"/>
                            <a:ext cx="649222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useful to compare projects requiring vastly different levels of initial investment.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0" y="948944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17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457200" y="9489440"/>
                            <a:ext cx="67089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If management judges one project in a mutually inclusive set to be acceptable for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457200" y="9674860"/>
                            <a:ext cx="96805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investment,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0A2FD" id="Group 4884" o:spid="_x0000_s1110" style="width:604.65pt;height:777.75pt;mso-position-horizontal-relative:char;mso-position-vertical-relative:line" coordsize="76793,9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">
                <v:rect id="Rectangle 709" o:spid="_x0000_s1111" style="position:absolute;left:4572;width:1538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qHL8YA&#10;AADcAAAADwAAAGRycy9kb3ducmV2LnhtbESPT2vCQBTE70K/w/KE3nRjD62JriH0D8nRqqDeHtln&#10;Esy+DdmtSfvp3UKhx2FmfsOs09G04ka9aywrWMwjEMSl1Q1XCg77j9kShPPIGlvLpOCbHKSbh8ka&#10;E20H/qTbzlciQNglqKD2vkukdGVNBt3cdsTBu9jeoA+yr6TucQhw08qnKHqWBhsOCzV29FpTed19&#10;GQX5sstOhf0Zqvb9nB+3x/htH3ulHqdjtgLhafT/4b92oRW8RDH8ng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qHL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a.</w:t>
                        </w:r>
                      </w:p>
                    </w:txbxContent>
                  </v:textbox>
                </v:rect>
                <v:rect id="Rectangle 710" o:spid="_x0000_s1112" style="position:absolute;left:9144;width:1467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4b8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MwP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4b8MAAADcAAAADwAAAAAAAAAAAAAAAACYAgAAZHJzL2Rv&#10;d25yZXYueG1sUEsFBgAAAAAEAAQA9QAAAIg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revenue accruals. </w:t>
                        </w:r>
                      </w:p>
                    </w:txbxContent>
                  </v:textbox>
                </v:rect>
                <v:rect id="Rectangle 711" o:spid="_x0000_s1113" style="position:absolute;left:4572;top:1866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Ud9MQA&#10;AADcAAAADwAAAGRycy9kb3ducmV2LnhtbESPQYvCMBSE74L/ITxhb5p2D65Wo4ir6NFVQb09mmdb&#10;bF5KE213f71ZEDwOM/MNM523phQPql1hWUE8iEAQp1YXnCk4Htb9EQjnkTWWlknBLzmYz7qdKSba&#10;NvxDj73PRICwS1BB7n2VSOnSnAy6ga2Ig3e1tUEfZJ1JXWMT4KaUn1E0lAYLDgs5VrTMKb3t70bB&#10;ZlQtzlv712Tl6rI57U7j78PYK/XRaxcTEJ5a/w6/2lut4CuO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lHfT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712" o:spid="_x0000_s1114" style="position:absolute;left:9144;top:1866;width:1049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Dg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hC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4OD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cash inflows. </w:t>
                        </w:r>
                      </w:p>
                    </w:txbxContent>
                  </v:textbox>
                </v:rect>
                <v:rect id="Rectangle 713" o:spid="_x0000_s1115" style="position:absolute;left:4572;top:3721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mGM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smG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714" o:spid="_x0000_s1116" style="position:absolute;left:9144;top:3721;width:2044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K+b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K+b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depreciation deductions. </w:t>
                        </w:r>
                      </w:p>
                    </w:txbxContent>
                  </v:textbox>
                </v:rect>
                <v:rect id="Rectangle 715" o:spid="_x0000_s1117" style="position:absolute;left:4572;top:5588;width:157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4b98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4b9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716" o:spid="_x0000_s1118" style="position:absolute;left:9144;top:5588;width:14445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FgM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4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MhYD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expense accruals. </w:t>
                        </w:r>
                      </w:p>
                    </w:txbxContent>
                  </v:textbox>
                </v:rect>
                <v:rect id="Rectangle 717" o:spid="_x0000_s1119" style="position:absolute;top:9309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gG8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qM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BvEAAAA3AAAAA8AAAAAAAAAAAAAAAAAmAIAAGRycy9k&#10;b3ducmV2LnhtbFBLBQYAAAAABAAEAPUAAACJAwAAAAA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10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718" o:spid="_x0000_s1120" style="position:absolute;left:4191;top:9880;width:644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+0ac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KwN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+0acMAAADcAAAADwAAAAAAAAAAAAAAAACYAgAAZHJzL2Rv&#10;d25yZXYueG1sUEsFBgAAAAAEAAQA9QAAAIg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Multiplying the depreciation deduction by the tax rate yields a measure of the </w:t>
                        </w:r>
                      </w:p>
                    </w:txbxContent>
                  </v:textbox>
                </v:rect>
                <v:rect id="Rectangle 719" o:spid="_x0000_s1121" style="position:absolute;left:4572;top:11163;width:1328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R8s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8DWM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TEfL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depreciation tax </w:t>
                        </w:r>
                      </w:p>
                    </w:txbxContent>
                  </v:textbox>
                </v:rect>
                <v:rect id="Rectangle 720" o:spid="_x0000_s1122" style="position:absolute;left:4572;top:13030;width:14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y0s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Z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Vy0sMAAADcAAAADwAAAAAAAAAAAAAAAACYAgAAZHJzL2Rv&#10;d25yZXYueG1sUEsFBgAAAAAEAAQA9QAAAIg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721" o:spid="_x0000_s1123" style="position:absolute;left:9144;top:13030;width:536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XSc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R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ddJ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shield. </w:t>
                        </w:r>
                      </w:p>
                    </w:txbxContent>
                  </v:textbox>
                </v:rect>
                <v:rect id="Rectangle 722" o:spid="_x0000_s1124" style="position:absolute;left:4572;top:14884;width:16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JP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xj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0k+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b.</w:t>
                        </w:r>
                      </w:p>
                    </w:txbxContent>
                  </v:textbox>
                </v:rect>
                <v:rect id="Rectangle 723" o:spid="_x0000_s1125" style="position:absolute;left:9144;top:14884;width:656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spc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F+yl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benefit. </w:t>
                        </w:r>
                      </w:p>
                    </w:txbxContent>
                  </v:textbox>
                </v:rect>
                <v:rect id="Rectangle 724" o:spid="_x0000_s1126" style="position:absolute;left:4572;top:16751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00c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nTR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725" o:spid="_x0000_s1127" style="position:absolute;left:9144;top:16751;width:690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RS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tFK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payable. </w:t>
                        </w:r>
                      </w:p>
                    </w:txbxContent>
                  </v:textbox>
                </v:rect>
                <v:rect id="Rectangle 726" o:spid="_x0000_s1128" style="position:absolute;left:4572;top:18605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PPc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OV/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BPPc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727" o:spid="_x0000_s1129" style="position:absolute;left:9144;top:18605;width:363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zqps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w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LOqm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loss. </w:t>
                        </w:r>
                      </w:p>
                    </w:txbxContent>
                  </v:textbox>
                </v:rect>
                <v:rect id="Rectangle 728" o:spid="_x0000_s1130" style="position:absolute;top:22326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+1M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V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N+1MMAAADcAAAADwAAAAAAAAAAAAAAAACYAgAAZHJzL2Rv&#10;d25yZXYueG1sUEsFBgAAAAAEAAQA9QAAAIgDAAAAAA=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11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729" o:spid="_x0000_s1131" style="position:absolute;left:4572;top:22326;width:722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/bT8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4g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/bT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Annual after-tax corporate net income can be converted to annual after-tax cash flow by </w:t>
                        </w:r>
                      </w:p>
                    </w:txbxContent>
                  </v:textbox>
                </v:rect>
                <v:rect id="Rectangle 730" o:spid="_x0000_s1132" style="position:absolute;left:4572;top:24193;width:153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kD8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5A/BAAAA3AAAAA8AAAAAAAAAAAAAAAAAmAIAAGRycy9kb3du&#10;cmV2LnhtbFBLBQYAAAAABAAEAPUAAACG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a.</w:t>
                        </w:r>
                      </w:p>
                    </w:txbxContent>
                  </v:textbox>
                </v:rect>
                <v:rect id="Rectangle 731" o:spid="_x0000_s1133" style="position:absolute;left:9144;top:24193;width:3200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BlM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BBl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adding back the depreciation amount. </w:t>
                        </w:r>
                      </w:p>
                    </w:txbxContent>
                  </v:textbox>
                </v:rect>
                <v:rect id="Rectangle 732" o:spid="_x0000_s1134" style="position:absolute;left:4572;top:26047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f4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t/j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733" o:spid="_x0000_s1135" style="position:absolute;left:9144;top:26047;width:2963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56eM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np4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deducting the depreciation amount. </w:t>
                        </w:r>
                      </w:p>
                    </w:txbxContent>
                  </v:textbox>
                </v:rect>
                <v:rect id="Rectangle 734" o:spid="_x0000_s1136" style="position:absolute;left:4572;top:27914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iD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n4gzHAAAA3AAAAA8AAAAAAAAAAAAAAAAAmAIAAGRy&#10;cy9kb3ducmV2LnhtbFBLBQYAAAAABAAEAPUAAACM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735" o:spid="_x0000_s1137" style="position:absolute;left:9144;top:27914;width:6496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l8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R5fHAAAA3AAAAA8AAAAAAAAAAAAAAAAAmAIAAGRy&#10;cy9kb3ducmV2LnhtbFBLBQYAAAAABAAEAPUAAACM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adding back the quantity (t × depreciation deduction), where t is the corporate </w:t>
                        </w:r>
                      </w:p>
                    </w:txbxContent>
                  </v:textbox>
                </v:rect>
                <v:rect id="Rectangle 736" o:spid="_x0000_s1138" style="position:absolute;left:9144;top:29768;width:672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Z4M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dng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tax rate. </w:t>
                        </w:r>
                      </w:p>
                    </w:txbxContent>
                  </v:textbox>
                </v:rect>
                <v:rect id="Rectangle 737" o:spid="_x0000_s1139" style="position:absolute;left:4572;top:31635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8e8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V8e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738" o:spid="_x0000_s1140" style="position:absolute;left:9144;top:31635;width:6658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oCc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q6AnBAAAA3AAAAA8AAAAAAAAAAAAAAAAAmAIAAGRycy9kb3du&#10;cmV2LnhtbFBLBQYAAAAABAAEAPUAAACG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deducting the quantity [(1– t) × depreciation deduction], where t is the corporate </w:t>
                        </w:r>
                      </w:p>
                    </w:txbxContent>
                  </v:textbox>
                </v:rect>
                <v:rect id="Rectangle 739" o:spid="_x0000_s1141" style="position:absolute;left:9144;top:33489;width:672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tax rate. </w:t>
                        </w:r>
                      </w:p>
                    </w:txbxContent>
                  </v:textbox>
                </v:rect>
                <v:rect id="Rectangle 740" o:spid="_x0000_s1142" style="position:absolute;top:37211;width:256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Xcs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al3LBAAAA3AAAAA8AAAAAAAAAAAAAAAAAmAIAAGRycy9kb3du&#10;cmV2LnhtbFBLBQYAAAAABAAEAPUAAACGAwAAAAA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12. </w:t>
                        </w:r>
                      </w:p>
                    </w:txbxContent>
                  </v:textbox>
                </v:rect>
                <v:rect id="Rectangle 741" o:spid="_x0000_s1143" style="position:absolute;left:4572;top:37211;width:2187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y6c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Yy6c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Income taxes are levied on </w:t>
                        </w:r>
                      </w:p>
                    </w:txbxContent>
                  </v:textbox>
                </v:rect>
                <v:rect id="Rectangle 742" o:spid="_x0000_s1144" style="position:absolute;left:4572;top:39077;width:14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sn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Kye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743" o:spid="_x0000_s1145" style="position:absolute;left:9144;top:39077;width:1128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JB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CQXHAAAA3AAAAA8AAAAAAAAAAAAAAAAAmAIAAGRy&#10;cy9kb3ducmV2LnhtbFBLBQYAAAAABAAEAPUAAACM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net cash flow. </w:t>
                        </w:r>
                      </w:p>
                    </w:txbxContent>
                  </v:textbox>
                </v:rect>
                <v:rect id="Rectangle 744" o:spid="_x0000_s1146" style="position:absolute;left:4572;top:40932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Rcc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ZFx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745" o:spid="_x0000_s1147" style="position:absolute;left:9144;top:40932;width:338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06s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tNOrHAAAA3AAAAA8AAAAAAAAAAAAAAAAAmAIAAGRy&#10;cy9kb3ducmV2LnhtbFBLBQYAAAAABAAEAPUAAACM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income as measured by accounting rules. </w:t>
                        </w:r>
                      </w:p>
                    </w:txbxContent>
                  </v:textbox>
                </v:rect>
                <v:rect id="Rectangle 746" o:spid="_x0000_s1148" style="position:absolute;left:4572;top:42799;width:137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+qn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6qd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747" o:spid="_x0000_s1149" style="position:absolute;left:9144;top:42799;width:2606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PBs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MPBs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net cash flow plus depreciation. </w:t>
                        </w:r>
                      </w:p>
                    </w:txbxContent>
                  </v:textbox>
                </v:rect>
                <v:rect id="Rectangle 748" o:spid="_x0000_s1150" style="position:absolute;left:4572;top:44653;width:16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bdM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sm3TBAAAA3AAAAA8AAAAAAAAAAAAAAAAAmAIAAGRycy9kb3du&#10;cmV2LnhtbFBLBQYAAAAABAAEAPUAAACG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d.</w:t>
                        </w:r>
                      </w:p>
                    </w:txbxContent>
                  </v:textbox>
                </v:rect>
                <v:rect id="Rectangle 749" o:spid="_x0000_s1151" style="position:absolute;left:9144;top:44653;width:2793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+78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D7v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income as measured by tax rules. </w:t>
                        </w:r>
                      </w:p>
                    </w:txbxContent>
                  </v:textbox>
                </v:rect>
                <v:rect id="Rectangle 750" o:spid="_x0000_s1152" style="position:absolute;top:48374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Br8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DAa/BAAAA3AAAAA8AAAAAAAAAAAAAAAAAmAIAAGRycy9kb3du&#10;cmV2LnhtbFBLBQYAAAAABAAEAPUAAACGAwAAAAA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13. 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751" o:spid="_x0000_s1153" style="position:absolute;left:4572;top:48374;width:4974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kNM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+kN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Which of the following best represents a screening decision? </w:t>
                        </w:r>
                      </w:p>
                    </w:txbxContent>
                  </v:textbox>
                </v:rect>
                <v:rect id="Rectangle 752" o:spid="_x0000_s1154" style="position:absolute;left:4572;top:50241;width:14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Q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TpD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753" o:spid="_x0000_s1155" style="position:absolute;left:9144;top:50241;width:4942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f2M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Rn9jHAAAA3AAAAA8AAAAAAAAAAAAAAAAAmAIAAGRy&#10;cy9kb3ducmV2LnhtbFBLBQYAAAAABAAEAPUAAACM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determining which project has the highest net present value </w:t>
                        </w:r>
                      </w:p>
                    </w:txbxContent>
                  </v:textbox>
                </v:rect>
                <v:rect id="Rectangle 754" o:spid="_x0000_s1156" style="position:absolute;left:4572;top:52095;width:16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b.</w:t>
                        </w:r>
                      </w:p>
                    </w:txbxContent>
                  </v:textbox>
                </v:rect>
                <v:rect id="Rectangle 755" o:spid="_x0000_s1157" style="position:absolute;left:9144;top:52095;width:6186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iN8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Yy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KI3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determining if a project’s internal rate of return exceeds the firm’s cost of </w:t>
                        </w:r>
                      </w:p>
                    </w:txbxContent>
                  </v:textbox>
                </v:rect>
                <v:rect id="Rectangle 756" o:spid="_x0000_s1158" style="position:absolute;left:4572;top:53962;width:561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capital </w:t>
                        </w:r>
                      </w:p>
                    </w:txbxContent>
                  </v:textbox>
                </v:rect>
                <v:rect id="Rectangle 757" o:spid="_x0000_s1159" style="position:absolute;left:4572;top:55816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qZ2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qZ2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758" o:spid="_x0000_s1160" style="position:absolute;left:9144;top:55816;width:4109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Nqc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1DanBAAAA3AAAAA8AAAAAAAAAAAAAAAAAmAIAAGRycy9kb3du&#10;cmV2LnhtbFBLBQYAAAAABAAEAPUAAACG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determining which projects are mutually exclusive </w:t>
                        </w:r>
                      </w:p>
                    </w:txbxContent>
                  </v:textbox>
                </v:rect>
                <v:rect id="Rectangle 759" o:spid="_x0000_s1161" style="position:absolute;left:4572;top:57683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oMs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agy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760" o:spid="_x0000_s1162" style="position:absolute;left:9144;top:57683;width:3278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LE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8sS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determining which are the best projects </w:t>
                        </w:r>
                      </w:p>
                    </w:txbxContent>
                  </v:textbox>
                </v:rect>
                <v:rect id="Rectangle 761" o:spid="_x0000_s1163" style="position:absolute;top:61404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ui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0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jbonEAAAA3AAAAA8AAAAAAAAAAAAAAAAAmAIAAGRycy9k&#10;b3ducmV2LnhtbFBLBQYAAAAABAAEAPUAAACJAwAAAAA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14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762" o:spid="_x0000_s1164" style="position:absolute;left:4572;top:61404;width:6390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w/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uZj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Hw/s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Below are pairs of projects. Which pair best represents independent projects? </w:t>
                        </w:r>
                      </w:p>
                    </w:txbxContent>
                  </v:textbox>
                </v:rect>
                <v:rect id="Rectangle 763" o:spid="_x0000_s1165" style="position:absolute;left:4572;top:63258;width:14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VZ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VVl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764" o:spid="_x0000_s1166" style="position:absolute;left:9144;top:63258;width:3037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NE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M0R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buy computer; buy software package </w:t>
                        </w:r>
                      </w:p>
                    </w:txbxContent>
                  </v:textbox>
                </v:rect>
                <v:rect id="Rectangle 765" o:spid="_x0000_s1167" style="position:absolute;left:4572;top:65125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oi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GiK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766" o:spid="_x0000_s1168" style="position:absolute;left:9144;top:65125;width:2904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2/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V9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vb9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buy computer #1; buy computer #2 </w:t>
                        </w:r>
                      </w:p>
                    </w:txbxContent>
                  </v:textbox>
                </v:rect>
                <v:rect id="Rectangle 767" o:spid="_x0000_s1169" style="position:absolute;left:4572;top:66979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TZ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4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U2b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768" o:spid="_x0000_s1170" style="position:absolute;left:9144;top:66979;width:3714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HF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ccU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buy computer; buy computer security system </w:t>
                        </w:r>
                      </w:p>
                    </w:txbxContent>
                  </v:textbox>
                </v:rect>
                <v:rect id="Rectangle 769" o:spid="_x0000_s1171" style="position:absolute;left:4572;top:68846;width:162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ij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5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WKP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d.</w:t>
                        </w:r>
                      </w:p>
                    </w:txbxContent>
                  </v:textbox>
                </v:rect>
                <v:rect id="Rectangle 770" o:spid="_x0000_s1172" style="position:absolute;left:9144;top:68846;width:2802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z8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X4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l3P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buy computer; repave parking lot </w:t>
                        </w:r>
                      </w:p>
                    </w:txbxContent>
                  </v:textbox>
                </v:rect>
                <v:rect id="Rectangle 771" o:spid="_x0000_s1173" style="position:absolute;top:72567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4VM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oN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6+FTEAAAA3AAAAA8AAAAAAAAAAAAAAAAAmAIAAGRycy9k&#10;b3ducmV2LnhtbFBLBQYAAAAABAAEAPUAAACJAwAAAAA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15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772" o:spid="_x0000_s1174" style="position:absolute;left:4572;top:72567;width:5009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mI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4C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6GYj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Which of the following are tax deductible under U.S. tax law? </w:t>
                        </w:r>
                      </w:p>
                    </w:txbxContent>
                  </v:textbox>
                </v:rect>
                <v:rect id="Rectangle 773" o:spid="_x0000_s1175" style="position:absolute;left:4572;top:74422;width:1538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DuM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TDu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a.</w:t>
                        </w:r>
                      </w:p>
                    </w:txbxContent>
                  </v:textbox>
                </v:rect>
                <v:rect id="Rectangle 774" o:spid="_x0000_s1176" style="position:absolute;left:9144;top:74422;width:28482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bzM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1bz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interest payments to bondholders </w:t>
                        </w:r>
                      </w:p>
                    </w:txbxContent>
                  </v:textbox>
                </v:rect>
                <v:rect id="Rectangle 775" o:spid="_x0000_s1177" style="position:absolute;left:4572;top:76288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+V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H+V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776" o:spid="_x0000_s1178" style="position:absolute;left:9144;top:76288;width:2085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gIM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0hM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TYCD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preferred stock dividends </w:t>
                        </w:r>
                      </w:p>
                    </w:txbxContent>
                  </v:textbox>
                </v:rect>
                <v:rect id="Rectangle 777" o:spid="_x0000_s1179" style="position:absolute;left:4572;top:78143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Fu8YA&#10;AADcAAAADwAAAGRycy9kb3ducmV2LnhtbESPzWrDMBCE74G+g9hCb4ncHOrEiRJMm2If81NIe1us&#10;jW1qrYyl2m6fPgoEehxm5htmvR1NI3rqXG1ZwfMsAkFcWF1zqeDj9D5dgHAeWWNjmRT8koPt5mGy&#10;xkTbgQ/UH30pAoRdggoq79tESldUZNDNbEscvIvtDPogu1LqDocAN42cR9GLNFhzWKiwpdeKiu/j&#10;j1GQLdr0M7d/Q9nsvrLz/rx8Oy29Uk+PY7oC4Wn0/+F7O9cK4jiG25lwBOTm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/Fu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778" o:spid="_x0000_s1180" style="position:absolute;left:9144;top:78143;width:2036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Ryc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W0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FHJwgAAANwAAAAPAAAAAAAAAAAAAAAAAJgCAABkcnMvZG93&#10;bnJldi54bWxQSwUGAAAAAAQABAD1AAAAhw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common stock dividends </w:t>
                        </w:r>
                      </w:p>
                    </w:txbxContent>
                  </v:textbox>
                </v:rect>
                <v:rect id="Rectangle 779" o:spid="_x0000_s1181" style="position:absolute;left:4572;top:80010;width:157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0Us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H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PRS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780" o:spid="_x0000_s1182" style="position:absolute;left:9144;top:80010;width:12682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t6M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jLejBAAAA3AAAAA8AAAAAAAAAAAAAAAAAmAIAAGRycy9kb3du&#10;cmV2LnhtbFBLBQYAAAAABAAEAPUAAACG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all of the above </w:t>
                        </w:r>
                      </w:p>
                    </w:txbxContent>
                  </v:textbox>
                </v:rect>
                <v:rect id="Rectangle 781" o:spid="_x0000_s1183" style="position:absolute;top:83731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+Ic8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iHPEAAAA3AAAAA8AAAAAAAAAAAAAAAAAmAIAAGRycy9k&#10;b3ducmV2LnhtbFBLBQYAAAAABAAEAPUAAACJAwAAAAA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16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782" o:spid="_x0000_s1184" style="position:absolute;left:4572;top:83731;width:1695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0WB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pekh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0WB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Sensitivity analysis is </w:t>
                        </w:r>
                      </w:p>
                    </w:txbxContent>
                  </v:textbox>
                </v:rect>
                <v:rect id="Rectangle 783" o:spid="_x0000_s1185" style="position:absolute;left:4572;top:85585;width:153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zn8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Gzn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a.</w:t>
                        </w:r>
                      </w:p>
                    </w:txbxContent>
                  </v:textbox>
                </v:rect>
                <v:rect id="Rectangle 784" o:spid="_x0000_s1186" style="position:absolute;left:9144;top:85585;width:5373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gr68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gr6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an appropriate response to uncertainty in cash flow projections. </w:t>
                        </w:r>
                      </w:p>
                    </w:txbxContent>
                  </v:textbox>
                </v:rect>
                <v:rect id="Rectangle 785" o:spid="_x0000_s1187" style="position:absolute;left:4572;top:87452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OcM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SOc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786" o:spid="_x0000_s1188" style="position:absolute;left:9144;top:87452;width:4167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YQB8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x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YQB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useful in measuring the variance of the Fisher rate. </w:t>
                        </w:r>
                      </w:p>
                    </w:txbxContent>
                  </v:textbox>
                </v:rect>
                <v:rect id="Rectangle 787" o:spid="_x0000_s1189" style="position:absolute;left:4572;top:89306;width:137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q1nMUA&#10;AADcAAAADwAAAGRycy9kb3ducmV2LnhtbESPT4vCMBTE78J+h/AWvGmqB63VKLLrokf/LKi3R/Ns&#10;i81LabK2+umNIOxxmJnfMLNFa0pxo9oVlhUM+hEI4tTqgjMFv4efXgzCeWSNpWVScCcHi/lHZ4aJ&#10;tg3v6Lb3mQgQdgkqyL2vEildmpNB17cVcfAutjbog6wzqWtsAtyUchhFI2mw4LCQY0VfOaXX/Z9R&#10;sI6r5WljH01Wrs7r4/Y4+T5MvFLdz3Y5BeGp9f/hd3ujFYz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rWc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788" o:spid="_x0000_s1190" style="position:absolute;left:9144;top:89306;width:4001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h7s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VIe7BAAAA3AAAAA8AAAAAAAAAAAAAAAAAmAIAAGRycy9kb3du&#10;cmV2LnhtbFBLBQYAAAAABAAEAPUAAACG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typically conducted in the post investment audit. </w:t>
                        </w:r>
                      </w:p>
                    </w:txbxContent>
                  </v:textbox>
                </v:rect>
                <v:rect id="Rectangle 789" o:spid="_x0000_s1191" style="position:absolute;left:4572;top:91173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EdcUA&#10;AADc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vAWJ/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YR1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790" o:spid="_x0000_s1192" style="position:absolute;left:9144;top:91173;width:6492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7Nc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6uzXBAAAA3AAAAA8AAAAAAAAAAAAAAAAAmAIAAGRycy9kb3du&#10;cmV2LnhtbFBLBQYAAAAABAAEAPUAAACG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useful to compare projects requiring vastly different levels of initial investment. </w:t>
                        </w:r>
                      </w:p>
                    </w:txbxContent>
                  </v:textbox>
                </v:rect>
                <v:rect id="Rectangle 791" o:spid="_x0000_s1193" style="position:absolute;top:94894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ers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2Hq7EAAAA3AAAAA8AAAAAAAAAAAAAAAAAmAIAAGRycy9k&#10;b3ducmV2LnhtbFBLBQYAAAAABAAEAPUAAACJAwAAAAA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17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792" o:spid="_x0000_s1194" style="position:absolute;left:4572;top:94894;width:6708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SA2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kh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SA2c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If management judges one project in a mutually inclusive set to be acceptable for </w:t>
                        </w:r>
                      </w:p>
                    </w:txbxContent>
                  </v:textbox>
                </v:rect>
                <v:rect id="Rectangle 793" o:spid="_x0000_s1195" style="position:absolute;left:4572;top:96748;width:968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lQ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CVCxQAAANwAAAAPAAAAAAAAAAAAAAAAAJgCAABkcnMv&#10;ZG93bnJldi54bWxQSwUGAAAAAAQABAD1AAAAigMAAAAA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investment,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25A36" w:rsidRDefault="00525A36" w:rsidP="00525A36">
      <w:pPr>
        <w:spacing w:after="40" w:line="240" w:lineRule="auto"/>
        <w:ind w:left="0" w:right="3626" w:firstLine="0"/>
      </w:pPr>
      <w:r>
        <w:t xml:space="preserve">                                   a.</w:t>
      </w:r>
      <w:r>
        <w:tab/>
        <w:t>all the other projects in the set are rejected.</w:t>
      </w:r>
    </w:p>
    <w:p w:rsidR="00525A36" w:rsidRDefault="00525A36" w:rsidP="00525A36">
      <w:pPr>
        <w:spacing w:after="659" w:line="240" w:lineRule="auto"/>
        <w:ind w:left="1385" w:right="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9BEDD86" wp14:editId="1A45174D">
                <wp:extent cx="7470749" cy="1877822"/>
                <wp:effectExtent l="0" t="0" r="0" b="0"/>
                <wp:docPr id="4896" name="Group 4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0749" cy="1877822"/>
                          <a:chOff x="0" y="0"/>
                          <a:chExt cx="7470749" cy="1877822"/>
                        </a:xfrm>
                      </wpg:grpSpPr>
                      <wps:wsp>
                        <wps:cNvPr id="808" name="Rectangle 808"/>
                        <wps:cNvSpPr/>
                        <wps:spPr>
                          <a:xfrm>
                            <a:off x="457200" y="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914400" y="0"/>
                            <a:ext cx="40812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only one other project in the set can be accepted.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457200" y="186690"/>
                            <a:ext cx="1386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914400" y="186690"/>
                            <a:ext cx="381750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all other projects in the set are also accepted.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457200" y="37211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914400" y="372110"/>
                            <a:ext cx="35063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only one project in the set will be rejected.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0" y="744220"/>
                            <a:ext cx="2566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070A7D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18</w:t>
                              </w:r>
                              <w:r w:rsidR="00525A36"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457200" y="744220"/>
                            <a:ext cx="701354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All other factors equal, which of the following would affect a project’s internal rate of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0" y="930910"/>
                            <a:ext cx="38483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return, net present value, and payback period?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457200" y="1116330"/>
                            <a:ext cx="1487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914400" y="1116330"/>
                            <a:ext cx="257317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an increase in the discount rate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457200" y="1303021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b.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914400" y="1303021"/>
                            <a:ext cx="28601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a decrease in the life of the project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457200" y="1488440"/>
                            <a:ext cx="1386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914400" y="1488440"/>
                            <a:ext cx="357873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an increase in the initial cost of the project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457200" y="1675130"/>
                            <a:ext cx="1574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>d.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914400" y="1675130"/>
                            <a:ext cx="12682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5A36" w:rsidRDefault="00525A36" w:rsidP="00525A36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all of the above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EDD86" id="Group 4896" o:spid="_x0000_s1196" style="width:588.25pt;height:147.85pt;mso-position-horizontal-relative:char;mso-position-vertical-relative:line" coordsize="74707,1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">
                <v:rect id="Rectangle 808" o:spid="_x0000_s1197" style="position:absolute;left:4572;width:157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24s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Whj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K24sAAAADcAAAADwAAAAAAAAAAAAAAAACYAgAAZHJzL2Rvd25y&#10;ZXYueG1sUEsFBgAAAAAEAAQA9QAAAIU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809" o:spid="_x0000_s1198" style="position:absolute;left:9144;width:40812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TecQA&#10;AADcAAAADwAAAGRycy9kb3ducmV2LnhtbESPQYvCMBSE7wv+h/AEb2vqHqStRhF10aOrgnp7NM+2&#10;2LyUJtrqr98sLHgcZuYbZjrvTCUe1LjSsoLRMAJBnFldcq7gePj+jEE4j6yxskwKnuRgPut9TDHV&#10;tuUfeux9LgKEXYoKCu/rVEqXFWTQDW1NHLyrbQz6IJtc6gbbADeV/IqisTRYclgosKZlQdltfzcK&#10;NnG9OG/tq82r9WVz2p2S1SHxSg363WICwlPn3+H/9lYriKME/s6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+E3n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only one other project in the set can be accepted. </w:t>
                        </w:r>
                      </w:p>
                    </w:txbxContent>
                  </v:textbox>
                </v:rect>
                <v:rect id="Rectangle 810" o:spid="_x0000_s1199" style="position:absolute;left:4572;top:1866;width:138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0sOc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X5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0sOcAAAADcAAAADwAAAAAAAAAAAAAAAACYAgAAZHJzL2Rvd25y&#10;ZXYueG1sUEsFBgAAAAAEAAQA9QAAAIU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c.</w:t>
                        </w:r>
                      </w:p>
                    </w:txbxContent>
                  </v:textbox>
                </v:rect>
                <v:rect id="Rectangle 811" o:spid="_x0000_s1200" style="position:absolute;left:9144;top:1866;width:3817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JosQA&#10;AADcAAAADwAAAGRycy9kb3ducmV2LnhtbESPQYvCMBSE74L/ITzBm6bdg9RqFFEXPbq6oN4ezbMt&#10;Ni+libb66zcLC3scZuYbZr7sTCWe1LjSsoJ4HIEgzqwuOVfwffocJSCcR9ZYWSYFL3KwXPR7c0y1&#10;bfmLnkefiwBhl6KCwvs6ldJlBRl0Y1sTB+9mG4M+yCaXusE2wE0lP6JoIg2WHBYKrGldUHY/PoyC&#10;XVKvLnv7bvNqe92dD+fp5jT1Sg0H3WoGwlPn/8N/7b1WkMQx/J4JR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RiaL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all other projects in the set are also accepted. </w:t>
                        </w:r>
                      </w:p>
                    </w:txbxContent>
                  </v:textbox>
                </v:rect>
                <v:rect id="Rectangle 812" o:spid="_x0000_s1201" style="position:absolute;left:4572;top:3721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X1c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+G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F9X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813" o:spid="_x0000_s1202" style="position:absolute;left:9144;top:3721;width:3506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+yT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sk7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only one project in the set will be rejected. </w:t>
                        </w:r>
                      </w:p>
                    </w:txbxContent>
                  </v:textbox>
                </v:rect>
                <v:rect id="Rectangle 814" o:spid="_x0000_s1203" style="position:absolute;top:7442;width:25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YqOs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mKjrEAAAA3AAAAA8AAAAAAAAAAAAAAAAAmAIAAGRycy9k&#10;b3ducmV2LnhtbFBLBQYAAAAABAAEAPUAAACJAwAAAAA=&#10;" filled="f" stroked="f">
                  <v:textbox inset="0,0,0,0">
                    <w:txbxContent>
                      <w:p w:rsidR="00525A36" w:rsidRDefault="00070A7D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18</w:t>
                        </w:r>
                        <w:r w:rsidR="00525A36">
                          <w:t>.</w:t>
                        </w:r>
                      </w:p>
                    </w:txbxContent>
                  </v:textbox>
                </v:rect>
                <v:rect id="Rectangle 815" o:spid="_x0000_s1204" style="position:absolute;left:4572;top:7442;width:7013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Poc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qj6H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All other factors equal, which of the following would affect a project’s internal rate of </w:t>
                        </w:r>
                      </w:p>
                    </w:txbxContent>
                  </v:textbox>
                </v:rect>
                <v:rect id="Rectangle 816" o:spid="_x0000_s1205" style="position:absolute;top:9309;width:3848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gR1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ngwgu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4Edb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return, net present value, and payback period? </w:t>
                        </w:r>
                      </w:p>
                    </w:txbxContent>
                  </v:textbox>
                </v:rect>
                <v:rect id="Rectangle 817" o:spid="_x0000_s1206" style="position:absolute;left:4572;top:11163;width:14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0Tc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EA+/4P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0tE3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a.</w:t>
                        </w:r>
                      </w:p>
                    </w:txbxContent>
                  </v:textbox>
                </v:rect>
                <v:rect id="Rectangle 818" o:spid="_x0000_s1207" style="position:absolute;left:9144;top:11163;width:2573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gP8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W1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sgP8AAAADcAAAADwAAAAAAAAAAAAAAAACYAgAAZHJzL2Rvd25y&#10;ZXYueG1sUEsFBgAAAAAEAAQA9QAAAIU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an increase in the discount rate </w:t>
                        </w:r>
                      </w:p>
                    </w:txbxContent>
                  </v:textbox>
                </v:rect>
                <v:rect id="Rectangle 819" o:spid="_x0000_s1208" style="position:absolute;left:4572;top:13030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FpMYA&#10;AADcAAAADwAAAGRycy9kb3ducmV2LnhtbESPT2vCQBTE70K/w/IK3szGHkqSuor0D3qsiZD29si+&#10;JqHZtyG7NbGf3hUEj8PM/IZZbSbTiRMNrrWsYBnFIIgrq1uuFRyLj0UCwnlkjZ1lUnAmB5v1w2yF&#10;mbYjH+iU+1oECLsMFTTe95mUrmrIoItsTxy8HzsY9EEOtdQDjgFuOvkUx8/SYMthocGeXhuqfvM/&#10;o2CX9Nuvvf0f6+79e1d+lulbkXql5o/T9gWEp8nfw7f2XitIlilcz4QjIN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FpM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b.</w:t>
                        </w:r>
                      </w:p>
                    </w:txbxContent>
                  </v:textbox>
                </v:rect>
                <v:rect id="Rectangle 820" o:spid="_x0000_s1209" style="position:absolute;left:9144;top:13030;width:2860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mh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0gHob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HmhMAAAADcAAAADwAAAAAAAAAAAAAAAACYAgAAZHJzL2Rvd25y&#10;ZXYueG1sUEsFBgAAAAAEAAQA9QAAAIU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a decrease in the life of the project </w:t>
                        </w:r>
                      </w:p>
                    </w:txbxContent>
                  </v:textbox>
                </v:rect>
                <v:rect id="Rectangle 821" o:spid="_x0000_s1210" style="position:absolute;left:4572;top:14884;width:138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DH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8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9Qx/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c.</w:t>
                        </w:r>
                      </w:p>
                    </w:txbxContent>
                  </v:textbox>
                </v:rect>
                <v:rect id="Rectangle 822" o:spid="_x0000_s1211" style="position:absolute;left:9144;top:14884;width:357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/da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Ukc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v3WjEAAAA3AAAAA8AAAAAAAAAAAAAAAAAmAIAAGRycy9k&#10;b3ducmV2LnhtbFBLBQYAAAAABAAEAPUAAACJAwAAAAA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an increase in the initial cost of the project </w:t>
                        </w:r>
                      </w:p>
                    </w:txbxContent>
                  </v:textbox>
                </v:rect>
                <v:rect id="Rectangle 823" o:spid="_x0000_s1212" style="position:absolute;left:4572;top:16751;width:15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48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N48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>d.</w:t>
                        </w:r>
                      </w:p>
                    </w:txbxContent>
                  </v:textbox>
                </v:rect>
                <v:rect id="Rectangle 824" o:spid="_x0000_s1213" style="position:absolute;left:9144;top:16751;width:1268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gh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rgh8YAAADcAAAADwAAAAAAAAAAAAAAAACYAgAAZHJz&#10;L2Rvd25yZXYueG1sUEsFBgAAAAAEAAQA9QAAAIsDAAAAAA==&#10;" filled="f" stroked="f">
                  <v:textbox inset="0,0,0,0">
                    <w:txbxContent>
                      <w:p w:rsidR="00525A36" w:rsidRDefault="00525A36" w:rsidP="00525A36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all of the above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25A36" w:rsidRDefault="00515BD4" w:rsidP="00525A36">
      <w:pPr>
        <w:spacing w:after="0" w:line="240" w:lineRule="auto"/>
        <w:ind w:left="0" w:right="0" w:firstLine="0"/>
      </w:pPr>
      <w:hyperlink r:id="rId7">
        <w:r w:rsidR="00525A36">
          <w:rPr>
            <w:rFonts w:ascii="Arial" w:eastAsia="Arial" w:hAnsi="Arial" w:cs="Arial"/>
            <w:sz w:val="2"/>
          </w:rPr>
          <w:t>Powered by TCPDF (www.tcpdf.org)</w:t>
        </w:r>
      </w:hyperlink>
    </w:p>
    <w:p w:rsidR="00211DC6" w:rsidRDefault="00515BD4"/>
    <w:sectPr w:rsidR="00211D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/>
      <w:pgMar w:top="387" w:right="1454" w:bottom="20" w:left="57" w:header="720" w:footer="9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BD4" w:rsidRDefault="00515BD4">
      <w:pPr>
        <w:spacing w:after="0" w:line="240" w:lineRule="auto"/>
      </w:pPr>
      <w:r>
        <w:separator/>
      </w:r>
    </w:p>
  </w:endnote>
  <w:endnote w:type="continuationSeparator" w:id="0">
    <w:p w:rsidR="00515BD4" w:rsidRDefault="0051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3A5" w:rsidRDefault="00525A36">
    <w:pPr>
      <w:spacing w:after="0" w:line="240" w:lineRule="auto"/>
      <w:ind w:left="0" w:right="0" w:firstLine="0"/>
    </w:pPr>
    <w:r>
      <w:rPr>
        <w:rFonts w:ascii="Times New Roman" w:eastAsia="Times New Roman" w:hAnsi="Times New Roman" w:cs="Times New Roman"/>
        <w:sz w:val="16"/>
      </w:rPr>
      <w:t xml:space="preserve">https://www.coursehero.com/file/38002067/Capital-Reviewer-TOAdocx/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3A5" w:rsidRDefault="00525A36">
    <w:pPr>
      <w:spacing w:after="0" w:line="240" w:lineRule="auto"/>
      <w:ind w:left="0" w:right="0" w:firstLine="0"/>
    </w:pPr>
    <w:r>
      <w:rPr>
        <w:rFonts w:ascii="Times New Roman" w:eastAsia="Times New Roman" w:hAnsi="Times New Roman" w:cs="Times New Roman"/>
        <w:sz w:val="16"/>
      </w:rPr>
      <w:t xml:space="preserve">https://www.coursehero.com/file/38002067/Capital-Reviewer-TOAdocx/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3A5" w:rsidRDefault="00525A36">
    <w:pPr>
      <w:spacing w:after="0" w:line="240" w:lineRule="auto"/>
      <w:ind w:left="0" w:right="0" w:firstLine="0"/>
    </w:pPr>
    <w:r>
      <w:rPr>
        <w:rFonts w:ascii="Times New Roman" w:eastAsia="Times New Roman" w:hAnsi="Times New Roman" w:cs="Times New Roman"/>
        <w:sz w:val="16"/>
      </w:rPr>
      <w:t xml:space="preserve">https://www.coursehero.com/file/38002067/Capital-Reviewer-TOAdocx/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BD4" w:rsidRDefault="00515BD4">
      <w:pPr>
        <w:spacing w:after="0" w:line="240" w:lineRule="auto"/>
      </w:pPr>
      <w:r>
        <w:separator/>
      </w:r>
    </w:p>
  </w:footnote>
  <w:footnote w:type="continuationSeparator" w:id="0">
    <w:p w:rsidR="00515BD4" w:rsidRDefault="00515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3A5" w:rsidRDefault="00525A36">
    <w:pPr>
      <w:spacing w:after="16" w:line="276" w:lineRule="auto"/>
      <w:ind w:left="0" w:right="0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02FA469" wp14:editId="1EC32DF5">
              <wp:simplePos x="0" y="0"/>
              <wp:positionH relativeFrom="page">
                <wp:posOffset>5922010</wp:posOffset>
              </wp:positionH>
              <wp:positionV relativeFrom="page">
                <wp:posOffset>45720</wp:posOffset>
              </wp:positionV>
              <wp:extent cx="820420" cy="6350"/>
              <wp:effectExtent l="0" t="0" r="0" b="0"/>
              <wp:wrapSquare wrapText="bothSides"/>
              <wp:docPr id="4950" name="Group 49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420" cy="6350"/>
                        <a:chOff x="0" y="0"/>
                        <a:chExt cx="820420" cy="6350"/>
                      </a:xfrm>
                    </wpg:grpSpPr>
                    <wps:wsp>
                      <wps:cNvPr id="4951" name="Shape 4951"/>
                      <wps:cNvSpPr/>
                      <wps:spPr>
                        <a:xfrm>
                          <a:off x="0" y="0"/>
                          <a:ext cx="820420" cy="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0420" h="6350">
                              <a:moveTo>
                                <a:pt x="0" y="0"/>
                              </a:moveTo>
                              <a:lnTo>
                                <a:pt x="820420" y="0"/>
                              </a:lnTo>
                              <a:lnTo>
                                <a:pt x="820420" y="2540"/>
                              </a:lnTo>
                              <a:lnTo>
                                <a:pt x="820420" y="6350"/>
                              </a:lnTo>
                              <a:lnTo>
                                <a:pt x="0" y="6350"/>
                              </a:lnTo>
                              <a:lnTo>
                                <a:pt x="0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8D8D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582D1C3" id="Group 4950" o:spid="_x0000_s1026" style="position:absolute;margin-left:466.3pt;margin-top:3.6pt;width:64.6pt;height:.5pt;z-index:251659264;mso-position-horizontal-relative:page;mso-position-vertical-relative:page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">
              <v:shape id="Shape 4951" o:spid="_x0000_s1027" style="position:absolute;width:8204;height:63;visibility:visible;mso-wrap-style:square;v-text-anchor:top" coordsize="8204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GndcQA&#10;AADdAAAADwAAAGRycy9kb3ducmV2LnhtbESPQWsCMRSE74X+h/AK3mpWsVa3RhFR8CbdVvD42Dw3&#10;a5OXZRN17a83BaHHYWa+YWaLzllxoTbUnhUM+hkI4tLrmisF31+b1wmIEJE1Ws+k4EYBFvPnpxnm&#10;2l/5ky5FrESCcMhRgYmxyaUMpSGHoe8b4uQdfeswJtlWUrd4TXBn5TDLxtJhzWnBYEMrQ+VPcXYK&#10;nLG7k+1uZPl9ssbi/KsP+5NSvZdu+QEiUhf/w4/2VisYTd8G8PcmPQ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xp3XEAAAA3QAAAA8AAAAAAAAAAAAAAAAAmAIAAGRycy9k&#10;b3ducmV2LnhtbFBLBQYAAAAABAAEAPUAAACJAwAAAAA=&#10;" path="m,l820420,r,2540l820420,6350,,6350,,2540,,xe" fillcolor="#d8d8d8" stroked="f" strokeweight="0">
                <v:stroke miterlimit="83231f" joinstyle="miter"/>
                <v:path arrowok="t" textboxrect="0,0,820420,6350"/>
              </v:shape>
              <w10:wrap type="square" anchorx="page" anchory="page"/>
            </v:group>
          </w:pict>
        </mc:Fallback>
      </mc:AlternateContent>
    </w:r>
  </w:p>
  <w:p w:rsidR="007513A5" w:rsidRDefault="00525A36">
    <w:pPr>
      <w:spacing w:after="0" w:line="240" w:lineRule="auto"/>
      <w:ind w:left="0" w:right="0" w:firstLine="0"/>
      <w:jc w:val="right"/>
    </w:pPr>
    <w:r>
      <w:rPr>
        <w:sz w:val="20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3A5" w:rsidRDefault="00525A36">
    <w:pPr>
      <w:spacing w:after="16" w:line="276" w:lineRule="auto"/>
      <w:ind w:left="0" w:right="0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0C6D35D" wp14:editId="26A77BF1">
              <wp:simplePos x="0" y="0"/>
              <wp:positionH relativeFrom="page">
                <wp:posOffset>5922010</wp:posOffset>
              </wp:positionH>
              <wp:positionV relativeFrom="page">
                <wp:posOffset>45720</wp:posOffset>
              </wp:positionV>
              <wp:extent cx="820420" cy="6350"/>
              <wp:effectExtent l="0" t="0" r="0" b="0"/>
              <wp:wrapSquare wrapText="bothSides"/>
              <wp:docPr id="4933" name="Group 4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420" cy="6350"/>
                        <a:chOff x="0" y="0"/>
                        <a:chExt cx="820420" cy="6350"/>
                      </a:xfrm>
                    </wpg:grpSpPr>
                    <wps:wsp>
                      <wps:cNvPr id="4934" name="Shape 4934"/>
                      <wps:cNvSpPr/>
                      <wps:spPr>
                        <a:xfrm>
                          <a:off x="0" y="0"/>
                          <a:ext cx="820420" cy="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0420" h="6350">
                              <a:moveTo>
                                <a:pt x="0" y="0"/>
                              </a:moveTo>
                              <a:lnTo>
                                <a:pt x="820420" y="0"/>
                              </a:lnTo>
                              <a:lnTo>
                                <a:pt x="820420" y="2540"/>
                              </a:lnTo>
                              <a:lnTo>
                                <a:pt x="820420" y="6350"/>
                              </a:lnTo>
                              <a:lnTo>
                                <a:pt x="0" y="6350"/>
                              </a:lnTo>
                              <a:lnTo>
                                <a:pt x="0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8D8D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00F3184" id="Group 4933" o:spid="_x0000_s1026" style="position:absolute;margin-left:466.3pt;margin-top:3.6pt;width:64.6pt;height:.5pt;z-index:251660288;mso-position-horizontal-relative:page;mso-position-vertical-relative:page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">
              <v:shape id="Shape 4934" o:spid="_x0000_s1027" style="position:absolute;width:8204;height:63;visibility:visible;mso-wrap-style:square;v-text-anchor:top" coordsize="8204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hTcQA&#10;AADdAAAADwAAAGRycy9kb3ducmV2LnhtbESPQWsCMRSE74L/IbyCN822Sqtbo0hR6E26VvD42Dw3&#10;a5OXZRN17a83hYLHYWa+YebLzllxoTbUnhU8jzIQxKXXNVcKvneb4RREiMgarWdScKMAy0W/N8dc&#10;+yt/0aWIlUgQDjkqMDE2uZShNOQwjHxDnLyjbx3GJNtK6havCe6sfMmyV+mw5rRgsKEPQ+VPcXYK&#10;nLHbk+1uZPltusbi/KsP+5NSg6du9Q4iUhcf4f/2p1YwmY0n8PcmPQ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Z4U3EAAAA3QAAAA8AAAAAAAAAAAAAAAAAmAIAAGRycy9k&#10;b3ducmV2LnhtbFBLBQYAAAAABAAEAPUAAACJAwAAAAA=&#10;" path="m,l820420,r,2540l820420,6350,,6350,,2540,,xe" fillcolor="#d8d8d8" stroked="f" strokeweight="0">
                <v:stroke miterlimit="83231f" joinstyle="miter"/>
                <v:path arrowok="t" textboxrect="0,0,820420,6350"/>
              </v:shape>
              <w10:wrap type="square" anchorx="page" anchory="page"/>
            </v:group>
          </w:pict>
        </mc:Fallback>
      </mc:AlternateContent>
    </w:r>
  </w:p>
  <w:p w:rsidR="007513A5" w:rsidRDefault="00525A36">
    <w:pPr>
      <w:spacing w:after="0" w:line="240" w:lineRule="auto"/>
      <w:ind w:left="0" w:right="0" w:firstLine="0"/>
      <w:jc w:val="right"/>
    </w:pPr>
    <w:r>
      <w:rPr>
        <w:sz w:val="20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Pr="00525A36">
      <w:rPr>
        <w:noProof/>
        <w:sz w:val="20"/>
      </w:rPr>
      <w:t>3</w:t>
    </w:r>
    <w:r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3A5" w:rsidRDefault="00525A36">
    <w:pPr>
      <w:spacing w:after="16" w:line="276" w:lineRule="auto"/>
      <w:ind w:left="0" w:right="0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4A8846" wp14:editId="005A8FFE">
              <wp:simplePos x="0" y="0"/>
              <wp:positionH relativeFrom="page">
                <wp:posOffset>5922010</wp:posOffset>
              </wp:positionH>
              <wp:positionV relativeFrom="page">
                <wp:posOffset>45720</wp:posOffset>
              </wp:positionV>
              <wp:extent cx="820420" cy="6350"/>
              <wp:effectExtent l="0" t="0" r="0" b="0"/>
              <wp:wrapSquare wrapText="bothSides"/>
              <wp:docPr id="4916" name="Group 49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420" cy="6350"/>
                        <a:chOff x="0" y="0"/>
                        <a:chExt cx="820420" cy="6350"/>
                      </a:xfrm>
                    </wpg:grpSpPr>
                    <wps:wsp>
                      <wps:cNvPr id="4917" name="Shape 4917"/>
                      <wps:cNvSpPr/>
                      <wps:spPr>
                        <a:xfrm>
                          <a:off x="0" y="0"/>
                          <a:ext cx="820420" cy="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0420" h="6350">
                              <a:moveTo>
                                <a:pt x="0" y="0"/>
                              </a:moveTo>
                              <a:lnTo>
                                <a:pt x="820420" y="0"/>
                              </a:lnTo>
                              <a:lnTo>
                                <a:pt x="820420" y="2540"/>
                              </a:lnTo>
                              <a:lnTo>
                                <a:pt x="820420" y="6350"/>
                              </a:lnTo>
                              <a:lnTo>
                                <a:pt x="0" y="6350"/>
                              </a:lnTo>
                              <a:lnTo>
                                <a:pt x="0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8D8D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2F121B" id="Group 4916" o:spid="_x0000_s1026" style="position:absolute;margin-left:466.3pt;margin-top:3.6pt;width:64.6pt;height:.5pt;z-index:251661312;mso-position-horizontal-relative:page;mso-position-vertical-relative:page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">
              <v:shape id="Shape 4917" o:spid="_x0000_s1027" style="position:absolute;width:8204;height:63;visibility:visible;mso-wrap-style:square;v-text-anchor:top" coordsize="8204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4jWsUA&#10;AADdAAAADwAAAGRycy9kb3ducmV2LnhtbESPQWsCMRSE7wX/Q3hCbzWrSLXbjSKi0Ju4baHHx+Z1&#10;s9vkZdlEXf31jVDocZiZb5hiPTgrztSHxrOC6SQDQVx53XCt4ON9/7QEESKyRuuZFFwpwHo1eigw&#10;1/7CRzqXsRYJwiFHBSbGLpcyVIYchonviJP37XuHMcm+lrrHS4I7K2dZ9iwdNpwWDHa0NVT9lCen&#10;wBl7aO1wJcuL5Q7L001/fbZKPY6HzSuISEP8D/+137SC+ct0Afc36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iNaxQAAAN0AAAAPAAAAAAAAAAAAAAAAAJgCAABkcnMv&#10;ZG93bnJldi54bWxQSwUGAAAAAAQABAD1AAAAigMAAAAA&#10;" path="m,l820420,r,2540l820420,6350,,6350,,2540,,xe" fillcolor="#d8d8d8" stroked="f" strokeweight="0">
                <v:stroke miterlimit="83231f" joinstyle="miter"/>
                <v:path arrowok="t" textboxrect="0,0,820420,6350"/>
              </v:shape>
              <w10:wrap type="square" anchorx="page" anchory="page"/>
            </v:group>
          </w:pict>
        </mc:Fallback>
      </mc:AlternateContent>
    </w:r>
  </w:p>
  <w:p w:rsidR="007513A5" w:rsidRDefault="00525A36">
    <w:pPr>
      <w:spacing w:after="0" w:line="240" w:lineRule="auto"/>
      <w:ind w:left="0" w:right="0" w:firstLine="0"/>
      <w:jc w:val="right"/>
    </w:pPr>
    <w:r>
      <w:rPr>
        <w:sz w:val="20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64A1B"/>
    <w:multiLevelType w:val="hybridMultilevel"/>
    <w:tmpl w:val="0B34211E"/>
    <w:lvl w:ilvl="0" w:tplc="0CEC089C">
      <w:start w:val="26"/>
      <w:numFmt w:val="decimal"/>
      <w:lvlText w:val="%1."/>
      <w:lvlJc w:val="left"/>
      <w:pPr>
        <w:ind w:left="2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5CAEC4">
      <w:start w:val="1"/>
      <w:numFmt w:val="lowerLetter"/>
      <w:lvlText w:val="%2."/>
      <w:lvlJc w:val="left"/>
      <w:pPr>
        <w:ind w:left="2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E26B76">
      <w:start w:val="1"/>
      <w:numFmt w:val="lowerRoman"/>
      <w:lvlText w:val="%3"/>
      <w:lvlJc w:val="left"/>
      <w:pPr>
        <w:ind w:left="317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6076C">
      <w:start w:val="1"/>
      <w:numFmt w:val="decimal"/>
      <w:lvlText w:val="%4"/>
      <w:lvlJc w:val="left"/>
      <w:pPr>
        <w:ind w:left="38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B6B6F0">
      <w:start w:val="1"/>
      <w:numFmt w:val="lowerLetter"/>
      <w:lvlText w:val="%5"/>
      <w:lvlJc w:val="left"/>
      <w:pPr>
        <w:ind w:left="46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00DAC">
      <w:start w:val="1"/>
      <w:numFmt w:val="lowerRoman"/>
      <w:lvlText w:val="%6"/>
      <w:lvlJc w:val="left"/>
      <w:pPr>
        <w:ind w:left="533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A8A32">
      <w:start w:val="1"/>
      <w:numFmt w:val="decimal"/>
      <w:lvlText w:val="%7"/>
      <w:lvlJc w:val="left"/>
      <w:pPr>
        <w:ind w:left="605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3C1B42">
      <w:start w:val="1"/>
      <w:numFmt w:val="lowerLetter"/>
      <w:lvlText w:val="%8"/>
      <w:lvlJc w:val="left"/>
      <w:pPr>
        <w:ind w:left="677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525412">
      <w:start w:val="1"/>
      <w:numFmt w:val="lowerRoman"/>
      <w:lvlText w:val="%9"/>
      <w:lvlJc w:val="left"/>
      <w:pPr>
        <w:ind w:left="74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36"/>
    <w:rsid w:val="00070A7D"/>
    <w:rsid w:val="003B0838"/>
    <w:rsid w:val="00515BD4"/>
    <w:rsid w:val="00525A36"/>
    <w:rsid w:val="007C65F5"/>
    <w:rsid w:val="00BC4F08"/>
    <w:rsid w:val="00E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9FC23A-1912-412E-B0F7-D7F9E67F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A36"/>
    <w:pPr>
      <w:spacing w:after="41" w:line="246" w:lineRule="auto"/>
      <w:ind w:left="2100" w:right="-15" w:hanging="10"/>
    </w:pPr>
    <w:rPr>
      <w:rFonts w:ascii="Calibri" w:eastAsia="Calibri" w:hAnsi="Calibri" w:cs="Calibri"/>
      <w:color w:val="000000"/>
      <w:sz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cpdf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</dc:creator>
  <cp:keywords/>
  <dc:description/>
  <cp:lastModifiedBy>Sonal</cp:lastModifiedBy>
  <cp:revision>6</cp:revision>
  <dcterms:created xsi:type="dcterms:W3CDTF">2021-03-13T04:17:00Z</dcterms:created>
  <dcterms:modified xsi:type="dcterms:W3CDTF">2021-03-13T04:50:00Z</dcterms:modified>
</cp:coreProperties>
</file>