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F0E5C" w14:textId="77777777" w:rsidR="000001CF" w:rsidRPr="004751D6" w:rsidRDefault="000001CF" w:rsidP="000001CF">
      <w:pPr>
        <w:spacing w:after="0" w:line="480" w:lineRule="auto"/>
        <w:ind w:firstLine="720"/>
        <w:jc w:val="center"/>
        <w:rPr>
          <w:rFonts w:ascii="Times New Roman" w:hAnsi="Times New Roman" w:cs="Times New Roman"/>
          <w:sz w:val="24"/>
          <w:szCs w:val="24"/>
        </w:rPr>
      </w:pPr>
    </w:p>
    <w:p w14:paraId="51EAC9A4" w14:textId="77777777" w:rsidR="000001CF" w:rsidRPr="004751D6" w:rsidRDefault="000001CF" w:rsidP="000001CF">
      <w:pPr>
        <w:spacing w:after="0" w:line="480" w:lineRule="auto"/>
        <w:ind w:firstLine="720"/>
        <w:jc w:val="center"/>
        <w:rPr>
          <w:rFonts w:ascii="Times New Roman" w:hAnsi="Times New Roman" w:cs="Times New Roman"/>
          <w:sz w:val="24"/>
          <w:szCs w:val="24"/>
        </w:rPr>
      </w:pPr>
    </w:p>
    <w:p w14:paraId="3746677A" w14:textId="77777777" w:rsidR="000001CF" w:rsidRPr="004751D6" w:rsidRDefault="000001CF" w:rsidP="000001CF">
      <w:pPr>
        <w:spacing w:after="0" w:line="480" w:lineRule="auto"/>
        <w:ind w:firstLine="720"/>
        <w:jc w:val="center"/>
        <w:rPr>
          <w:rFonts w:ascii="Times New Roman" w:hAnsi="Times New Roman" w:cs="Times New Roman"/>
          <w:sz w:val="24"/>
          <w:szCs w:val="24"/>
        </w:rPr>
      </w:pPr>
    </w:p>
    <w:p w14:paraId="22FC976D" w14:textId="77777777" w:rsidR="000001CF" w:rsidRPr="004751D6" w:rsidRDefault="000001CF" w:rsidP="000001CF">
      <w:pPr>
        <w:spacing w:after="0" w:line="480" w:lineRule="auto"/>
        <w:ind w:firstLine="720"/>
        <w:jc w:val="center"/>
        <w:rPr>
          <w:rFonts w:ascii="Times New Roman" w:hAnsi="Times New Roman" w:cs="Times New Roman"/>
          <w:sz w:val="24"/>
          <w:szCs w:val="24"/>
        </w:rPr>
      </w:pPr>
    </w:p>
    <w:p w14:paraId="4F49FDD9" w14:textId="77777777" w:rsidR="000001CF" w:rsidRPr="004751D6" w:rsidRDefault="000001CF" w:rsidP="000001CF">
      <w:pPr>
        <w:spacing w:after="0" w:line="480" w:lineRule="auto"/>
        <w:ind w:firstLine="720"/>
        <w:jc w:val="center"/>
        <w:rPr>
          <w:rFonts w:ascii="Times New Roman" w:hAnsi="Times New Roman" w:cs="Times New Roman"/>
          <w:sz w:val="24"/>
          <w:szCs w:val="24"/>
        </w:rPr>
      </w:pPr>
    </w:p>
    <w:p w14:paraId="54810FEC" w14:textId="77777777" w:rsidR="000001CF" w:rsidRPr="004751D6" w:rsidRDefault="000001CF" w:rsidP="000001CF">
      <w:pPr>
        <w:spacing w:line="480" w:lineRule="auto"/>
        <w:jc w:val="center"/>
        <w:rPr>
          <w:rFonts w:ascii="Times New Roman" w:hAnsi="Times New Roman" w:cs="Times New Roman"/>
          <w:sz w:val="24"/>
          <w:szCs w:val="24"/>
          <w:lang w:val="en-GB"/>
        </w:rPr>
      </w:pPr>
      <w:r w:rsidRPr="004751D6">
        <w:rPr>
          <w:rFonts w:ascii="Times New Roman" w:hAnsi="Times New Roman" w:cs="Times New Roman"/>
          <w:sz w:val="24"/>
          <w:szCs w:val="24"/>
          <w:lang w:val="en-GB"/>
        </w:rPr>
        <w:t xml:space="preserve"> Inventory and Cost of Goods Valuation</w:t>
      </w:r>
    </w:p>
    <w:p w14:paraId="56CA7465" w14:textId="77777777" w:rsidR="000001CF" w:rsidRPr="004751D6" w:rsidRDefault="000001CF" w:rsidP="000001CF">
      <w:pPr>
        <w:spacing w:line="480" w:lineRule="auto"/>
        <w:jc w:val="center"/>
        <w:rPr>
          <w:rFonts w:ascii="Times New Roman" w:hAnsi="Times New Roman" w:cs="Times New Roman"/>
          <w:sz w:val="24"/>
          <w:szCs w:val="24"/>
          <w:lang w:val="en-GB"/>
        </w:rPr>
      </w:pPr>
      <w:r w:rsidRPr="004751D6">
        <w:rPr>
          <w:rFonts w:ascii="Times New Roman" w:hAnsi="Times New Roman" w:cs="Times New Roman"/>
          <w:sz w:val="24"/>
          <w:szCs w:val="24"/>
          <w:lang w:val="en-GB"/>
        </w:rPr>
        <w:t>Student’s Name</w:t>
      </w:r>
    </w:p>
    <w:p w14:paraId="2F4E577B" w14:textId="3F87A5A7" w:rsidR="000001CF" w:rsidRPr="004751D6" w:rsidRDefault="000001CF" w:rsidP="000001CF">
      <w:pPr>
        <w:spacing w:line="480" w:lineRule="auto"/>
        <w:jc w:val="center"/>
        <w:rPr>
          <w:rFonts w:ascii="Times New Roman" w:hAnsi="Times New Roman" w:cs="Times New Roman"/>
          <w:sz w:val="24"/>
          <w:szCs w:val="24"/>
        </w:rPr>
      </w:pPr>
      <w:r w:rsidRPr="004751D6">
        <w:rPr>
          <w:rFonts w:ascii="Times New Roman" w:hAnsi="Times New Roman" w:cs="Times New Roman"/>
          <w:sz w:val="24"/>
          <w:szCs w:val="24"/>
          <w:lang w:val="en-GB"/>
        </w:rPr>
        <w:t xml:space="preserve">Institutional Affiliation </w:t>
      </w:r>
      <w:r w:rsidRPr="004751D6">
        <w:rPr>
          <w:rFonts w:ascii="Times New Roman" w:hAnsi="Times New Roman" w:cs="Times New Roman"/>
          <w:sz w:val="24"/>
          <w:szCs w:val="24"/>
        </w:rPr>
        <w:br w:type="page"/>
      </w:r>
    </w:p>
    <w:p w14:paraId="55E95B57" w14:textId="7066B583" w:rsidR="002D384F" w:rsidRPr="004751D6" w:rsidRDefault="002D384F" w:rsidP="00DD2451">
      <w:pPr>
        <w:spacing w:after="0" w:line="480" w:lineRule="auto"/>
        <w:ind w:firstLine="720"/>
        <w:rPr>
          <w:rFonts w:ascii="Times New Roman" w:hAnsi="Times New Roman" w:cs="Times New Roman"/>
          <w:sz w:val="24"/>
          <w:szCs w:val="24"/>
        </w:rPr>
      </w:pPr>
      <w:r w:rsidRPr="004751D6">
        <w:rPr>
          <w:rFonts w:ascii="Times New Roman" w:hAnsi="Times New Roman" w:cs="Times New Roman"/>
          <w:sz w:val="24"/>
          <w:szCs w:val="24"/>
        </w:rPr>
        <w:lastRenderedPageBreak/>
        <w:t>Weighted Average Cost, First-in, First-out Method (FIFO), Last-in, First-out Method (LIFO), and a less popular type, Specific Identification, are the three most common techniques of inventory valuation. Each of these valuation techniques is used to measure the cost of products sold (COGS) and the cost of ending inventory.</w:t>
      </w:r>
    </w:p>
    <w:p w14:paraId="1305E436" w14:textId="61F6D8D5" w:rsidR="00144408" w:rsidRPr="004751D6" w:rsidRDefault="005C2D1F" w:rsidP="00DD2451">
      <w:pPr>
        <w:spacing w:after="0" w:line="480" w:lineRule="auto"/>
        <w:rPr>
          <w:rFonts w:ascii="Times New Roman" w:hAnsi="Times New Roman" w:cs="Times New Roman"/>
          <w:sz w:val="24"/>
          <w:szCs w:val="24"/>
        </w:rPr>
      </w:pPr>
      <w:r w:rsidRPr="004751D6">
        <w:rPr>
          <w:rFonts w:ascii="Times New Roman" w:hAnsi="Times New Roman" w:cs="Times New Roman"/>
          <w:sz w:val="24"/>
          <w:szCs w:val="24"/>
        </w:rPr>
        <w:t>AVERAGE COST METHOD (AVCO)</w:t>
      </w:r>
    </w:p>
    <w:p w14:paraId="6DC495E9" w14:textId="79434C73" w:rsidR="00E052E4" w:rsidRPr="004751D6" w:rsidRDefault="002D384F"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rPr>
        <w:t xml:space="preserve">The average cost approach </w:t>
      </w:r>
      <w:r w:rsidR="00DC2907" w:rsidRPr="004751D6">
        <w:rPr>
          <w:rFonts w:ascii="Times New Roman" w:hAnsi="Times New Roman" w:cs="Times New Roman"/>
          <w:sz w:val="24"/>
          <w:szCs w:val="24"/>
          <w:lang w:val="en-US"/>
        </w:rPr>
        <w:t>measures</w:t>
      </w:r>
      <w:r w:rsidRPr="004751D6">
        <w:rPr>
          <w:rFonts w:ascii="Times New Roman" w:hAnsi="Times New Roman" w:cs="Times New Roman"/>
          <w:sz w:val="24"/>
          <w:szCs w:val="24"/>
        </w:rPr>
        <w:t xml:space="preserve"> the ending cost of </w:t>
      </w:r>
      <w:r w:rsidR="00DC2907" w:rsidRPr="004751D6">
        <w:rPr>
          <w:rFonts w:ascii="Times New Roman" w:hAnsi="Times New Roman" w:cs="Times New Roman"/>
          <w:sz w:val="24"/>
          <w:szCs w:val="24"/>
          <w:lang w:val="en-US"/>
        </w:rPr>
        <w:t>stock/</w:t>
      </w:r>
      <w:r w:rsidRPr="004751D6">
        <w:rPr>
          <w:rFonts w:ascii="Times New Roman" w:hAnsi="Times New Roman" w:cs="Times New Roman"/>
          <w:sz w:val="24"/>
          <w:szCs w:val="24"/>
        </w:rPr>
        <w:t>inventory and the cost of products s</w:t>
      </w:r>
      <w:r w:rsidR="00DC2907" w:rsidRPr="004751D6">
        <w:rPr>
          <w:rFonts w:ascii="Times New Roman" w:hAnsi="Times New Roman" w:cs="Times New Roman"/>
          <w:sz w:val="24"/>
          <w:szCs w:val="24"/>
          <w:lang w:val="en-US"/>
        </w:rPr>
        <w:t>ales</w:t>
      </w:r>
      <w:r w:rsidRPr="004751D6">
        <w:rPr>
          <w:rFonts w:ascii="Times New Roman" w:hAnsi="Times New Roman" w:cs="Times New Roman"/>
          <w:sz w:val="24"/>
          <w:szCs w:val="24"/>
        </w:rPr>
        <w:t xml:space="preserve"> (COGS) for a specified duration using weighted average cost per inventory unit. COGS is the weighted average price per inventory unit, and it represents the cost of </w:t>
      </w:r>
      <w:r w:rsidR="00DC2907" w:rsidRPr="004751D6">
        <w:rPr>
          <w:rFonts w:ascii="Times New Roman" w:hAnsi="Times New Roman" w:cs="Times New Roman"/>
          <w:sz w:val="24"/>
          <w:szCs w:val="24"/>
          <w:lang w:val="en-US"/>
        </w:rPr>
        <w:t>products</w:t>
      </w:r>
      <w:r w:rsidRPr="004751D6">
        <w:rPr>
          <w:rFonts w:ascii="Times New Roman" w:hAnsi="Times New Roman" w:cs="Times New Roman"/>
          <w:sz w:val="24"/>
          <w:szCs w:val="24"/>
        </w:rPr>
        <w:t xml:space="preserve"> sold for a certain </w:t>
      </w:r>
      <w:r w:rsidR="00DC2907" w:rsidRPr="004751D6">
        <w:rPr>
          <w:rFonts w:ascii="Times New Roman" w:hAnsi="Times New Roman" w:cs="Times New Roman"/>
          <w:sz w:val="24"/>
          <w:szCs w:val="24"/>
          <w:lang w:val="en-US"/>
        </w:rPr>
        <w:t>duration</w:t>
      </w:r>
      <w:r w:rsidRPr="004751D6">
        <w:rPr>
          <w:rFonts w:ascii="Times New Roman" w:hAnsi="Times New Roman" w:cs="Times New Roman"/>
          <w:sz w:val="24"/>
          <w:szCs w:val="24"/>
        </w:rPr>
        <w:t xml:space="preserve"> of time.</w:t>
      </w:r>
      <w:r w:rsidRPr="004751D6">
        <w:rPr>
          <w:rFonts w:ascii="Times New Roman" w:hAnsi="Times New Roman" w:cs="Times New Roman"/>
          <w:sz w:val="24"/>
          <w:szCs w:val="24"/>
          <w:lang w:val="en-US"/>
        </w:rPr>
        <w:t xml:space="preserve"> </w:t>
      </w:r>
      <w:r w:rsidR="005C2D1F" w:rsidRPr="004751D6">
        <w:rPr>
          <w:rFonts w:ascii="Times New Roman" w:hAnsi="Times New Roman" w:cs="Times New Roman"/>
          <w:sz w:val="24"/>
          <w:szCs w:val="24"/>
          <w:lang w:val="en-US"/>
        </w:rPr>
        <w:t xml:space="preserve">The formula for the weighted average cost is given by: </w:t>
      </w:r>
    </w:p>
    <w:p w14:paraId="18F38566" w14:textId="2D1B77BA" w:rsidR="00E052E4" w:rsidRPr="004751D6" w:rsidRDefault="005C2D1F" w:rsidP="00DD2451">
      <w:pPr>
        <w:spacing w:after="0" w:line="480" w:lineRule="auto"/>
        <w:rPr>
          <w:rFonts w:ascii="Times New Roman" w:hAnsi="Times New Roman" w:cs="Times New Roman"/>
          <w:sz w:val="24"/>
          <w:szCs w:val="24"/>
          <w:u w:val="single"/>
          <w:lang w:val="en-US"/>
        </w:rPr>
      </w:pP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 xml:space="preserve">WAC = </w:t>
      </w:r>
      <w:r w:rsidRPr="004751D6">
        <w:rPr>
          <w:rFonts w:ascii="Times New Roman" w:hAnsi="Times New Roman" w:cs="Times New Roman"/>
          <w:sz w:val="24"/>
          <w:szCs w:val="24"/>
          <w:u w:val="single"/>
          <w:lang w:val="en-US"/>
        </w:rPr>
        <w:t>Total Inventory Cost</w:t>
      </w:r>
    </w:p>
    <w:p w14:paraId="11CCE307" w14:textId="2CBB20AA" w:rsidR="00E052E4"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 xml:space="preserve">             Total Inventory Units</w:t>
      </w:r>
    </w:p>
    <w:p w14:paraId="21E0D8B3" w14:textId="4D72ABE9" w:rsidR="00E052E4" w:rsidRPr="004751D6" w:rsidRDefault="005C2D1F"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lang w:val="en-US"/>
        </w:rPr>
        <w:t>The applicability of Average Cost is different while using the Periodic Inventory System and the Perpetual Inventory System.  While applying the periodic inventory method, you calculate the WAC for the entire inventory and multiply it by the total units sold and the total units in the ending inventory. By doing this, you get the COGS and ending inventory. For the perpetual inventory scheme, you must measure the WA</w:t>
      </w:r>
      <w:r w:rsidR="001A1714" w:rsidRPr="004751D6">
        <w:rPr>
          <w:rFonts w:ascii="Times New Roman" w:hAnsi="Times New Roman" w:cs="Times New Roman"/>
          <w:sz w:val="24"/>
          <w:szCs w:val="24"/>
          <w:lang w:val="en-US"/>
        </w:rPr>
        <w:t>C</w:t>
      </w:r>
      <w:r w:rsidRPr="004751D6">
        <w:rPr>
          <w:rFonts w:ascii="Times New Roman" w:hAnsi="Times New Roman" w:cs="Times New Roman"/>
          <w:sz w:val="24"/>
          <w:szCs w:val="24"/>
          <w:lang w:val="en-US"/>
        </w:rPr>
        <w:t xml:space="preserve"> per unit before each selling transaction.</w:t>
      </w:r>
    </w:p>
    <w:p w14:paraId="4339E522" w14:textId="42D464AE" w:rsidR="00FC5117"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Example</w:t>
      </w:r>
    </w:p>
    <w:p w14:paraId="692741B9" w14:textId="16189B6B" w:rsidR="005C2D1F"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Date</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Unit</w:t>
      </w:r>
      <w:r w:rsidRPr="004751D6">
        <w:rPr>
          <w:rFonts w:ascii="Times New Roman" w:hAnsi="Times New Roman" w:cs="Times New Roman"/>
          <w:sz w:val="24"/>
          <w:szCs w:val="24"/>
          <w:lang w:val="en-US"/>
        </w:rPr>
        <w:tab/>
        <w:t>Price per Unit</w:t>
      </w:r>
    </w:p>
    <w:p w14:paraId="68A5CBA5" w14:textId="4818197B" w:rsidR="00FC5117"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 xml:space="preserve">June 1 Beginning </w:t>
      </w:r>
      <w:r w:rsidR="00DC2907" w:rsidRPr="004751D6">
        <w:rPr>
          <w:rFonts w:ascii="Times New Roman" w:hAnsi="Times New Roman" w:cs="Times New Roman"/>
          <w:sz w:val="24"/>
          <w:szCs w:val="24"/>
          <w:lang w:val="en-US"/>
        </w:rPr>
        <w:t>stock</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 xml:space="preserve">60 </w:t>
      </w:r>
      <w:r w:rsidRPr="004751D6">
        <w:rPr>
          <w:rFonts w:ascii="Times New Roman" w:hAnsi="Times New Roman" w:cs="Times New Roman"/>
          <w:sz w:val="24"/>
          <w:szCs w:val="24"/>
          <w:lang w:val="en-US"/>
        </w:rPr>
        <w:tab/>
        <w:t xml:space="preserve">$30.00 </w:t>
      </w:r>
    </w:p>
    <w:p w14:paraId="1CEFBBBF" w14:textId="77777777" w:rsidR="005C2D1F"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4 Purchase</w:t>
      </w:r>
      <w:r w:rsidRPr="004751D6">
        <w:rPr>
          <w:rFonts w:ascii="Times New Roman" w:hAnsi="Times New Roman" w:cs="Times New Roman"/>
          <w:sz w:val="24"/>
          <w:szCs w:val="24"/>
          <w:lang w:val="en-US"/>
        </w:rPr>
        <w:tab/>
      </w:r>
      <w:r w:rsidR="00DC2907" w:rsidRPr="004751D6">
        <w:rPr>
          <w:rFonts w:ascii="Times New Roman" w:hAnsi="Times New Roman" w:cs="Times New Roman"/>
          <w:sz w:val="24"/>
          <w:szCs w:val="24"/>
          <w:lang w:val="en-US"/>
        </w:rPr>
        <w:t>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120</w:t>
      </w:r>
      <w:r w:rsidRPr="004751D6">
        <w:rPr>
          <w:rFonts w:ascii="Times New Roman" w:hAnsi="Times New Roman" w:cs="Times New Roman"/>
          <w:sz w:val="24"/>
          <w:szCs w:val="24"/>
          <w:lang w:val="en-US"/>
        </w:rPr>
        <w:tab/>
        <w:t xml:space="preserve"> $31.00</w:t>
      </w:r>
    </w:p>
    <w:p w14:paraId="75BA4C86" w14:textId="6559C07F" w:rsidR="00FC5117"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12 Sale</w:t>
      </w:r>
      <w:r w:rsidR="00DC2907" w:rsidRPr="004751D6">
        <w:rPr>
          <w:rFonts w:ascii="Times New Roman" w:hAnsi="Times New Roman" w:cs="Times New Roman"/>
          <w:sz w:val="24"/>
          <w:szCs w:val="24"/>
          <w:lang w:val="en-US"/>
        </w:rPr>
        <w:t>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16</w:t>
      </w:r>
      <w:r w:rsidR="003752AB" w:rsidRPr="004751D6">
        <w:rPr>
          <w:rFonts w:ascii="Times New Roman" w:hAnsi="Times New Roman" w:cs="Times New Roman"/>
          <w:sz w:val="24"/>
          <w:szCs w:val="24"/>
          <w:lang w:val="en-US"/>
        </w:rPr>
        <w:t>0</w:t>
      </w:r>
      <w:r w:rsidRPr="004751D6">
        <w:rPr>
          <w:rFonts w:ascii="Times New Roman" w:hAnsi="Times New Roman" w:cs="Times New Roman"/>
          <w:sz w:val="24"/>
          <w:szCs w:val="24"/>
          <w:lang w:val="en-US"/>
        </w:rPr>
        <w:tab/>
        <w:t xml:space="preserve"> $36.00</w:t>
      </w:r>
    </w:p>
    <w:p w14:paraId="01FE8F91" w14:textId="3F3AC292" w:rsidR="00FC5117"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22 Purchase</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003752AB" w:rsidRPr="004751D6">
        <w:rPr>
          <w:rFonts w:ascii="Times New Roman" w:hAnsi="Times New Roman" w:cs="Times New Roman"/>
          <w:sz w:val="24"/>
          <w:szCs w:val="24"/>
          <w:lang w:val="en-US"/>
        </w:rPr>
        <w:t>7</w:t>
      </w:r>
      <w:r w:rsidR="00E92F18" w:rsidRPr="004751D6">
        <w:rPr>
          <w:rFonts w:ascii="Times New Roman" w:hAnsi="Times New Roman" w:cs="Times New Roman"/>
          <w:sz w:val="24"/>
          <w:szCs w:val="24"/>
          <w:lang w:val="en-US"/>
        </w:rPr>
        <w:t>5</w:t>
      </w:r>
      <w:r w:rsidRPr="004751D6">
        <w:rPr>
          <w:rFonts w:ascii="Times New Roman" w:hAnsi="Times New Roman" w:cs="Times New Roman"/>
          <w:sz w:val="24"/>
          <w:szCs w:val="24"/>
          <w:lang w:val="en-US"/>
        </w:rPr>
        <w:tab/>
      </w:r>
      <w:r w:rsidR="003752AB" w:rsidRPr="004751D6">
        <w:rPr>
          <w:rFonts w:ascii="Times New Roman" w:hAnsi="Times New Roman" w:cs="Times New Roman"/>
          <w:sz w:val="24"/>
          <w:szCs w:val="24"/>
          <w:lang w:val="en-US"/>
        </w:rPr>
        <w:t xml:space="preserve"> $32.00 </w:t>
      </w:r>
    </w:p>
    <w:p w14:paraId="59707426" w14:textId="3497FDB0" w:rsidR="003752AB"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30 Sale</w:t>
      </w:r>
      <w:r w:rsidR="00DC2907" w:rsidRPr="004751D6">
        <w:rPr>
          <w:rFonts w:ascii="Times New Roman" w:hAnsi="Times New Roman" w:cs="Times New Roman"/>
          <w:sz w:val="24"/>
          <w:szCs w:val="24"/>
          <w:lang w:val="en-US"/>
        </w:rPr>
        <w:t>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35</w:t>
      </w:r>
      <w:r w:rsidRPr="004751D6">
        <w:rPr>
          <w:rFonts w:ascii="Times New Roman" w:hAnsi="Times New Roman" w:cs="Times New Roman"/>
          <w:sz w:val="24"/>
          <w:szCs w:val="24"/>
          <w:lang w:val="en-US"/>
        </w:rPr>
        <w:tab/>
        <w:t xml:space="preserve"> $31.00 </w:t>
      </w:r>
    </w:p>
    <w:p w14:paraId="2C289946" w14:textId="2C8CD69E" w:rsidR="003752AB" w:rsidRPr="004751D6" w:rsidRDefault="003752AB" w:rsidP="00DD2451">
      <w:pPr>
        <w:spacing w:after="0" w:line="480" w:lineRule="auto"/>
        <w:rPr>
          <w:rFonts w:ascii="Times New Roman" w:hAnsi="Times New Roman" w:cs="Times New Roman"/>
          <w:sz w:val="24"/>
          <w:szCs w:val="24"/>
          <w:lang w:val="en-US"/>
        </w:rPr>
      </w:pPr>
    </w:p>
    <w:p w14:paraId="32122A1D" w14:textId="07EC59C8" w:rsidR="003752AB"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AVCO – Periodic</w:t>
      </w:r>
    </w:p>
    <w:p w14:paraId="5536C48B" w14:textId="77AC5ADD" w:rsidR="003752AB" w:rsidRPr="004751D6" w:rsidRDefault="00DC2907"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 xml:space="preserve">Available </w:t>
      </w:r>
      <w:r w:rsidR="005C2D1F" w:rsidRPr="004751D6">
        <w:rPr>
          <w:rFonts w:ascii="Times New Roman" w:hAnsi="Times New Roman" w:cs="Times New Roman"/>
          <w:sz w:val="24"/>
          <w:szCs w:val="24"/>
          <w:lang w:val="en-US"/>
        </w:rPr>
        <w:t>Units for Sale</w:t>
      </w:r>
      <w:r w:rsidR="00E92F18" w:rsidRPr="004751D6">
        <w:rPr>
          <w:rFonts w:ascii="Times New Roman" w:hAnsi="Times New Roman" w:cs="Times New Roman"/>
          <w:sz w:val="24"/>
          <w:szCs w:val="24"/>
          <w:lang w:val="en-US"/>
        </w:rPr>
        <w:tab/>
      </w:r>
      <w:r w:rsidR="00E92F18" w:rsidRPr="004751D6">
        <w:rPr>
          <w:rFonts w:ascii="Times New Roman" w:hAnsi="Times New Roman" w:cs="Times New Roman"/>
          <w:sz w:val="24"/>
          <w:szCs w:val="24"/>
          <w:lang w:val="en-US"/>
        </w:rPr>
        <w:tab/>
        <w:t>=</w:t>
      </w:r>
      <w:r w:rsidR="00E92F18" w:rsidRPr="004751D6">
        <w:rPr>
          <w:rFonts w:ascii="Times New Roman" w:hAnsi="Times New Roman" w:cs="Times New Roman"/>
          <w:sz w:val="24"/>
          <w:szCs w:val="24"/>
          <w:lang w:val="en-US"/>
        </w:rPr>
        <w:tab/>
        <w:t>60 + 120 + 75</w:t>
      </w:r>
      <w:r w:rsidR="00E92F18" w:rsidRPr="004751D6">
        <w:rPr>
          <w:rFonts w:ascii="Times New Roman" w:hAnsi="Times New Roman" w:cs="Times New Roman"/>
          <w:sz w:val="24"/>
          <w:szCs w:val="24"/>
          <w:lang w:val="en-US"/>
        </w:rPr>
        <w:tab/>
        <w:t>= 255</w:t>
      </w:r>
    </w:p>
    <w:p w14:paraId="4CD2CEA2" w14:textId="760FEA0A" w:rsidR="00E92F18"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Unit</w:t>
      </w:r>
      <w:r w:rsidR="00DC2907" w:rsidRPr="004751D6">
        <w:rPr>
          <w:rFonts w:ascii="Times New Roman" w:hAnsi="Times New Roman" w:cs="Times New Roman"/>
          <w:sz w:val="24"/>
          <w:szCs w:val="24"/>
          <w:lang w:val="en-US"/>
        </w:rPr>
        <w:t xml:space="preserve"> sales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w:t>
      </w:r>
      <w:r w:rsidRPr="004751D6">
        <w:rPr>
          <w:rFonts w:ascii="Times New Roman" w:hAnsi="Times New Roman" w:cs="Times New Roman"/>
          <w:sz w:val="24"/>
          <w:szCs w:val="24"/>
          <w:lang w:val="en-US"/>
        </w:rPr>
        <w:tab/>
        <w:t>160 + 35</w:t>
      </w:r>
      <w:r w:rsidRPr="004751D6">
        <w:rPr>
          <w:rFonts w:ascii="Times New Roman" w:hAnsi="Times New Roman" w:cs="Times New Roman"/>
          <w:sz w:val="24"/>
          <w:szCs w:val="24"/>
          <w:lang w:val="en-US"/>
        </w:rPr>
        <w:tab/>
        <w:t>= 195</w:t>
      </w:r>
    </w:p>
    <w:p w14:paraId="46CCB2E4" w14:textId="1F92219C" w:rsidR="00E92F18" w:rsidRPr="004751D6" w:rsidRDefault="00DC2907"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Final</w:t>
      </w:r>
      <w:r w:rsidR="005C2D1F" w:rsidRPr="004751D6">
        <w:rPr>
          <w:rFonts w:ascii="Times New Roman" w:hAnsi="Times New Roman" w:cs="Times New Roman"/>
          <w:sz w:val="24"/>
          <w:szCs w:val="24"/>
          <w:lang w:val="en-US"/>
        </w:rPr>
        <w:t xml:space="preserve"> inventory</w:t>
      </w:r>
      <w:r w:rsidRPr="004751D6">
        <w:rPr>
          <w:rFonts w:ascii="Times New Roman" w:hAnsi="Times New Roman" w:cs="Times New Roman"/>
          <w:sz w:val="24"/>
          <w:szCs w:val="24"/>
          <w:lang w:val="en-US"/>
        </w:rPr>
        <w:t xml:space="preserve"> units</w:t>
      </w:r>
      <w:r w:rsidR="005C2D1F" w:rsidRPr="004751D6">
        <w:rPr>
          <w:rFonts w:ascii="Times New Roman" w:hAnsi="Times New Roman" w:cs="Times New Roman"/>
          <w:sz w:val="24"/>
          <w:szCs w:val="24"/>
          <w:lang w:val="en-US"/>
        </w:rPr>
        <w:tab/>
        <w:t>=</w:t>
      </w:r>
      <w:r w:rsidR="005C2D1F" w:rsidRPr="004751D6">
        <w:rPr>
          <w:rFonts w:ascii="Times New Roman" w:hAnsi="Times New Roman" w:cs="Times New Roman"/>
          <w:sz w:val="24"/>
          <w:szCs w:val="24"/>
          <w:lang w:val="en-US"/>
        </w:rPr>
        <w:tab/>
        <w:t>255 – 195</w:t>
      </w:r>
      <w:r w:rsidR="005C2D1F" w:rsidRPr="004751D6">
        <w:rPr>
          <w:rFonts w:ascii="Times New Roman" w:hAnsi="Times New Roman" w:cs="Times New Roman"/>
          <w:sz w:val="24"/>
          <w:szCs w:val="24"/>
          <w:lang w:val="en-US"/>
        </w:rPr>
        <w:tab/>
        <w:t>= 60</w:t>
      </w:r>
    </w:p>
    <w:p w14:paraId="134132A3" w14:textId="1B035074" w:rsidR="00E92F18" w:rsidRPr="004751D6" w:rsidRDefault="005C2D1F" w:rsidP="00DD2451">
      <w:pPr>
        <w:spacing w:after="0" w:line="480" w:lineRule="auto"/>
        <w:rPr>
          <w:rFonts w:ascii="Times New Roman" w:hAnsi="Times New Roman" w:cs="Times New Roman"/>
          <w:b/>
          <w:bCs/>
          <w:sz w:val="24"/>
          <w:szCs w:val="24"/>
          <w:lang w:val="en-US"/>
        </w:rPr>
      </w:pPr>
      <w:r w:rsidRPr="004751D6">
        <w:rPr>
          <w:rFonts w:ascii="Times New Roman" w:hAnsi="Times New Roman" w:cs="Times New Roman"/>
          <w:b/>
          <w:bCs/>
          <w:sz w:val="24"/>
          <w:szCs w:val="24"/>
          <w:lang w:val="en-US"/>
        </w:rPr>
        <w:t>Weighted Average Unit Cost</w:t>
      </w:r>
      <w:r w:rsidRPr="004751D6">
        <w:rPr>
          <w:rFonts w:ascii="Times New Roman" w:hAnsi="Times New Roman" w:cs="Times New Roman"/>
          <w:b/>
          <w:bCs/>
          <w:sz w:val="24"/>
          <w:szCs w:val="24"/>
          <w:lang w:val="en-US"/>
        </w:rPr>
        <w:tab/>
      </w:r>
      <w:r w:rsidRPr="004751D6">
        <w:rPr>
          <w:rFonts w:ascii="Times New Roman" w:hAnsi="Times New Roman" w:cs="Times New Roman"/>
          <w:b/>
          <w:bCs/>
          <w:sz w:val="24"/>
          <w:szCs w:val="24"/>
          <w:u w:val="single"/>
          <w:lang w:val="en-US"/>
        </w:rPr>
        <w:t>Units</w:t>
      </w:r>
      <w:r w:rsidRPr="004751D6">
        <w:rPr>
          <w:rFonts w:ascii="Times New Roman" w:hAnsi="Times New Roman" w:cs="Times New Roman"/>
          <w:b/>
          <w:bCs/>
          <w:sz w:val="24"/>
          <w:szCs w:val="24"/>
          <w:u w:val="single"/>
          <w:lang w:val="en-US"/>
        </w:rPr>
        <w:tab/>
        <w:t>Unit Cost</w:t>
      </w:r>
      <w:r w:rsidRPr="004751D6">
        <w:rPr>
          <w:rFonts w:ascii="Times New Roman" w:hAnsi="Times New Roman" w:cs="Times New Roman"/>
          <w:b/>
          <w:bCs/>
          <w:sz w:val="24"/>
          <w:szCs w:val="24"/>
          <w:u w:val="single"/>
          <w:lang w:val="en-US"/>
        </w:rPr>
        <w:tab/>
        <w:t>Total</w:t>
      </w:r>
    </w:p>
    <w:p w14:paraId="2A33ADFD" w14:textId="68C0DD61" w:rsidR="00E92F18"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 xml:space="preserve">June 1 </w:t>
      </w:r>
      <w:r w:rsidR="00DC2907" w:rsidRPr="004751D6">
        <w:rPr>
          <w:rFonts w:ascii="Times New Roman" w:hAnsi="Times New Roman" w:cs="Times New Roman"/>
          <w:sz w:val="24"/>
          <w:szCs w:val="24"/>
          <w:lang w:val="en-US"/>
        </w:rPr>
        <w:t>stock/inventory</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60</w:t>
      </w:r>
      <w:r w:rsidRPr="004751D6">
        <w:rPr>
          <w:rFonts w:ascii="Times New Roman" w:hAnsi="Times New Roman" w:cs="Times New Roman"/>
          <w:sz w:val="24"/>
          <w:szCs w:val="24"/>
          <w:lang w:val="en-US"/>
        </w:rPr>
        <w:tab/>
        <w:t>$30</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$1800</w:t>
      </w:r>
    </w:p>
    <w:p w14:paraId="4A894A5F" w14:textId="2B43D088" w:rsidR="00E92F18"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4 Purchase</w:t>
      </w:r>
      <w:r w:rsidRPr="004751D6">
        <w:rPr>
          <w:rFonts w:ascii="Times New Roman" w:hAnsi="Times New Roman" w:cs="Times New Roman"/>
          <w:sz w:val="24"/>
          <w:szCs w:val="24"/>
          <w:lang w:val="en-US"/>
        </w:rPr>
        <w:tab/>
      </w:r>
      <w:r w:rsidR="00DC2907" w:rsidRPr="004751D6">
        <w:rPr>
          <w:rFonts w:ascii="Times New Roman" w:hAnsi="Times New Roman" w:cs="Times New Roman"/>
          <w:sz w:val="24"/>
          <w:szCs w:val="24"/>
          <w:lang w:val="en-US"/>
        </w:rPr>
        <w:t>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120</w:t>
      </w:r>
      <w:r w:rsidRPr="004751D6">
        <w:rPr>
          <w:rFonts w:ascii="Times New Roman" w:hAnsi="Times New Roman" w:cs="Times New Roman"/>
          <w:sz w:val="24"/>
          <w:szCs w:val="24"/>
          <w:lang w:val="en-US"/>
        </w:rPr>
        <w:tab/>
        <w:t>$</w:t>
      </w:r>
      <w:r w:rsidR="00DA677F" w:rsidRPr="004751D6">
        <w:rPr>
          <w:rFonts w:ascii="Times New Roman" w:hAnsi="Times New Roman" w:cs="Times New Roman"/>
          <w:sz w:val="24"/>
          <w:szCs w:val="24"/>
          <w:lang w:val="en-US"/>
        </w:rPr>
        <w:t>31</w:t>
      </w:r>
      <w:r w:rsidR="00DA677F" w:rsidRPr="004751D6">
        <w:rPr>
          <w:rFonts w:ascii="Times New Roman" w:hAnsi="Times New Roman" w:cs="Times New Roman"/>
          <w:sz w:val="24"/>
          <w:szCs w:val="24"/>
          <w:lang w:val="en-US"/>
        </w:rPr>
        <w:tab/>
      </w:r>
      <w:r w:rsidR="00DA677F" w:rsidRPr="004751D6">
        <w:rPr>
          <w:rFonts w:ascii="Times New Roman" w:hAnsi="Times New Roman" w:cs="Times New Roman"/>
          <w:sz w:val="24"/>
          <w:szCs w:val="24"/>
          <w:lang w:val="en-US"/>
        </w:rPr>
        <w:tab/>
        <w:t>$</w:t>
      </w:r>
      <w:r w:rsidR="00CB66C4" w:rsidRPr="004751D6">
        <w:rPr>
          <w:rFonts w:ascii="Times New Roman" w:hAnsi="Times New Roman" w:cs="Times New Roman"/>
          <w:sz w:val="24"/>
          <w:szCs w:val="24"/>
          <w:lang w:val="en-US"/>
        </w:rPr>
        <w:t>3720</w:t>
      </w:r>
    </w:p>
    <w:p w14:paraId="12F11D52" w14:textId="63A3ACAC" w:rsidR="00E92F18"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June 22 Purchase</w:t>
      </w:r>
      <w:r w:rsidR="00DC2907" w:rsidRPr="004751D6">
        <w:rPr>
          <w:rFonts w:ascii="Times New Roman" w:hAnsi="Times New Roman" w:cs="Times New Roman"/>
          <w:sz w:val="24"/>
          <w:szCs w:val="24"/>
          <w:lang w:val="en-US"/>
        </w:rPr>
        <w:t>s</w:t>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t>75</w:t>
      </w:r>
      <w:r w:rsidR="00CB66C4" w:rsidRPr="004751D6">
        <w:rPr>
          <w:rFonts w:ascii="Times New Roman" w:hAnsi="Times New Roman" w:cs="Times New Roman"/>
          <w:sz w:val="24"/>
          <w:szCs w:val="24"/>
          <w:lang w:val="en-US"/>
        </w:rPr>
        <w:tab/>
        <w:t>$32</w:t>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t>$2400</w:t>
      </w:r>
    </w:p>
    <w:p w14:paraId="4851FC99" w14:textId="1B0C108A" w:rsidR="00E92F18"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 xml:space="preserve">TOTAL </w:t>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t>255</w:t>
      </w:r>
      <w:r w:rsidR="00CB66C4" w:rsidRPr="004751D6">
        <w:rPr>
          <w:rFonts w:ascii="Times New Roman" w:hAnsi="Times New Roman" w:cs="Times New Roman"/>
          <w:sz w:val="24"/>
          <w:szCs w:val="24"/>
          <w:lang w:val="en-US"/>
        </w:rPr>
        <w:tab/>
        <w:t>$31</w:t>
      </w:r>
      <w:r w:rsidR="00CB66C4" w:rsidRPr="004751D6">
        <w:rPr>
          <w:rFonts w:ascii="Times New Roman" w:hAnsi="Times New Roman" w:cs="Times New Roman"/>
          <w:sz w:val="24"/>
          <w:szCs w:val="24"/>
          <w:lang w:val="en-US"/>
        </w:rPr>
        <w:tab/>
      </w:r>
      <w:r w:rsidR="00CB66C4" w:rsidRPr="004751D6">
        <w:rPr>
          <w:rFonts w:ascii="Times New Roman" w:hAnsi="Times New Roman" w:cs="Times New Roman"/>
          <w:sz w:val="24"/>
          <w:szCs w:val="24"/>
          <w:lang w:val="en-US"/>
        </w:rPr>
        <w:tab/>
        <w:t>$7920</w:t>
      </w:r>
    </w:p>
    <w:p w14:paraId="38E34936" w14:textId="027C769C" w:rsidR="00CB66C4" w:rsidRPr="004751D6" w:rsidRDefault="00CB66C4" w:rsidP="00DD2451">
      <w:pPr>
        <w:spacing w:after="0" w:line="480" w:lineRule="auto"/>
        <w:rPr>
          <w:rFonts w:ascii="Times New Roman" w:hAnsi="Times New Roman" w:cs="Times New Roman"/>
          <w:sz w:val="24"/>
          <w:szCs w:val="24"/>
          <w:lang w:val="en-US"/>
        </w:rPr>
      </w:pPr>
    </w:p>
    <w:p w14:paraId="2EE322EF" w14:textId="13F2BA42" w:rsidR="004C289A"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COGs</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195</w:t>
      </w:r>
      <w:r w:rsidRPr="004751D6">
        <w:rPr>
          <w:rFonts w:ascii="Times New Roman" w:hAnsi="Times New Roman" w:cs="Times New Roman"/>
          <w:sz w:val="24"/>
          <w:szCs w:val="24"/>
          <w:lang w:val="en-US"/>
        </w:rPr>
        <w:tab/>
        <w:t>$31</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$6045</w:t>
      </w:r>
    </w:p>
    <w:p w14:paraId="61E043FA" w14:textId="1C17422C" w:rsidR="004C289A"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Ending Inventory</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60</w:t>
      </w:r>
      <w:r w:rsidRPr="004751D6">
        <w:rPr>
          <w:rFonts w:ascii="Times New Roman" w:hAnsi="Times New Roman" w:cs="Times New Roman"/>
          <w:sz w:val="24"/>
          <w:szCs w:val="24"/>
          <w:lang w:val="en-US"/>
        </w:rPr>
        <w:tab/>
        <w:t>$31</w:t>
      </w: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t>$1860</w:t>
      </w:r>
    </w:p>
    <w:p w14:paraId="2D991A16" w14:textId="77777777" w:rsidR="00000F91"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ab/>
      </w:r>
      <w:r w:rsidRPr="004751D6">
        <w:rPr>
          <w:rFonts w:ascii="Times New Roman" w:hAnsi="Times New Roman" w:cs="Times New Roman"/>
          <w:sz w:val="24"/>
          <w:szCs w:val="24"/>
          <w:lang w:val="en-US"/>
        </w:rPr>
        <w:tab/>
      </w:r>
    </w:p>
    <w:p w14:paraId="1E0D1E75" w14:textId="57568780" w:rsidR="00223CFB" w:rsidRPr="004751D6" w:rsidRDefault="005C2D1F"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lang w:val="en-US"/>
        </w:rPr>
        <w:t>Fuel Companies, Manufacturers, Agriculture (farmers), and Pharmaceutical are just a few examples of companies that would utilize the Average Cost.</w:t>
      </w:r>
    </w:p>
    <w:p w14:paraId="3C72FE39" w14:textId="77777777" w:rsidR="00223CFB" w:rsidRPr="004751D6" w:rsidRDefault="005C2D1F" w:rsidP="00DD2451">
      <w:pPr>
        <w:spacing w:after="0" w:line="480" w:lineRule="auto"/>
        <w:rPr>
          <w:rFonts w:ascii="Times New Roman" w:hAnsi="Times New Roman" w:cs="Times New Roman"/>
          <w:b/>
          <w:sz w:val="24"/>
          <w:szCs w:val="24"/>
          <w:lang w:val="en-US"/>
        </w:rPr>
      </w:pPr>
      <w:r w:rsidRPr="004751D6">
        <w:rPr>
          <w:rFonts w:ascii="Times New Roman" w:hAnsi="Times New Roman" w:cs="Times New Roman"/>
          <w:b/>
          <w:sz w:val="24"/>
          <w:szCs w:val="24"/>
          <w:lang w:val="en-US"/>
        </w:rPr>
        <w:t>First in, First out (FIFO)</w:t>
      </w:r>
    </w:p>
    <w:p w14:paraId="1BD8468E" w14:textId="0967B2EB" w:rsidR="00223CFB" w:rsidRPr="004751D6" w:rsidRDefault="00931C75"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lang w:val="en-US"/>
        </w:rPr>
        <w:t>The first in, first out (FIFO) inventory valuation scheme assumes that sales of items is organized in the order in which those items were received. the first items in inventory are the ones that move out first. This valuation approach suggests a greater inventory value when the inflation increases. However, it leads to</w:t>
      </w:r>
      <w:r w:rsidR="005C2D1F" w:rsidRPr="004751D6">
        <w:rPr>
          <w:rFonts w:ascii="Times New Roman" w:hAnsi="Times New Roman" w:cs="Times New Roman"/>
          <w:sz w:val="24"/>
          <w:szCs w:val="24"/>
          <w:lang w:val="en-US"/>
        </w:rPr>
        <w:t xml:space="preserve"> a more significant total revenue (taxable income),</w:t>
      </w:r>
      <w:r w:rsidRPr="004751D6">
        <w:rPr>
          <w:rFonts w:ascii="Times New Roman" w:hAnsi="Times New Roman" w:cs="Times New Roman"/>
          <w:sz w:val="24"/>
          <w:szCs w:val="24"/>
          <w:lang w:val="en-US"/>
        </w:rPr>
        <w:t xml:space="preserve"> and</w:t>
      </w:r>
      <w:r w:rsidR="005C2D1F" w:rsidRPr="004751D6">
        <w:rPr>
          <w:rFonts w:ascii="Times New Roman" w:hAnsi="Times New Roman" w:cs="Times New Roman"/>
          <w:sz w:val="24"/>
          <w:szCs w:val="24"/>
          <w:lang w:val="en-US"/>
        </w:rPr>
        <w:t xml:space="preserve"> a lower cost of goods sold (COGS). Grocery stores, clothes shops, and similar stores are examples of businesses that use FIFO. We would better indicate the value of inventory at the end of the balance sheet if we use FIFO, but using FIFO would raise net profits.</w:t>
      </w:r>
    </w:p>
    <w:p w14:paraId="4353CC22" w14:textId="43A38DAA" w:rsidR="00223CFB" w:rsidRPr="004751D6" w:rsidRDefault="005C2D1F" w:rsidP="00DD2451">
      <w:pPr>
        <w:spacing w:after="0" w:line="480" w:lineRule="auto"/>
        <w:rPr>
          <w:rFonts w:ascii="Times New Roman" w:hAnsi="Times New Roman" w:cs="Times New Roman"/>
          <w:b/>
          <w:sz w:val="24"/>
          <w:szCs w:val="24"/>
          <w:lang w:val="en-US"/>
        </w:rPr>
      </w:pPr>
      <w:r w:rsidRPr="004751D6">
        <w:rPr>
          <w:rFonts w:ascii="Times New Roman" w:hAnsi="Times New Roman" w:cs="Times New Roman"/>
          <w:b/>
          <w:sz w:val="24"/>
          <w:szCs w:val="24"/>
          <w:lang w:val="en-US"/>
        </w:rPr>
        <w:t>Last in, First Out (LIFO)</w:t>
      </w:r>
    </w:p>
    <w:p w14:paraId="4784B5B0" w14:textId="0B8888CD" w:rsidR="00223CFB" w:rsidRPr="004751D6" w:rsidRDefault="005C2D1F"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lang w:val="en-US"/>
        </w:rPr>
        <w:t xml:space="preserve">When all businesses are forced to follow the IFSB rather than GAAP, LIFO as a form of inventory valuation will become obsolete. This is due to more chances for errors with LIFO, and the taxable income is lower. The IFSB does not acknowledge that such a form of inventory accounting is appropriate. </w:t>
      </w:r>
      <w:r w:rsidR="00931C75" w:rsidRPr="004751D6">
        <w:rPr>
          <w:rFonts w:ascii="Times New Roman" w:hAnsi="Times New Roman" w:cs="Times New Roman"/>
          <w:sz w:val="24"/>
          <w:szCs w:val="24"/>
          <w:lang w:val="en-US"/>
        </w:rPr>
        <w:t>As a consequence, the LIFO method uses the current inventory price to calculate COGS. It results to sale of most recent inventory before the less expensive and initial stock. This practice however leads to a temporary profit advantage but a net loss when the old product reflects on the balance sheet</w:t>
      </w:r>
      <w:r w:rsidRPr="004751D6">
        <w:rPr>
          <w:rFonts w:ascii="Times New Roman" w:hAnsi="Times New Roman" w:cs="Times New Roman"/>
          <w:sz w:val="24"/>
          <w:szCs w:val="24"/>
          <w:lang w:val="en-US"/>
        </w:rPr>
        <w:t>.</w:t>
      </w:r>
    </w:p>
    <w:p w14:paraId="493AF1A3" w14:textId="7FCD784B" w:rsidR="00223CFB" w:rsidRPr="004751D6" w:rsidRDefault="005C2D1F" w:rsidP="00DD2451">
      <w:pPr>
        <w:spacing w:after="0" w:line="480" w:lineRule="auto"/>
        <w:rPr>
          <w:rFonts w:ascii="Times New Roman" w:hAnsi="Times New Roman" w:cs="Times New Roman"/>
          <w:sz w:val="24"/>
          <w:szCs w:val="24"/>
          <w:lang w:val="en-US"/>
        </w:rPr>
      </w:pPr>
      <w:r w:rsidRPr="004751D6">
        <w:rPr>
          <w:rFonts w:ascii="Times New Roman" w:hAnsi="Times New Roman" w:cs="Times New Roman"/>
          <w:sz w:val="24"/>
          <w:szCs w:val="24"/>
          <w:lang w:val="en-US"/>
        </w:rPr>
        <w:t>Specific Identification</w:t>
      </w:r>
    </w:p>
    <w:p w14:paraId="19185E37" w14:textId="7554C5BD" w:rsidR="00223CFB" w:rsidRPr="004751D6" w:rsidRDefault="005C2D1F" w:rsidP="00DD2451">
      <w:pPr>
        <w:spacing w:after="0" w:line="480" w:lineRule="auto"/>
        <w:ind w:firstLine="720"/>
        <w:rPr>
          <w:rFonts w:ascii="Times New Roman" w:hAnsi="Times New Roman" w:cs="Times New Roman"/>
          <w:sz w:val="24"/>
          <w:szCs w:val="24"/>
          <w:lang w:val="en-US"/>
        </w:rPr>
      </w:pPr>
      <w:r w:rsidRPr="004751D6">
        <w:rPr>
          <w:rFonts w:ascii="Times New Roman" w:hAnsi="Times New Roman" w:cs="Times New Roman"/>
          <w:sz w:val="24"/>
          <w:szCs w:val="24"/>
          <w:lang w:val="en-US"/>
        </w:rPr>
        <w:t>When various transactions can be segregated, this type of inventory method is applied. Each item is sold, as well as each item still in stock is monitored. The COGS will then require the cost of an item that must be bartered within a specific time frame. The most significant benefit is that the cost flow corresponds to the inventory flow. A significant drawback is that net profits can be easily interfered with and transactions manipulated.</w:t>
      </w:r>
    </w:p>
    <w:p w14:paraId="55C7AA14" w14:textId="77777777" w:rsidR="00147C7B" w:rsidRPr="004751D6" w:rsidRDefault="00147C7B" w:rsidP="00DD2451">
      <w:pPr>
        <w:spacing w:after="0" w:line="480" w:lineRule="auto"/>
        <w:ind w:firstLine="720"/>
        <w:rPr>
          <w:rFonts w:ascii="Times New Roman" w:hAnsi="Times New Roman" w:cs="Times New Roman"/>
          <w:sz w:val="24"/>
          <w:szCs w:val="24"/>
          <w:lang w:val="en-US"/>
        </w:rPr>
      </w:pPr>
    </w:p>
    <w:p w14:paraId="67D4B2B4" w14:textId="77777777" w:rsidR="00147C7B" w:rsidRPr="004751D6" w:rsidRDefault="00147C7B" w:rsidP="00DD2451">
      <w:pPr>
        <w:spacing w:after="0" w:line="480" w:lineRule="auto"/>
        <w:ind w:firstLine="720"/>
        <w:rPr>
          <w:rFonts w:ascii="Times New Roman" w:hAnsi="Times New Roman" w:cs="Times New Roman"/>
          <w:sz w:val="24"/>
          <w:szCs w:val="24"/>
          <w:lang w:val="en-US"/>
        </w:rPr>
      </w:pPr>
    </w:p>
    <w:p w14:paraId="23A82049" w14:textId="77777777" w:rsidR="00BC47E5" w:rsidRPr="004751D6" w:rsidRDefault="00BC47E5" w:rsidP="00DD2451">
      <w:pPr>
        <w:spacing w:after="0" w:line="480" w:lineRule="auto"/>
        <w:ind w:firstLine="720"/>
        <w:rPr>
          <w:rFonts w:ascii="Times New Roman" w:hAnsi="Times New Roman" w:cs="Times New Roman"/>
          <w:sz w:val="24"/>
          <w:szCs w:val="24"/>
          <w:lang w:val="en-US"/>
        </w:rPr>
      </w:pPr>
    </w:p>
    <w:p w14:paraId="03EB656B" w14:textId="77777777" w:rsidR="00BC47E5" w:rsidRPr="004751D6" w:rsidRDefault="00BC47E5" w:rsidP="00DD2451">
      <w:pPr>
        <w:spacing w:after="0" w:line="480" w:lineRule="auto"/>
        <w:ind w:firstLine="720"/>
        <w:rPr>
          <w:rFonts w:ascii="Times New Roman" w:hAnsi="Times New Roman" w:cs="Times New Roman"/>
          <w:sz w:val="24"/>
          <w:szCs w:val="24"/>
          <w:lang w:val="en-US"/>
        </w:rPr>
      </w:pPr>
    </w:p>
    <w:p w14:paraId="789E65A0"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6FADAE52"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75058216"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6F5C8166"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4ADD0630"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1C433B14"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40E956DB" w14:textId="77777777" w:rsidR="00BC47E5" w:rsidRPr="004751D6" w:rsidRDefault="00BC47E5" w:rsidP="00BC47E5">
      <w:pPr>
        <w:spacing w:after="0" w:line="480" w:lineRule="auto"/>
        <w:ind w:firstLine="720"/>
        <w:rPr>
          <w:rFonts w:ascii="Times New Roman" w:hAnsi="Times New Roman" w:cs="Times New Roman"/>
          <w:sz w:val="24"/>
          <w:szCs w:val="24"/>
          <w:lang w:val="en-US"/>
        </w:rPr>
      </w:pPr>
    </w:p>
    <w:p w14:paraId="65D8A3BE" w14:textId="77777777" w:rsidR="00147C7B" w:rsidRPr="004751D6" w:rsidRDefault="00147C7B" w:rsidP="00BC47E5">
      <w:pPr>
        <w:spacing w:after="0" w:line="480" w:lineRule="auto"/>
        <w:ind w:firstLine="720"/>
        <w:rPr>
          <w:rFonts w:ascii="Times New Roman" w:hAnsi="Times New Roman" w:cs="Times New Roman"/>
          <w:sz w:val="24"/>
          <w:szCs w:val="24"/>
          <w:lang w:val="en-US"/>
        </w:rPr>
      </w:pPr>
    </w:p>
    <w:p w14:paraId="5E6E5E31" w14:textId="52B5D385" w:rsidR="00147C7B" w:rsidRPr="004751D6" w:rsidRDefault="00147C7B" w:rsidP="00BC47E5">
      <w:pPr>
        <w:spacing w:after="0" w:line="480" w:lineRule="auto"/>
        <w:ind w:firstLine="720"/>
        <w:jc w:val="center"/>
        <w:rPr>
          <w:rFonts w:ascii="Times New Roman" w:hAnsi="Times New Roman" w:cs="Times New Roman"/>
          <w:sz w:val="24"/>
          <w:szCs w:val="24"/>
        </w:rPr>
      </w:pPr>
      <w:bookmarkStart w:id="0" w:name="_GoBack"/>
      <w:bookmarkEnd w:id="0"/>
      <w:r w:rsidRPr="004751D6">
        <w:rPr>
          <w:rFonts w:ascii="Times New Roman" w:hAnsi="Times New Roman" w:cs="Times New Roman"/>
          <w:sz w:val="24"/>
          <w:szCs w:val="24"/>
        </w:rPr>
        <w:t>References</w:t>
      </w:r>
    </w:p>
    <w:p w14:paraId="34810CB9" w14:textId="38E6D3D2" w:rsidR="00147C7B" w:rsidRPr="004751D6" w:rsidRDefault="00147C7B" w:rsidP="00BC47E5">
      <w:pPr>
        <w:spacing w:after="0" w:line="480" w:lineRule="auto"/>
        <w:rPr>
          <w:rFonts w:ascii="Times New Roman" w:hAnsi="Times New Roman" w:cs="Times New Roman"/>
          <w:sz w:val="24"/>
          <w:szCs w:val="24"/>
          <w:lang w:val="en-GB"/>
        </w:rPr>
      </w:pPr>
      <w:r w:rsidRPr="004751D6">
        <w:rPr>
          <w:rFonts w:ascii="Times New Roman" w:hAnsi="Times New Roman" w:cs="Times New Roman"/>
          <w:sz w:val="24"/>
          <w:szCs w:val="24"/>
        </w:rPr>
        <w:t xml:space="preserve">Average Cost (AVCO) Method | Example | Inventory Valuation. (n.d.). Retrieved from </w:t>
      </w:r>
      <w:r w:rsidRPr="004751D6">
        <w:rPr>
          <w:rFonts w:ascii="Times New Roman" w:hAnsi="Times New Roman" w:cs="Times New Roman"/>
          <w:sz w:val="24"/>
          <w:szCs w:val="24"/>
        </w:rPr>
        <w:tab/>
      </w:r>
      <w:hyperlink r:id="rId7" w:history="1">
        <w:r w:rsidR="003259DF" w:rsidRPr="004751D6">
          <w:rPr>
            <w:rStyle w:val="Hyperlink"/>
            <w:rFonts w:ascii="Times New Roman" w:hAnsi="Times New Roman" w:cs="Times New Roman"/>
            <w:sz w:val="24"/>
            <w:szCs w:val="24"/>
          </w:rPr>
          <w:t>http://accountingexplained.com/financial/inventories/avco-method</w:t>
        </w:r>
      </w:hyperlink>
      <w:r w:rsidR="003259DF" w:rsidRPr="004751D6">
        <w:rPr>
          <w:rFonts w:ascii="Times New Roman" w:hAnsi="Times New Roman" w:cs="Times New Roman"/>
          <w:sz w:val="24"/>
          <w:szCs w:val="24"/>
          <w:lang w:val="en-GB"/>
        </w:rPr>
        <w:t xml:space="preserve"> </w:t>
      </w:r>
      <w:r w:rsidRPr="004751D6">
        <w:rPr>
          <w:rFonts w:ascii="Times New Roman" w:hAnsi="Times New Roman" w:cs="Times New Roman"/>
          <w:sz w:val="24"/>
          <w:szCs w:val="24"/>
        </w:rPr>
        <w:t xml:space="preserve"> </w:t>
      </w:r>
      <w:r w:rsidR="003259DF" w:rsidRPr="004751D6">
        <w:rPr>
          <w:rFonts w:ascii="Times New Roman" w:hAnsi="Times New Roman" w:cs="Times New Roman"/>
          <w:sz w:val="24"/>
          <w:szCs w:val="24"/>
          <w:lang w:val="en-GB"/>
        </w:rPr>
        <w:t xml:space="preserve"> </w:t>
      </w:r>
    </w:p>
    <w:p w14:paraId="430E8FA2" w14:textId="647FB4A3" w:rsidR="00147C7B" w:rsidRPr="004751D6" w:rsidRDefault="00147C7B" w:rsidP="00BC47E5">
      <w:pPr>
        <w:spacing w:after="0" w:line="480" w:lineRule="auto"/>
        <w:rPr>
          <w:rFonts w:ascii="Times New Roman" w:hAnsi="Times New Roman" w:cs="Times New Roman"/>
          <w:sz w:val="24"/>
          <w:szCs w:val="24"/>
          <w:lang w:val="en-GB"/>
        </w:rPr>
      </w:pPr>
      <w:r w:rsidRPr="004751D6">
        <w:rPr>
          <w:rFonts w:ascii="Times New Roman" w:hAnsi="Times New Roman" w:cs="Times New Roman"/>
          <w:sz w:val="24"/>
          <w:szCs w:val="24"/>
        </w:rPr>
        <w:t xml:space="preserve">Specific identification method - explanation, example, advantages and disadvantages | </w:t>
      </w:r>
      <w:r w:rsidR="00183809" w:rsidRPr="004751D6">
        <w:rPr>
          <w:rFonts w:ascii="Times New Roman" w:hAnsi="Times New Roman" w:cs="Times New Roman"/>
          <w:sz w:val="24"/>
          <w:szCs w:val="24"/>
        </w:rPr>
        <w:tab/>
      </w:r>
      <w:r w:rsidRPr="004751D6">
        <w:rPr>
          <w:rFonts w:ascii="Times New Roman" w:hAnsi="Times New Roman" w:cs="Times New Roman"/>
          <w:sz w:val="24"/>
          <w:szCs w:val="24"/>
        </w:rPr>
        <w:t xml:space="preserve">Accounting </w:t>
      </w:r>
      <w:r w:rsidRPr="004751D6">
        <w:rPr>
          <w:rFonts w:ascii="Times New Roman" w:hAnsi="Times New Roman" w:cs="Times New Roman"/>
          <w:sz w:val="24"/>
          <w:szCs w:val="24"/>
        </w:rPr>
        <w:tab/>
      </w:r>
      <w:r w:rsidRPr="004751D6">
        <w:rPr>
          <w:rFonts w:ascii="Times New Roman" w:hAnsi="Times New Roman" w:cs="Times New Roman"/>
          <w:sz w:val="24"/>
          <w:szCs w:val="24"/>
        </w:rPr>
        <w:t xml:space="preserve">For Management. (n.d.). Retrieved from </w:t>
      </w:r>
      <w:r w:rsidRPr="004751D6">
        <w:rPr>
          <w:rFonts w:ascii="Times New Roman" w:hAnsi="Times New Roman" w:cs="Times New Roman"/>
          <w:sz w:val="24"/>
          <w:szCs w:val="24"/>
        </w:rPr>
        <w:tab/>
      </w:r>
      <w:hyperlink r:id="rId8" w:history="1">
        <w:r w:rsidR="003259DF" w:rsidRPr="004751D6">
          <w:rPr>
            <w:rStyle w:val="Hyperlink"/>
            <w:rFonts w:ascii="Times New Roman" w:hAnsi="Times New Roman" w:cs="Times New Roman"/>
            <w:sz w:val="24"/>
            <w:szCs w:val="24"/>
          </w:rPr>
          <w:t>http://www.accountingformanagement.org/specific-identification-method/</w:t>
        </w:r>
      </w:hyperlink>
      <w:r w:rsidR="003259DF" w:rsidRPr="004751D6">
        <w:rPr>
          <w:rFonts w:ascii="Times New Roman" w:hAnsi="Times New Roman" w:cs="Times New Roman"/>
          <w:sz w:val="24"/>
          <w:szCs w:val="24"/>
          <w:lang w:val="en-GB"/>
        </w:rPr>
        <w:t xml:space="preserve"> </w:t>
      </w:r>
    </w:p>
    <w:sectPr w:rsidR="00147C7B" w:rsidRPr="004751D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7D5F1" w14:textId="77777777" w:rsidR="00B929DA" w:rsidRDefault="00B929DA" w:rsidP="000001CF">
      <w:pPr>
        <w:spacing w:after="0" w:line="240" w:lineRule="auto"/>
      </w:pPr>
      <w:r>
        <w:separator/>
      </w:r>
    </w:p>
  </w:endnote>
  <w:endnote w:type="continuationSeparator" w:id="0">
    <w:p w14:paraId="1EE0C41F" w14:textId="77777777" w:rsidR="00B929DA" w:rsidRDefault="00B929DA" w:rsidP="00000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0FFEB" w14:textId="77777777" w:rsidR="00B929DA" w:rsidRDefault="00B929DA" w:rsidP="000001CF">
      <w:pPr>
        <w:spacing w:after="0" w:line="240" w:lineRule="auto"/>
      </w:pPr>
      <w:r>
        <w:separator/>
      </w:r>
    </w:p>
  </w:footnote>
  <w:footnote w:type="continuationSeparator" w:id="0">
    <w:p w14:paraId="46BA1FB6" w14:textId="77777777" w:rsidR="00B929DA" w:rsidRDefault="00B929DA" w:rsidP="00000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270451"/>
      <w:docPartObj>
        <w:docPartGallery w:val="Page Numbers (Top of Page)"/>
        <w:docPartUnique/>
      </w:docPartObj>
    </w:sdtPr>
    <w:sdtEndPr>
      <w:rPr>
        <w:noProof/>
      </w:rPr>
    </w:sdtEndPr>
    <w:sdtContent>
      <w:p w14:paraId="6B830FD6" w14:textId="05F3A1FA" w:rsidR="000001CF" w:rsidRDefault="000001CF">
        <w:pPr>
          <w:pStyle w:val="Header"/>
          <w:jc w:val="right"/>
        </w:pPr>
        <w:r>
          <w:fldChar w:fldCharType="begin"/>
        </w:r>
        <w:r>
          <w:instrText xml:space="preserve"> PAGE   \* MERGEFORMAT </w:instrText>
        </w:r>
        <w:r>
          <w:fldChar w:fldCharType="separate"/>
        </w:r>
        <w:r w:rsidR="00B929DA">
          <w:rPr>
            <w:noProof/>
          </w:rPr>
          <w:t>1</w:t>
        </w:r>
        <w:r>
          <w:rPr>
            <w:noProof/>
          </w:rPr>
          <w:fldChar w:fldCharType="end"/>
        </w:r>
      </w:p>
    </w:sdtContent>
  </w:sdt>
  <w:p w14:paraId="5F2826BF" w14:textId="77777777" w:rsidR="000001CF" w:rsidRDefault="000001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BC6"/>
    <w:rsid w:val="000001CF"/>
    <w:rsid w:val="00000F91"/>
    <w:rsid w:val="000D3BC6"/>
    <w:rsid w:val="00144408"/>
    <w:rsid w:val="00147C7B"/>
    <w:rsid w:val="00183809"/>
    <w:rsid w:val="001A1714"/>
    <w:rsid w:val="00223CFB"/>
    <w:rsid w:val="002D384F"/>
    <w:rsid w:val="003259DF"/>
    <w:rsid w:val="003752AB"/>
    <w:rsid w:val="004751D6"/>
    <w:rsid w:val="004C289A"/>
    <w:rsid w:val="00505E96"/>
    <w:rsid w:val="0052388D"/>
    <w:rsid w:val="005C2D1F"/>
    <w:rsid w:val="007D1BB9"/>
    <w:rsid w:val="008B01FE"/>
    <w:rsid w:val="00931C75"/>
    <w:rsid w:val="00B929DA"/>
    <w:rsid w:val="00BC47E5"/>
    <w:rsid w:val="00BF50A7"/>
    <w:rsid w:val="00CB66C4"/>
    <w:rsid w:val="00DA677F"/>
    <w:rsid w:val="00DC2907"/>
    <w:rsid w:val="00DD2451"/>
    <w:rsid w:val="00E052E4"/>
    <w:rsid w:val="00E92F18"/>
    <w:rsid w:val="00FC5117"/>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CE2E"/>
  <w15:chartTrackingRefBased/>
  <w15:docId w15:val="{3720EB2C-7610-4746-830F-F0801C12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9DF"/>
    <w:rPr>
      <w:color w:val="0563C1" w:themeColor="hyperlink"/>
      <w:u w:val="single"/>
    </w:rPr>
  </w:style>
  <w:style w:type="paragraph" w:styleId="Header">
    <w:name w:val="header"/>
    <w:basedOn w:val="Normal"/>
    <w:link w:val="HeaderChar"/>
    <w:uiPriority w:val="99"/>
    <w:unhideWhenUsed/>
    <w:rsid w:val="00000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1CF"/>
  </w:style>
  <w:style w:type="paragraph" w:styleId="Footer">
    <w:name w:val="footer"/>
    <w:basedOn w:val="Normal"/>
    <w:link w:val="FooterChar"/>
    <w:uiPriority w:val="99"/>
    <w:unhideWhenUsed/>
    <w:rsid w:val="00000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ountingformanagement.org/specific-identification-method/" TargetMode="External"/><Relationship Id="rId3" Type="http://schemas.openxmlformats.org/officeDocument/2006/relationships/settings" Target="settings.xml"/><Relationship Id="rId7" Type="http://schemas.openxmlformats.org/officeDocument/2006/relationships/hyperlink" Target="http://accountingexplained.com/financial/inventories/avco-metho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E3A8094-E47B-4396-B804-C94D851B6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antonymuiah024@gmail.com</dc:creator>
  <cp:lastModifiedBy>ANTO</cp:lastModifiedBy>
  <cp:revision>3</cp:revision>
  <dcterms:created xsi:type="dcterms:W3CDTF">2021-03-12T21:29:00Z</dcterms:created>
  <dcterms:modified xsi:type="dcterms:W3CDTF">2021-03-12T21:30:00Z</dcterms:modified>
</cp:coreProperties>
</file>