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1A6F" w:rsidRDefault="00531A6F" w:rsidP="00531A6F">
      <w:pPr>
        <w:autoSpaceDE w:val="0"/>
        <w:autoSpaceDN w:val="0"/>
        <w:adjustRightInd w:val="0"/>
        <w:spacing w:line="240" w:lineRule="atLeast"/>
        <w:ind w:left="0" w:right="0" w:firstLine="0"/>
        <w:rPr>
          <w:rFonts w:ascii="Segoe UI" w:eastAsiaTheme="minorEastAsia" w:hAnsi="Segoe UI" w:cs="Segoe UI"/>
          <w:color w:val="333333"/>
          <w:sz w:val="21"/>
          <w:szCs w:val="21"/>
        </w:rPr>
      </w:pPr>
      <w:bookmarkStart w:id="0" w:name="_GoBack"/>
      <w:r>
        <w:rPr>
          <w:rFonts w:ascii="Segoe UI" w:eastAsiaTheme="minorEastAsia" w:hAnsi="Segoe UI" w:cs="Segoe UI"/>
          <w:color w:val="333333"/>
          <w:sz w:val="21"/>
          <w:szCs w:val="21"/>
        </w:rPr>
        <w:t>University of Texas, Rio Grande Valley - CLSC 2429</w:t>
      </w:r>
    </w:p>
    <w:p w:rsidR="00CA2B3C" w:rsidRDefault="00DB2FCF">
      <w:pPr>
        <w:numPr>
          <w:ilvl w:val="0"/>
          <w:numId w:val="1"/>
        </w:numPr>
        <w:ind w:right="93" w:hanging="414"/>
      </w:pPr>
      <w:r>
        <w:t xml:space="preserve">A small gram negative coccobacilli is isolated from a 3yr old, diagnosed with meningitis has the following characterics. It is oxidase positive, catalase positive, and requires X and V factors. Most probable organism: </w:t>
      </w:r>
      <w:r>
        <w:rPr>
          <w:b/>
          <w:u w:val="single" w:color="000000"/>
        </w:rPr>
        <w:t>Hemophilus influenza</w:t>
      </w:r>
      <w:r>
        <w:rPr>
          <w:noProof/>
          <w:sz w:val="22"/>
        </w:rPr>
        <mc:AlternateContent>
          <mc:Choice Requires="wpg">
            <w:drawing>
              <wp:anchor distT="0" distB="0" distL="114300" distR="114300" simplePos="0" relativeHeight="251657216" behindDoc="0" locked="0" layoutInCell="1" allowOverlap="1">
                <wp:simplePos x="0" y="0"/>
                <wp:positionH relativeFrom="column">
                  <wp:posOffset>324041</wp:posOffset>
                </wp:positionH>
                <wp:positionV relativeFrom="paragraph">
                  <wp:posOffset>-911224</wp:posOffset>
                </wp:positionV>
                <wp:extent cx="7052311" cy="10795"/>
                <wp:effectExtent l="0" t="0" r="0" b="0"/>
                <wp:wrapTopAndBottom/>
                <wp:docPr id="1303" name="Group 1303"/>
                <wp:cNvGraphicFramePr/>
                <a:graphic xmlns:a="http://schemas.openxmlformats.org/drawingml/2006/main">
                  <a:graphicData uri="http://schemas.microsoft.com/office/word/2010/wordprocessingGroup">
                    <wpg:wgp>
                      <wpg:cNvGrpSpPr/>
                      <wpg:grpSpPr>
                        <a:xfrm>
                          <a:off x="0" y="0"/>
                          <a:ext cx="7052311" cy="10795"/>
                          <a:chOff x="0" y="0"/>
                          <a:chExt cx="7052311" cy="10795"/>
                        </a:xfrm>
                      </wpg:grpSpPr>
                      <wps:wsp>
                        <wps:cNvPr id="7" name="Shape 7"/>
                        <wps:cNvSpPr/>
                        <wps:spPr>
                          <a:xfrm>
                            <a:off x="0" y="0"/>
                            <a:ext cx="7052311" cy="0"/>
                          </a:xfrm>
                          <a:custGeom>
                            <a:avLst/>
                            <a:gdLst/>
                            <a:ahLst/>
                            <a:cxnLst/>
                            <a:rect l="0" t="0" r="0" b="0"/>
                            <a:pathLst>
                              <a:path w="7052311">
                                <a:moveTo>
                                  <a:pt x="7052311" y="0"/>
                                </a:moveTo>
                                <a:lnTo>
                                  <a:pt x="0"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68B0A427" id="Group 1303" o:spid="_x0000_s1026" style="position:absolute;margin-left:25.5pt;margin-top:-71.75pt;width:555.3pt;height:.85pt;z-index:251657216" coordsize="70523,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">
                <v:shape id="Shape 7" o:spid="_x0000_s1027" style="position:absolute;width:70523;height:0;visibility:visible;mso-wrap-style:square;v-text-anchor:top" coordsize="7052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DOvL0A&#10;AADaAAAADwAAAGRycy9kb3ducmV2LnhtbESPwQrCMBBE74L/EFbwpqkiKtUoKgh6KVj1vjRrW2w2&#10;pYla/94IgsdhZt4wy3VrKvGkxpWWFYyGEQjizOqScwWX834wB+E8ssbKMil4k4P1qttZYqzti0/0&#10;TH0uAoRdjAoK7+tYSpcVZNANbU0cvJttDPogm1zqBl8Bbio5jqKpNFhyWCiwpl1B2T19GAXT43aT&#10;nGdJZi2d8tHkmlR1Skr1e+1mAcJT6//hX/ugFczgeyXcALn6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g0DOvL0AAADaAAAADwAAAAAAAAAAAAAAAACYAgAAZHJzL2Rvd25yZXYu&#10;eG1sUEsFBgAAAAAEAAQA9QAAAIIDAAAAAA==&#10;" path="m7052311,l,e" filled="f" strokeweight=".85pt">
                  <v:stroke miterlimit="83231f" joinstyle="miter" endcap="square"/>
                  <v:path arrowok="t" textboxrect="0,0,7052311,0"/>
                </v:shape>
                <w10:wrap type="topAndBottom"/>
              </v:group>
            </w:pict>
          </mc:Fallback>
        </mc:AlternateContent>
      </w:r>
    </w:p>
    <w:p w:rsidR="00CA2B3C" w:rsidRDefault="00DB2FCF">
      <w:pPr>
        <w:numPr>
          <w:ilvl w:val="0"/>
          <w:numId w:val="1"/>
        </w:numPr>
        <w:ind w:right="93" w:hanging="414"/>
      </w:pPr>
      <w:r>
        <w:t>What process throat swabs for a streptococcus culture. The medium of choice is?</w:t>
      </w:r>
    </w:p>
    <w:p w:rsidR="00CA2B3C" w:rsidRDefault="00DB2FCF">
      <w:pPr>
        <w:spacing w:line="239" w:lineRule="auto"/>
        <w:ind w:hanging="10"/>
      </w:pPr>
      <w:r>
        <w:rPr>
          <w:b/>
          <w:u w:val="single" w:color="000000"/>
        </w:rPr>
        <w:t xml:space="preserve">Sheep blood agar plates </w:t>
      </w:r>
    </w:p>
    <w:p w:rsidR="00CA2B3C" w:rsidRDefault="00DB2FCF">
      <w:pPr>
        <w:numPr>
          <w:ilvl w:val="0"/>
          <w:numId w:val="1"/>
        </w:numPr>
        <w:ind w:right="93" w:hanging="414"/>
      </w:pPr>
      <w:r>
        <w:t>The three basic types of hemolysis displayed by streptococci that are pathogenic are:</w:t>
      </w:r>
    </w:p>
    <w:p w:rsidR="00CA2B3C" w:rsidRDefault="00DB2FCF">
      <w:pPr>
        <w:spacing w:line="239" w:lineRule="auto"/>
        <w:ind w:hanging="10"/>
      </w:pPr>
      <w:r>
        <w:rPr>
          <w:b/>
          <w:u w:val="single" w:color="000000"/>
        </w:rPr>
        <w:t xml:space="preserve">Beta hemolysis (complete lysis) Alpha(incomplete) Gamma(no hemolysis) </w:t>
      </w:r>
    </w:p>
    <w:p w:rsidR="00CA2B3C" w:rsidRDefault="00DB2FCF">
      <w:pPr>
        <w:numPr>
          <w:ilvl w:val="0"/>
          <w:numId w:val="1"/>
        </w:numPr>
        <w:ind w:right="93" w:hanging="414"/>
      </w:pPr>
      <w:r>
        <w:t xml:space="preserve">The otpchin disk is used in the indetification of: </w:t>
      </w:r>
      <w:r>
        <w:rPr>
          <w:b/>
          <w:u w:val="single" w:color="000000"/>
        </w:rPr>
        <w:t>Streptococcus pneumonia</w:t>
      </w:r>
    </w:p>
    <w:p w:rsidR="00CA2B3C" w:rsidRDefault="00DB2FCF">
      <w:pPr>
        <w:numPr>
          <w:ilvl w:val="0"/>
          <w:numId w:val="1"/>
        </w:numPr>
        <w:ind w:right="93" w:hanging="414"/>
      </w:pPr>
      <w:r>
        <w:t xml:space="preserve">A beta hemolytic gram positive cocci was isolated from the CSF of a 2 dat old infant with signs of meningitis. The organism was negative to bacitracin disk on SBA. Which organism is this most likely? </w:t>
      </w:r>
      <w:r>
        <w:rPr>
          <w:b/>
          <w:u w:val="single" w:color="000000"/>
        </w:rPr>
        <w:t>Streptococcus agalactiae</w:t>
      </w:r>
    </w:p>
    <w:p w:rsidR="00CA2B3C" w:rsidRDefault="00DB2FCF">
      <w:pPr>
        <w:numPr>
          <w:ilvl w:val="0"/>
          <w:numId w:val="1"/>
        </w:numPr>
        <w:ind w:right="93" w:hanging="414"/>
      </w:pPr>
      <w:r>
        <w:t xml:space="preserve">Two common causes of bacterial meningitis are: </w:t>
      </w:r>
      <w:r>
        <w:rPr>
          <w:b/>
          <w:u w:val="single" w:color="000000"/>
        </w:rPr>
        <w:t>N. meningitis/ Strep. Agalactiae</w:t>
      </w:r>
    </w:p>
    <w:p w:rsidR="00CA2B3C" w:rsidRDefault="00DB2FCF">
      <w:pPr>
        <w:numPr>
          <w:ilvl w:val="0"/>
          <w:numId w:val="1"/>
        </w:numPr>
        <w:ind w:right="93" w:hanging="414"/>
      </w:pPr>
      <w:r>
        <w:t xml:space="preserve">The type of hemolysis produced by Streptococcus pneumonia is: </w:t>
      </w:r>
      <w:r>
        <w:rPr>
          <w:b/>
          <w:u w:val="single" w:color="000000"/>
        </w:rPr>
        <w:t>Alpha hemolysis</w:t>
      </w:r>
    </w:p>
    <w:p w:rsidR="00CA2B3C" w:rsidRDefault="00DB2FCF">
      <w:pPr>
        <w:numPr>
          <w:ilvl w:val="0"/>
          <w:numId w:val="1"/>
        </w:numPr>
        <w:ind w:right="93" w:hanging="414"/>
      </w:pPr>
      <w:r>
        <w:t xml:space="preserve">The phenomenon of satellitism occurs with which two organisms? </w:t>
      </w:r>
      <w:r>
        <w:rPr>
          <w:b/>
          <w:u w:val="single" w:color="000000"/>
        </w:rPr>
        <w:t xml:space="preserve">S. aureus and H. influenza </w:t>
      </w:r>
    </w:p>
    <w:p w:rsidR="00CA2B3C" w:rsidRDefault="00DB2FCF">
      <w:pPr>
        <w:numPr>
          <w:ilvl w:val="0"/>
          <w:numId w:val="1"/>
        </w:numPr>
        <w:ind w:right="93" w:hanging="414"/>
      </w:pPr>
      <w:r>
        <w:t>Which of the following mid-stream clean catch urine culture indicated the patient most probabl jas a UTI?</w:t>
      </w:r>
    </w:p>
    <w:p w:rsidR="00CA2B3C" w:rsidRDefault="00DB2FCF">
      <w:pPr>
        <w:spacing w:line="239" w:lineRule="auto"/>
        <w:ind w:hanging="10"/>
      </w:pPr>
      <w:r>
        <w:rPr>
          <w:b/>
          <w:u w:val="single" w:color="000000"/>
        </w:rPr>
        <w:t>,000 CFU/ml</w:t>
      </w:r>
    </w:p>
    <w:p w:rsidR="00CA2B3C" w:rsidRDefault="00DB2FCF">
      <w:pPr>
        <w:numPr>
          <w:ilvl w:val="0"/>
          <w:numId w:val="1"/>
        </w:numPr>
        <w:ind w:right="93" w:hanging="414"/>
      </w:pPr>
      <w:r>
        <w:t xml:space="preserve">A 17 yr old female is seen in the ER with classic symptoms of UTI. The isolated organism gram positive cocci in clusters, catalae positive coagulase negative and resistant to novobiocin. One of the most likely causative organisms is: </w:t>
      </w:r>
    </w:p>
    <w:p w:rsidR="00CA2B3C" w:rsidRDefault="00DB2FCF">
      <w:pPr>
        <w:spacing w:line="239" w:lineRule="auto"/>
        <w:ind w:hanging="10"/>
      </w:pPr>
      <w:r>
        <w:rPr>
          <w:b/>
          <w:u w:val="single" w:color="000000"/>
        </w:rPr>
        <w:t>Staphylococcus saprophyticus</w:t>
      </w:r>
    </w:p>
    <w:p w:rsidR="00CA2B3C" w:rsidRDefault="00DB2FCF">
      <w:pPr>
        <w:numPr>
          <w:ilvl w:val="0"/>
          <w:numId w:val="1"/>
        </w:numPr>
        <w:ind w:right="93" w:hanging="414"/>
      </w:pPr>
      <w:r>
        <w:t xml:space="preserve">Mannitol salt agar is used to isolate the organism and it ferments mannitol as seen with the yellow colonies on the plate. This organism is most likely: </w:t>
      </w:r>
      <w:r>
        <w:rPr>
          <w:b/>
          <w:u w:val="single" w:color="000000"/>
        </w:rPr>
        <w:t>Staphylococcus aureus</w:t>
      </w:r>
    </w:p>
    <w:p w:rsidR="00CA2B3C" w:rsidRDefault="00DB2FCF">
      <w:pPr>
        <w:numPr>
          <w:ilvl w:val="0"/>
          <w:numId w:val="1"/>
        </w:numPr>
        <w:ind w:right="93" w:hanging="414"/>
      </w:pPr>
      <w:r>
        <w:t xml:space="preserve">You perform a slide coagulase test on a gram positive cocci organism from SBA plate. The organism clumps and you report as coagulase positive, The most probable organism is: </w:t>
      </w:r>
      <w:r>
        <w:rPr>
          <w:b/>
          <w:u w:val="single" w:color="000000"/>
        </w:rPr>
        <w:t>Staphylococcus aureus</w:t>
      </w:r>
    </w:p>
    <w:p w:rsidR="00CA2B3C" w:rsidRDefault="00DB2FCF">
      <w:pPr>
        <w:numPr>
          <w:ilvl w:val="0"/>
          <w:numId w:val="1"/>
        </w:numPr>
        <w:ind w:right="93" w:hanging="414"/>
      </w:pPr>
      <w:r>
        <w:t xml:space="preserve">TSI media include: </w:t>
      </w:r>
      <w:r>
        <w:rPr>
          <w:b/>
          <w:u w:val="single" w:color="000000"/>
        </w:rPr>
        <w:t>Iron</w:t>
      </w:r>
    </w:p>
    <w:p w:rsidR="00CA2B3C" w:rsidRDefault="00DB2FCF">
      <w:pPr>
        <w:numPr>
          <w:ilvl w:val="0"/>
          <w:numId w:val="1"/>
        </w:numPr>
        <w:ind w:right="93" w:hanging="414"/>
      </w:pPr>
      <w:r>
        <w:t>Tne IMViC reaction differentiates:</w:t>
      </w:r>
    </w:p>
    <w:p w:rsidR="00CA2B3C" w:rsidRDefault="00DB2FCF">
      <w:pPr>
        <w:spacing w:line="239" w:lineRule="auto"/>
        <w:ind w:hanging="10"/>
      </w:pPr>
      <w:r>
        <w:rPr>
          <w:b/>
          <w:u w:val="single" w:color="000000"/>
        </w:rPr>
        <w:t>Escherichia from other Enterobacteriaceae</w:t>
      </w:r>
    </w:p>
    <w:p w:rsidR="00CA2B3C" w:rsidRDefault="00DB2FCF">
      <w:pPr>
        <w:numPr>
          <w:ilvl w:val="0"/>
          <w:numId w:val="1"/>
        </w:numPr>
        <w:ind w:right="93" w:hanging="414"/>
      </w:pPr>
      <w:r>
        <w:t xml:space="preserve">When identifying a Salmonella species from a Proteus species since both are non lactose producers and both produce H2S one would perform a: </w:t>
      </w:r>
      <w:r>
        <w:rPr>
          <w:b/>
          <w:u w:val="single" w:color="000000"/>
        </w:rPr>
        <w:t>Citrate test</w:t>
      </w:r>
    </w:p>
    <w:p w:rsidR="00CA2B3C" w:rsidRDefault="00DB2FCF">
      <w:pPr>
        <w:numPr>
          <w:ilvl w:val="0"/>
          <w:numId w:val="1"/>
        </w:numPr>
        <w:ind w:right="93" w:hanging="414"/>
      </w:pPr>
      <w:r>
        <w:t xml:space="preserve">A non lactose fermenting organism such as Shigella from a stool culture is suspected on a HE, or XLD plate when the following colony type is seen: </w:t>
      </w:r>
      <w:r>
        <w:rPr>
          <w:b/>
          <w:u w:val="single" w:color="000000"/>
        </w:rPr>
        <w:t>A green clear colony or clear red colonies</w:t>
      </w:r>
    </w:p>
    <w:p w:rsidR="00CA2B3C" w:rsidRDefault="00DB2FCF">
      <w:pPr>
        <w:numPr>
          <w:ilvl w:val="0"/>
          <w:numId w:val="1"/>
        </w:numPr>
        <w:ind w:right="93" w:hanging="414"/>
      </w:pPr>
      <w:r>
        <w:t>Syphilis is caused by:</w:t>
      </w:r>
    </w:p>
    <w:p w:rsidR="00CA2B3C" w:rsidRDefault="00DB2FCF">
      <w:pPr>
        <w:spacing w:line="239" w:lineRule="auto"/>
        <w:ind w:hanging="10"/>
      </w:pPr>
      <w:r>
        <w:rPr>
          <w:b/>
          <w:u w:val="single" w:color="000000"/>
        </w:rPr>
        <w:t>Treponema palladium</w:t>
      </w:r>
    </w:p>
    <w:p w:rsidR="00CA2B3C" w:rsidRDefault="00DB2FCF">
      <w:pPr>
        <w:numPr>
          <w:ilvl w:val="0"/>
          <w:numId w:val="1"/>
        </w:numPr>
        <w:ind w:right="93" w:hanging="414"/>
      </w:pPr>
      <w:r>
        <w:t xml:space="preserve">Enrichment broth is used to enhance stool culture recovery of pathogens by: </w:t>
      </w:r>
      <w:r>
        <w:rPr>
          <w:b/>
          <w:u w:val="single" w:color="000000"/>
        </w:rPr>
        <w:t>Suppressing normal enteric growth</w:t>
      </w:r>
    </w:p>
    <w:p w:rsidR="00CA2B3C" w:rsidRDefault="00DB2FCF">
      <w:pPr>
        <w:numPr>
          <w:ilvl w:val="0"/>
          <w:numId w:val="1"/>
        </w:numPr>
        <w:ind w:right="93" w:hanging="414"/>
      </w:pPr>
      <w:r>
        <w:t xml:space="preserve">A non lactose fermenting organism such as Salmonella from a stool sample is suspected on a HE, or XLD plate when the following colony type is seen: </w:t>
      </w:r>
      <w:r>
        <w:rPr>
          <w:b/>
          <w:u w:val="single" w:color="000000"/>
        </w:rPr>
        <w:t>A green clear colony with black center or red clear colony or a NLF with black center</w:t>
      </w:r>
    </w:p>
    <w:p w:rsidR="00CA2B3C" w:rsidRDefault="00DB2FCF">
      <w:pPr>
        <w:numPr>
          <w:ilvl w:val="0"/>
          <w:numId w:val="1"/>
        </w:numPr>
        <w:ind w:right="93" w:hanging="414"/>
      </w:pPr>
      <w:r>
        <w:t xml:space="preserve">When a urine culture shows no growth on the TSA or SBA plate, no growth on the MAC plate, and no growth on the CAN or PEA plate, this will be reported as: </w:t>
      </w:r>
    </w:p>
    <w:p w:rsidR="00CA2B3C" w:rsidRDefault="00DB2FCF">
      <w:pPr>
        <w:spacing w:line="239" w:lineRule="auto"/>
        <w:ind w:hanging="10"/>
      </w:pPr>
      <w:r>
        <w:rPr>
          <w:b/>
          <w:u w:val="single" w:color="000000"/>
        </w:rPr>
        <w:t>No growth at 24 hours</w:t>
      </w:r>
    </w:p>
    <w:p w:rsidR="00CA2B3C" w:rsidRDefault="00DB2FCF">
      <w:pPr>
        <w:numPr>
          <w:ilvl w:val="0"/>
          <w:numId w:val="1"/>
        </w:numPr>
        <w:ind w:right="93" w:hanging="414"/>
      </w:pPr>
      <w:r>
        <w:t>When a urine culture shows at least 100 colonies on the TSA or SBA plate, some isolated growth on the EMB or MAC plate, and no gowth on the CAN or PEA plate, this will be reported as:</w:t>
      </w:r>
    </w:p>
    <w:p w:rsidR="00CA2B3C" w:rsidRDefault="00DB2FCF">
      <w:pPr>
        <w:spacing w:line="239" w:lineRule="auto"/>
        <w:ind w:hanging="10"/>
      </w:pPr>
      <w:r>
        <w:rPr>
          <w:b/>
          <w:u w:val="single" w:color="000000"/>
        </w:rPr>
        <w:t>100,00 gram negative bacilli</w:t>
      </w:r>
    </w:p>
    <w:p w:rsidR="00CA2B3C" w:rsidRDefault="00DB2FCF">
      <w:pPr>
        <w:numPr>
          <w:ilvl w:val="0"/>
          <w:numId w:val="1"/>
        </w:numPr>
        <w:ind w:right="93" w:hanging="414"/>
      </w:pPr>
      <w:r>
        <w:t>When a urine culture shows at least 100 colonies on the TSA or SBA plate, no growth on the EMB or MAC plate, and at least 100 colonies on the CNA or PEA plate, and is PYR positive this will be reported as:</w:t>
      </w:r>
    </w:p>
    <w:p w:rsidR="00CA2B3C" w:rsidRDefault="00DB2FCF">
      <w:pPr>
        <w:spacing w:line="239" w:lineRule="auto"/>
        <w:ind w:hanging="10"/>
      </w:pPr>
      <w:r>
        <w:rPr>
          <w:b/>
          <w:u w:val="single" w:color="000000"/>
        </w:rPr>
        <w:t>100,000 Enterococcal species</w:t>
      </w:r>
    </w:p>
    <w:p w:rsidR="00CA2B3C" w:rsidRDefault="00DB2FCF">
      <w:pPr>
        <w:numPr>
          <w:ilvl w:val="0"/>
          <w:numId w:val="1"/>
        </w:numPr>
        <w:ind w:right="93" w:hanging="414"/>
      </w:pPr>
      <w:r>
        <w:t xml:space="preserve">When a urine culture shows greater than three different colonies on the TSA or SBA plate, no growth on the EMB or MAC plate, this will be reported as: </w:t>
      </w:r>
      <w:r>
        <w:rPr>
          <w:b/>
          <w:u w:val="single" w:color="000000"/>
        </w:rPr>
        <w:t>A contaminated culture</w:t>
      </w:r>
    </w:p>
    <w:p w:rsidR="00CA2B3C" w:rsidRDefault="00DB2FCF">
      <w:pPr>
        <w:numPr>
          <w:ilvl w:val="0"/>
          <w:numId w:val="1"/>
        </w:numPr>
        <w:ind w:right="93" w:hanging="414"/>
      </w:pPr>
      <w:r>
        <w:t xml:space="preserve">After 48 hours a campylobacter plate had isolated colonies with the following characteristics positive catalase, negative oxidase, gram positive rods, it is reported as: </w:t>
      </w:r>
    </w:p>
    <w:p w:rsidR="00CA2B3C" w:rsidRDefault="00DB2FCF">
      <w:pPr>
        <w:spacing w:line="239" w:lineRule="auto"/>
        <w:ind w:hanging="10"/>
      </w:pPr>
      <w:r>
        <w:rPr>
          <w:b/>
          <w:u w:val="single" w:color="000000"/>
        </w:rPr>
        <w:t>Presumptive Campylobacter species</w:t>
      </w:r>
    </w:p>
    <w:p w:rsidR="00CA2B3C" w:rsidRDefault="00DB2FCF">
      <w:pPr>
        <w:numPr>
          <w:ilvl w:val="0"/>
          <w:numId w:val="1"/>
        </w:numPr>
        <w:ind w:right="93" w:hanging="414"/>
      </w:pPr>
      <w:r>
        <w:t xml:space="preserve">Proteus and Salmonella species can be differentiated by performing the following test: </w:t>
      </w:r>
    </w:p>
    <w:p w:rsidR="00CA2B3C" w:rsidRDefault="00DB2FCF">
      <w:pPr>
        <w:spacing w:line="239" w:lineRule="auto"/>
        <w:ind w:hanging="10"/>
      </w:pPr>
      <w:r>
        <w:rPr>
          <w:b/>
          <w:u w:val="single" w:color="000000"/>
        </w:rPr>
        <w:t>Urea</w:t>
      </w:r>
    </w:p>
    <w:p w:rsidR="00CA2B3C" w:rsidRDefault="00DB2FCF">
      <w:pPr>
        <w:numPr>
          <w:ilvl w:val="0"/>
          <w:numId w:val="1"/>
        </w:numPr>
        <w:ind w:right="93" w:hanging="414"/>
      </w:pPr>
      <w:r>
        <w:t>One of the selective media used to isolate Salmonella and Shigela is:</w:t>
      </w:r>
    </w:p>
    <w:p w:rsidR="00CA2B3C" w:rsidRDefault="00DB2FCF">
      <w:pPr>
        <w:spacing w:line="239" w:lineRule="auto"/>
        <w:ind w:hanging="10"/>
      </w:pPr>
      <w:r>
        <w:rPr>
          <w:b/>
          <w:u w:val="single" w:color="000000"/>
        </w:rPr>
        <w:t>HE</w:t>
      </w:r>
    </w:p>
    <w:p w:rsidR="00CA2B3C" w:rsidRDefault="00DB2FCF">
      <w:pPr>
        <w:numPr>
          <w:ilvl w:val="0"/>
          <w:numId w:val="1"/>
        </w:numPr>
        <w:ind w:right="93" w:hanging="414"/>
      </w:pPr>
      <w:r>
        <w:t xml:space="preserve">The most significant pathogen causing amebic dysentery is: </w:t>
      </w:r>
      <w:r>
        <w:rPr>
          <w:b/>
          <w:u w:val="single" w:color="000000"/>
        </w:rPr>
        <w:t>Entamoeba histolytica</w:t>
      </w:r>
    </w:p>
    <w:p w:rsidR="00CA2B3C" w:rsidRDefault="00DB2FCF">
      <w:pPr>
        <w:numPr>
          <w:ilvl w:val="0"/>
          <w:numId w:val="1"/>
        </w:numPr>
        <w:ind w:right="93" w:hanging="414"/>
      </w:pPr>
      <w:r>
        <w:t xml:space="preserve">The parasite Enterobius vermicularis is located in the lower bowel. The specimen of choice for laboratory identification is: </w:t>
      </w:r>
      <w:r>
        <w:rPr>
          <w:b/>
          <w:u w:val="single" w:color="000000"/>
        </w:rPr>
        <w:t>Anal cellophane smear</w:t>
      </w:r>
    </w:p>
    <w:p w:rsidR="00CA2B3C" w:rsidRDefault="00DB2FCF">
      <w:pPr>
        <w:numPr>
          <w:ilvl w:val="0"/>
          <w:numId w:val="1"/>
        </w:numPr>
        <w:ind w:right="93" w:hanging="414"/>
      </w:pPr>
      <w:r>
        <w:t>Tapeworm attach to the intestineal mucosa by means of:</w:t>
      </w:r>
    </w:p>
    <w:p w:rsidR="00CA2B3C" w:rsidRDefault="00DB2FCF">
      <w:pPr>
        <w:spacing w:line="239" w:lineRule="auto"/>
        <w:ind w:hanging="10"/>
      </w:pPr>
      <w:r>
        <w:rPr>
          <w:b/>
          <w:u w:val="single" w:color="000000"/>
        </w:rPr>
        <w:t>Scolex</w:t>
      </w:r>
    </w:p>
    <w:p w:rsidR="00CA2B3C" w:rsidRDefault="00DB2FCF">
      <w:pPr>
        <w:numPr>
          <w:ilvl w:val="0"/>
          <w:numId w:val="1"/>
        </w:numPr>
        <w:ind w:right="93" w:hanging="414"/>
      </w:pPr>
      <w:r>
        <w:t xml:space="preserve">The most important flagellate to infect humans by food and water contamination is: </w:t>
      </w:r>
      <w:r>
        <w:rPr>
          <w:b/>
          <w:u w:val="single" w:color="000000"/>
        </w:rPr>
        <w:t>Giardia lamblia</w:t>
      </w:r>
    </w:p>
    <w:p w:rsidR="00CA2B3C" w:rsidRDefault="00DB2FCF">
      <w:pPr>
        <w:numPr>
          <w:ilvl w:val="0"/>
          <w:numId w:val="1"/>
        </w:numPr>
        <w:ind w:right="93" w:hanging="414"/>
      </w:pPr>
      <w:r>
        <w:t xml:space="preserve">Amoeba multiply in the intestine in the: </w:t>
      </w:r>
      <w:r>
        <w:rPr>
          <w:b/>
          <w:u w:val="single" w:color="000000"/>
        </w:rPr>
        <w:t>Trophozoite stage</w:t>
      </w:r>
    </w:p>
    <w:p w:rsidR="00CA2B3C" w:rsidRDefault="00DB2FCF">
      <w:pPr>
        <w:numPr>
          <w:ilvl w:val="0"/>
          <w:numId w:val="1"/>
        </w:numPr>
        <w:ind w:right="93" w:hanging="414"/>
      </w:pPr>
      <w:r>
        <w:t xml:space="preserve">Round worms known as filarial infection humans by: </w:t>
      </w:r>
      <w:r>
        <w:rPr>
          <w:b/>
          <w:u w:val="single" w:color="000000"/>
        </w:rPr>
        <w:t>An insect bite</w:t>
      </w:r>
    </w:p>
    <w:p w:rsidR="00CA2B3C" w:rsidRDefault="00DB2FCF">
      <w:pPr>
        <w:numPr>
          <w:ilvl w:val="0"/>
          <w:numId w:val="1"/>
        </w:numPr>
        <w:ind w:right="93" w:hanging="414"/>
      </w:pPr>
      <w:r>
        <w:t xml:space="preserve">Acute enterocolitus is commonly caused by: </w:t>
      </w:r>
      <w:r>
        <w:rPr>
          <w:b/>
          <w:u w:val="single" w:color="000000"/>
        </w:rPr>
        <w:t>Yersinia enterocolitica</w:t>
      </w:r>
    </w:p>
    <w:p w:rsidR="00CA2B3C" w:rsidRDefault="00DB2FCF">
      <w:pPr>
        <w:numPr>
          <w:ilvl w:val="0"/>
          <w:numId w:val="1"/>
        </w:numPr>
        <w:ind w:right="93" w:hanging="414"/>
      </w:pPr>
      <w:r>
        <w:t xml:space="preserve">The basic structure of protozoa includes a nucleus and cell membrane and are distinguished on the basis of: </w:t>
      </w:r>
      <w:r>
        <w:rPr>
          <w:b/>
          <w:u w:val="single" w:color="000000"/>
        </w:rPr>
        <w:t>Color and gram stain</w:t>
      </w:r>
    </w:p>
    <w:p w:rsidR="00CA2B3C" w:rsidRDefault="00DB2FCF">
      <w:pPr>
        <w:numPr>
          <w:ilvl w:val="0"/>
          <w:numId w:val="1"/>
        </w:numPr>
        <w:ind w:right="93" w:hanging="414"/>
      </w:pPr>
      <w:r>
        <w:t xml:space="preserve">Demonstration of Treponema pallidum is best done by? </w:t>
      </w:r>
      <w:r>
        <w:rPr>
          <w:b/>
          <w:u w:val="single" w:color="000000"/>
        </w:rPr>
        <w:t>Dark field microscopy</w:t>
      </w:r>
    </w:p>
    <w:p w:rsidR="00CA2B3C" w:rsidRDefault="00DB2FCF">
      <w:pPr>
        <w:numPr>
          <w:ilvl w:val="0"/>
          <w:numId w:val="1"/>
        </w:numPr>
        <w:ind w:right="93" w:hanging="414"/>
      </w:pPr>
      <w:r>
        <w:t xml:space="preserve">Tapeworms infections are transmitted by eating the larvae in infected: </w:t>
      </w:r>
      <w:r>
        <w:rPr>
          <w:b/>
          <w:u w:val="single" w:color="000000"/>
        </w:rPr>
        <w:t>Pork or beef</w:t>
      </w:r>
    </w:p>
    <w:p w:rsidR="00CA2B3C" w:rsidRDefault="00DB2FCF">
      <w:pPr>
        <w:numPr>
          <w:ilvl w:val="0"/>
          <w:numId w:val="1"/>
        </w:numPr>
        <w:ind w:right="93" w:hanging="414"/>
      </w:pPr>
      <w:r>
        <w:t xml:space="preserve">The only ciliated protozoa the infection human and produces a dysentrylike syndrome is: </w:t>
      </w:r>
      <w:r>
        <w:rPr>
          <w:b/>
          <w:u w:val="single" w:color="000000"/>
        </w:rPr>
        <w:t>Balantidum coli</w:t>
      </w:r>
    </w:p>
    <w:p w:rsidR="00CA2B3C" w:rsidRDefault="00DB2FCF">
      <w:pPr>
        <w:numPr>
          <w:ilvl w:val="0"/>
          <w:numId w:val="1"/>
        </w:numPr>
        <w:ind w:right="93" w:hanging="414"/>
      </w:pPr>
      <w:r>
        <w:t xml:space="preserve">The ova and parasite examination includes: direct saline and iodine wet mounts a concentration procedure for: </w:t>
      </w:r>
      <w:r>
        <w:rPr>
          <w:b/>
          <w:u w:val="single" w:color="000000"/>
        </w:rPr>
        <w:t>Permanent stain</w:t>
      </w:r>
    </w:p>
    <w:p w:rsidR="00CA2B3C" w:rsidRDefault="00DB2FCF">
      <w:pPr>
        <w:numPr>
          <w:ilvl w:val="0"/>
          <w:numId w:val="1"/>
        </w:numPr>
        <w:ind w:right="93" w:hanging="414"/>
      </w:pPr>
      <w:r>
        <w:t xml:space="preserve">The trichrome stain is used for identifying: </w:t>
      </w:r>
      <w:r>
        <w:rPr>
          <w:b/>
          <w:u w:val="single" w:color="000000"/>
        </w:rPr>
        <w:t>Parasites</w:t>
      </w:r>
    </w:p>
    <w:p w:rsidR="00CA2B3C" w:rsidRDefault="00DB2FCF">
      <w:pPr>
        <w:numPr>
          <w:ilvl w:val="0"/>
          <w:numId w:val="1"/>
        </w:numPr>
        <w:ind w:right="93" w:hanging="414"/>
      </w:pPr>
      <w:r>
        <w:t xml:space="preserve">Chagas disease is caused by which parasite? </w:t>
      </w:r>
      <w:r>
        <w:rPr>
          <w:b/>
          <w:u w:val="single" w:color="000000"/>
        </w:rPr>
        <w:t>Trypanasoma cruzi</w:t>
      </w:r>
    </w:p>
    <w:p w:rsidR="00CA2B3C" w:rsidRDefault="00DB2FCF">
      <w:pPr>
        <w:numPr>
          <w:ilvl w:val="0"/>
          <w:numId w:val="1"/>
        </w:numPr>
        <w:ind w:right="93" w:hanging="414"/>
      </w:pPr>
      <w:r>
        <w:t xml:space="preserve">Rapid methods for the identification of enterobacteriaceae include: </w:t>
      </w:r>
      <w:r>
        <w:rPr>
          <w:b/>
          <w:u w:val="single" w:color="000000"/>
        </w:rPr>
        <w:t>API, Enterotube, Vitek, and Microscan</w:t>
      </w:r>
    </w:p>
    <w:p w:rsidR="00CA2B3C" w:rsidRDefault="00DB2FCF">
      <w:pPr>
        <w:numPr>
          <w:ilvl w:val="0"/>
          <w:numId w:val="1"/>
        </w:numPr>
        <w:ind w:right="93" w:hanging="414"/>
      </w:pPr>
      <w:r>
        <w:t xml:space="preserve">The most common type of UTI resulting from bacteria colonizing the external urogenital surface and that ascend to the urethra of the bladder is: </w:t>
      </w:r>
      <w:r>
        <w:rPr>
          <w:b/>
          <w:u w:val="single" w:color="000000"/>
        </w:rPr>
        <w:t>Cystitis</w:t>
      </w:r>
    </w:p>
    <w:p w:rsidR="00CA2B3C" w:rsidRDefault="00DB2FCF">
      <w:pPr>
        <w:numPr>
          <w:ilvl w:val="0"/>
          <w:numId w:val="1"/>
        </w:numPr>
        <w:ind w:right="93" w:hanging="414"/>
      </w:pPr>
      <w:r>
        <w:t xml:space="preserve">When a physician orders a throat culture to identify group A streptococcus, the type of hemolysis of the organism to look for on a SBA plate is: </w:t>
      </w:r>
      <w:r>
        <w:rPr>
          <w:b/>
          <w:u w:val="single" w:color="000000"/>
        </w:rPr>
        <w:t xml:space="preserve">Beta </w:t>
      </w:r>
    </w:p>
    <w:p w:rsidR="00CA2B3C" w:rsidRDefault="00DB2FCF">
      <w:pPr>
        <w:numPr>
          <w:ilvl w:val="0"/>
          <w:numId w:val="1"/>
        </w:numPr>
        <w:ind w:right="93" w:hanging="414"/>
      </w:pPr>
      <w:r>
        <w:t xml:space="preserve">Clinically significant UTI’S can be caused by: </w:t>
      </w:r>
    </w:p>
    <w:p w:rsidR="00CA2B3C" w:rsidRDefault="00DB2FCF">
      <w:pPr>
        <w:numPr>
          <w:ilvl w:val="1"/>
          <w:numId w:val="1"/>
        </w:numPr>
        <w:spacing w:line="239" w:lineRule="auto"/>
        <w:ind w:hanging="248"/>
      </w:pPr>
      <w:r>
        <w:rPr>
          <w:b/>
          <w:u w:val="single" w:color="000000"/>
        </w:rPr>
        <w:t>coli and enterococcus</w:t>
      </w:r>
    </w:p>
    <w:p w:rsidR="00CA2B3C" w:rsidRDefault="00DB2FCF">
      <w:pPr>
        <w:numPr>
          <w:ilvl w:val="0"/>
          <w:numId w:val="1"/>
        </w:numPr>
        <w:ind w:right="93" w:hanging="414"/>
      </w:pPr>
      <w:r>
        <w:t>There are two life cycle in the group of parasite known as malaria, they are the</w:t>
      </w:r>
    </w:p>
    <w:p w:rsidR="00CA2B3C" w:rsidRDefault="00DB2FCF">
      <w:pPr>
        <w:spacing w:after="269" w:line="239" w:lineRule="auto"/>
        <w:ind w:hanging="10"/>
      </w:pPr>
      <w:r>
        <w:rPr>
          <w:b/>
          <w:u w:val="single" w:color="000000"/>
        </w:rPr>
        <w:t>Asexual in humans, sexual in mosquitos</w:t>
      </w:r>
    </w:p>
    <w:p w:rsidR="00CA2B3C" w:rsidRDefault="00CA2B3C" w:rsidP="00531A6F">
      <w:pPr>
        <w:ind w:left="0" w:firstLine="0"/>
      </w:pPr>
    </w:p>
    <w:p w:rsidR="00CA2B3C" w:rsidRDefault="00B07E21">
      <w:pPr>
        <w:spacing w:line="240" w:lineRule="auto"/>
        <w:ind w:left="0" w:right="0" w:firstLine="0"/>
      </w:pPr>
      <w:hyperlink r:id="rId7">
        <w:r w:rsidR="00DB2FCF">
          <w:rPr>
            <w:rFonts w:ascii="Arial" w:eastAsia="Arial" w:hAnsi="Arial" w:cs="Arial"/>
            <w:sz w:val="2"/>
          </w:rPr>
          <w:t>Powered by TCPDF (www.tcpdf.org)</w:t>
        </w:r>
      </w:hyperlink>
      <w:bookmarkEnd w:id="0"/>
    </w:p>
    <w:sectPr w:rsidR="00CA2B3C">
      <w:footerReference w:type="even" r:id="rId8"/>
      <w:footerReference w:type="default" r:id="rId9"/>
      <w:footerReference w:type="first" r:id="rId10"/>
      <w:pgSz w:w="12240" w:h="15840"/>
      <w:pgMar w:top="387" w:right="1809" w:bottom="20" w:left="57" w:header="720" w:footer="64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7E21" w:rsidRDefault="00B07E21">
      <w:pPr>
        <w:spacing w:line="240" w:lineRule="auto"/>
      </w:pPr>
      <w:r>
        <w:separator/>
      </w:r>
    </w:p>
  </w:endnote>
  <w:endnote w:type="continuationSeparator" w:id="0">
    <w:p w:rsidR="00B07E21" w:rsidRDefault="00B07E2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2B3C" w:rsidRDefault="00DB2FCF">
    <w:pPr>
      <w:spacing w:line="240" w:lineRule="auto"/>
      <w:ind w:left="0" w:right="0" w:firstLine="0"/>
    </w:pPr>
    <w:r>
      <w:rPr>
        <w:rFonts w:ascii="Times New Roman" w:eastAsia="Times New Roman" w:hAnsi="Times New Roman" w:cs="Times New Roman"/>
        <w:sz w:val="16"/>
      </w:rPr>
      <w:t xml:space="preserve">https://www.coursehero.com/file/25268635/Lab-Final-Exam-IIdocx/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2B3C" w:rsidRDefault="00DB2FCF">
    <w:pPr>
      <w:spacing w:line="240" w:lineRule="auto"/>
      <w:ind w:left="0" w:right="0" w:firstLine="0"/>
    </w:pPr>
    <w:r>
      <w:rPr>
        <w:rFonts w:ascii="Times New Roman" w:eastAsia="Times New Roman" w:hAnsi="Times New Roman" w:cs="Times New Roman"/>
        <w:sz w:val="16"/>
      </w:rPr>
      <w:t xml:space="preserve">https://www.coursehero.com/file/25268635/Lab-Final-Exam-IIdocx/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2B3C" w:rsidRDefault="00DB2FCF">
    <w:pPr>
      <w:spacing w:line="240" w:lineRule="auto"/>
      <w:ind w:left="0" w:right="0" w:firstLine="0"/>
    </w:pPr>
    <w:r>
      <w:rPr>
        <w:rFonts w:ascii="Times New Roman" w:eastAsia="Times New Roman" w:hAnsi="Times New Roman" w:cs="Times New Roman"/>
        <w:sz w:val="16"/>
      </w:rPr>
      <w:t xml:space="preserve">https://www.coursehero.com/file/25268635/Lab-Final-Exam-IIdocx/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7E21" w:rsidRDefault="00B07E21">
      <w:pPr>
        <w:spacing w:line="240" w:lineRule="auto"/>
      </w:pPr>
      <w:r>
        <w:separator/>
      </w:r>
    </w:p>
  </w:footnote>
  <w:footnote w:type="continuationSeparator" w:id="0">
    <w:p w:rsidR="00B07E21" w:rsidRDefault="00B07E21">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0370DC"/>
    <w:multiLevelType w:val="hybridMultilevel"/>
    <w:tmpl w:val="FDA0888A"/>
    <w:lvl w:ilvl="0" w:tplc="82DCD3A6">
      <w:start w:val="1"/>
      <w:numFmt w:val="decimal"/>
      <w:lvlText w:val="%1."/>
      <w:lvlJc w:val="left"/>
      <w:pPr>
        <w:ind w:left="250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32F8C628">
      <w:start w:val="5"/>
      <w:numFmt w:val="upperLetter"/>
      <w:lvlText w:val="%2."/>
      <w:lvlJc w:val="left"/>
      <w:pPr>
        <w:ind w:left="2713"/>
      </w:pPr>
      <w:rPr>
        <w:rFonts w:ascii="Calibri" w:eastAsia="Calibri" w:hAnsi="Calibri" w:cs="Calibri"/>
        <w:b/>
        <w:i w:val="0"/>
        <w:strike w:val="0"/>
        <w:dstrike w:val="0"/>
        <w:color w:val="000000"/>
        <w:sz w:val="24"/>
        <w:u w:val="single" w:color="000000"/>
        <w:bdr w:val="none" w:sz="0" w:space="0" w:color="auto"/>
        <w:shd w:val="clear" w:color="auto" w:fill="auto"/>
        <w:vertAlign w:val="baseline"/>
      </w:rPr>
    </w:lvl>
    <w:lvl w:ilvl="2" w:tplc="A7D6642C">
      <w:start w:val="1"/>
      <w:numFmt w:val="lowerRoman"/>
      <w:lvlText w:val="%3"/>
      <w:lvlJc w:val="left"/>
      <w:pPr>
        <w:ind w:left="3545"/>
      </w:pPr>
      <w:rPr>
        <w:rFonts w:ascii="Calibri" w:eastAsia="Calibri" w:hAnsi="Calibri" w:cs="Calibri"/>
        <w:b/>
        <w:i w:val="0"/>
        <w:strike w:val="0"/>
        <w:dstrike w:val="0"/>
        <w:color w:val="000000"/>
        <w:sz w:val="24"/>
        <w:u w:val="single" w:color="000000"/>
        <w:bdr w:val="none" w:sz="0" w:space="0" w:color="auto"/>
        <w:shd w:val="clear" w:color="auto" w:fill="auto"/>
        <w:vertAlign w:val="baseline"/>
      </w:rPr>
    </w:lvl>
    <w:lvl w:ilvl="3" w:tplc="62C8EEAE">
      <w:start w:val="1"/>
      <w:numFmt w:val="decimal"/>
      <w:lvlText w:val="%4"/>
      <w:lvlJc w:val="left"/>
      <w:pPr>
        <w:ind w:left="4265"/>
      </w:pPr>
      <w:rPr>
        <w:rFonts w:ascii="Calibri" w:eastAsia="Calibri" w:hAnsi="Calibri" w:cs="Calibri"/>
        <w:b/>
        <w:i w:val="0"/>
        <w:strike w:val="0"/>
        <w:dstrike w:val="0"/>
        <w:color w:val="000000"/>
        <w:sz w:val="24"/>
        <w:u w:val="single" w:color="000000"/>
        <w:bdr w:val="none" w:sz="0" w:space="0" w:color="auto"/>
        <w:shd w:val="clear" w:color="auto" w:fill="auto"/>
        <w:vertAlign w:val="baseline"/>
      </w:rPr>
    </w:lvl>
    <w:lvl w:ilvl="4" w:tplc="35A671D6">
      <w:start w:val="1"/>
      <w:numFmt w:val="lowerLetter"/>
      <w:lvlText w:val="%5"/>
      <w:lvlJc w:val="left"/>
      <w:pPr>
        <w:ind w:left="4985"/>
      </w:pPr>
      <w:rPr>
        <w:rFonts w:ascii="Calibri" w:eastAsia="Calibri" w:hAnsi="Calibri" w:cs="Calibri"/>
        <w:b/>
        <w:i w:val="0"/>
        <w:strike w:val="0"/>
        <w:dstrike w:val="0"/>
        <w:color w:val="000000"/>
        <w:sz w:val="24"/>
        <w:u w:val="single" w:color="000000"/>
        <w:bdr w:val="none" w:sz="0" w:space="0" w:color="auto"/>
        <w:shd w:val="clear" w:color="auto" w:fill="auto"/>
        <w:vertAlign w:val="baseline"/>
      </w:rPr>
    </w:lvl>
    <w:lvl w:ilvl="5" w:tplc="97645FCA">
      <w:start w:val="1"/>
      <w:numFmt w:val="lowerRoman"/>
      <w:lvlText w:val="%6"/>
      <w:lvlJc w:val="left"/>
      <w:pPr>
        <w:ind w:left="5705"/>
      </w:pPr>
      <w:rPr>
        <w:rFonts w:ascii="Calibri" w:eastAsia="Calibri" w:hAnsi="Calibri" w:cs="Calibri"/>
        <w:b/>
        <w:i w:val="0"/>
        <w:strike w:val="0"/>
        <w:dstrike w:val="0"/>
        <w:color w:val="000000"/>
        <w:sz w:val="24"/>
        <w:u w:val="single" w:color="000000"/>
        <w:bdr w:val="none" w:sz="0" w:space="0" w:color="auto"/>
        <w:shd w:val="clear" w:color="auto" w:fill="auto"/>
        <w:vertAlign w:val="baseline"/>
      </w:rPr>
    </w:lvl>
    <w:lvl w:ilvl="6" w:tplc="6696EAF6">
      <w:start w:val="1"/>
      <w:numFmt w:val="decimal"/>
      <w:lvlText w:val="%7"/>
      <w:lvlJc w:val="left"/>
      <w:pPr>
        <w:ind w:left="6425"/>
      </w:pPr>
      <w:rPr>
        <w:rFonts w:ascii="Calibri" w:eastAsia="Calibri" w:hAnsi="Calibri" w:cs="Calibri"/>
        <w:b/>
        <w:i w:val="0"/>
        <w:strike w:val="0"/>
        <w:dstrike w:val="0"/>
        <w:color w:val="000000"/>
        <w:sz w:val="24"/>
        <w:u w:val="single" w:color="000000"/>
        <w:bdr w:val="none" w:sz="0" w:space="0" w:color="auto"/>
        <w:shd w:val="clear" w:color="auto" w:fill="auto"/>
        <w:vertAlign w:val="baseline"/>
      </w:rPr>
    </w:lvl>
    <w:lvl w:ilvl="7" w:tplc="6A04B404">
      <w:start w:val="1"/>
      <w:numFmt w:val="lowerLetter"/>
      <w:lvlText w:val="%8"/>
      <w:lvlJc w:val="left"/>
      <w:pPr>
        <w:ind w:left="7145"/>
      </w:pPr>
      <w:rPr>
        <w:rFonts w:ascii="Calibri" w:eastAsia="Calibri" w:hAnsi="Calibri" w:cs="Calibri"/>
        <w:b/>
        <w:i w:val="0"/>
        <w:strike w:val="0"/>
        <w:dstrike w:val="0"/>
        <w:color w:val="000000"/>
        <w:sz w:val="24"/>
        <w:u w:val="single" w:color="000000"/>
        <w:bdr w:val="none" w:sz="0" w:space="0" w:color="auto"/>
        <w:shd w:val="clear" w:color="auto" w:fill="auto"/>
        <w:vertAlign w:val="baseline"/>
      </w:rPr>
    </w:lvl>
    <w:lvl w:ilvl="8" w:tplc="711802E8">
      <w:start w:val="1"/>
      <w:numFmt w:val="lowerRoman"/>
      <w:lvlText w:val="%9"/>
      <w:lvlJc w:val="left"/>
      <w:pPr>
        <w:ind w:left="7865"/>
      </w:pPr>
      <w:rPr>
        <w:rFonts w:ascii="Calibri" w:eastAsia="Calibri" w:hAnsi="Calibri" w:cs="Calibri"/>
        <w:b/>
        <w:i w:val="0"/>
        <w:strike w:val="0"/>
        <w:dstrike w:val="0"/>
        <w:color w:val="000000"/>
        <w:sz w:val="24"/>
        <w:u w:val="singl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2B3C"/>
    <w:rsid w:val="00227759"/>
    <w:rsid w:val="00531A6F"/>
    <w:rsid w:val="00B07E21"/>
    <w:rsid w:val="00CA2B3C"/>
    <w:rsid w:val="00DB2FC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0E07A09-E582-4F79-A8D5-589DFA4ED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45" w:lineRule="auto"/>
      <w:ind w:left="2460" w:right="-15" w:hanging="37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tcpdf.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857</Words>
  <Characters>4891</Characters>
  <Application>Microsoft Office Word</Application>
  <DocSecurity>0</DocSecurity>
  <Lines>40</Lines>
  <Paragraphs>11</Paragraphs>
  <ScaleCrop>false</ScaleCrop>
  <Company/>
  <LinksUpToDate>false</LinksUpToDate>
  <CharactersWithSpaces>5737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common11</dc:creator>
  <cp:keywords/>
  <cp:lastModifiedBy>common11</cp:lastModifiedBy>
  <cp:revision>3</cp:revision>
  <dcterms:created xsi:type="dcterms:W3CDTF">2021-03-12T09:11:00Z</dcterms:created>
  <dcterms:modified xsi:type="dcterms:W3CDTF">2021-03-12T09:17:00Z</dcterms:modified>
</cp:coreProperties>
</file>