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7501F5" w14:textId="77777777" w:rsidR="008A3529" w:rsidRDefault="008A3529" w:rsidP="00C96D6E">
      <w:pPr>
        <w:spacing w:line="480" w:lineRule="auto"/>
        <w:ind w:firstLine="720"/>
        <w:rPr>
          <w:rFonts w:ascii="Times New Roman" w:hAnsi="Times New Roman" w:cs="Times New Roman"/>
          <w:sz w:val="24"/>
          <w:szCs w:val="24"/>
        </w:rPr>
      </w:pPr>
    </w:p>
    <w:p w14:paraId="02D02D27" w14:textId="77777777" w:rsidR="008A3529" w:rsidRDefault="008A3529" w:rsidP="00C96D6E">
      <w:pPr>
        <w:spacing w:line="480" w:lineRule="auto"/>
        <w:ind w:firstLine="720"/>
        <w:rPr>
          <w:rFonts w:ascii="Times New Roman" w:hAnsi="Times New Roman" w:cs="Times New Roman"/>
          <w:sz w:val="24"/>
          <w:szCs w:val="24"/>
        </w:rPr>
      </w:pPr>
    </w:p>
    <w:p w14:paraId="2D04EA89" w14:textId="77777777" w:rsidR="008A3529" w:rsidRDefault="008A3529" w:rsidP="00C96D6E">
      <w:pPr>
        <w:spacing w:line="480" w:lineRule="auto"/>
        <w:ind w:firstLine="720"/>
        <w:rPr>
          <w:rFonts w:ascii="Times New Roman" w:hAnsi="Times New Roman" w:cs="Times New Roman"/>
          <w:sz w:val="24"/>
          <w:szCs w:val="24"/>
        </w:rPr>
      </w:pPr>
    </w:p>
    <w:p w14:paraId="7ABAC831" w14:textId="77777777" w:rsidR="008A3529" w:rsidRDefault="008A3529" w:rsidP="00C96D6E">
      <w:pPr>
        <w:spacing w:line="480" w:lineRule="auto"/>
        <w:ind w:firstLine="720"/>
        <w:rPr>
          <w:rFonts w:ascii="Times New Roman" w:hAnsi="Times New Roman" w:cs="Times New Roman"/>
          <w:sz w:val="24"/>
          <w:szCs w:val="24"/>
        </w:rPr>
      </w:pPr>
    </w:p>
    <w:p w14:paraId="721ED901" w14:textId="77777777" w:rsidR="008A3529" w:rsidRDefault="008A3529" w:rsidP="00C96D6E">
      <w:pPr>
        <w:spacing w:line="480" w:lineRule="auto"/>
        <w:ind w:firstLine="720"/>
        <w:rPr>
          <w:rFonts w:ascii="Times New Roman" w:hAnsi="Times New Roman" w:cs="Times New Roman"/>
          <w:sz w:val="24"/>
          <w:szCs w:val="24"/>
        </w:rPr>
      </w:pPr>
    </w:p>
    <w:p w14:paraId="2779B830" w14:textId="77777777" w:rsidR="008A3529" w:rsidRDefault="008A3529" w:rsidP="00C96D6E">
      <w:pPr>
        <w:spacing w:line="480" w:lineRule="auto"/>
        <w:ind w:firstLine="720"/>
        <w:rPr>
          <w:rFonts w:ascii="Times New Roman" w:hAnsi="Times New Roman" w:cs="Times New Roman"/>
          <w:sz w:val="24"/>
          <w:szCs w:val="24"/>
        </w:rPr>
      </w:pPr>
    </w:p>
    <w:p w14:paraId="0E179038" w14:textId="77777777" w:rsidR="008A3529" w:rsidRDefault="008A3529" w:rsidP="00C96D6E">
      <w:pPr>
        <w:spacing w:line="480" w:lineRule="auto"/>
        <w:ind w:firstLine="720"/>
        <w:rPr>
          <w:rFonts w:ascii="Times New Roman" w:hAnsi="Times New Roman" w:cs="Times New Roman"/>
          <w:sz w:val="24"/>
          <w:szCs w:val="24"/>
        </w:rPr>
      </w:pPr>
    </w:p>
    <w:p w14:paraId="79A80E1A" w14:textId="77777777" w:rsidR="008A3529" w:rsidRDefault="008A3529" w:rsidP="00C96D6E">
      <w:pPr>
        <w:spacing w:line="480" w:lineRule="auto"/>
        <w:ind w:firstLine="720"/>
        <w:rPr>
          <w:rFonts w:ascii="Times New Roman" w:hAnsi="Times New Roman" w:cs="Times New Roman"/>
          <w:sz w:val="24"/>
          <w:szCs w:val="24"/>
        </w:rPr>
      </w:pPr>
    </w:p>
    <w:p w14:paraId="7D41ED98" w14:textId="77777777" w:rsidR="008A3529" w:rsidRDefault="008A3529" w:rsidP="00C96D6E">
      <w:pPr>
        <w:spacing w:line="480" w:lineRule="auto"/>
        <w:ind w:firstLine="720"/>
        <w:rPr>
          <w:rFonts w:ascii="Times New Roman" w:hAnsi="Times New Roman" w:cs="Times New Roman"/>
          <w:sz w:val="24"/>
          <w:szCs w:val="24"/>
        </w:rPr>
      </w:pPr>
    </w:p>
    <w:p w14:paraId="1F22F865" w14:textId="77777777" w:rsidR="008A3529" w:rsidRDefault="008A3529" w:rsidP="00C96D6E">
      <w:pPr>
        <w:spacing w:line="480" w:lineRule="auto"/>
        <w:ind w:firstLine="720"/>
        <w:rPr>
          <w:rFonts w:ascii="Times New Roman" w:hAnsi="Times New Roman" w:cs="Times New Roman"/>
          <w:sz w:val="24"/>
          <w:szCs w:val="24"/>
        </w:rPr>
      </w:pPr>
    </w:p>
    <w:p w14:paraId="6263CF13" w14:textId="77777777" w:rsidR="008A3529" w:rsidRDefault="008A3529" w:rsidP="00C96D6E">
      <w:pPr>
        <w:spacing w:line="480" w:lineRule="auto"/>
        <w:ind w:firstLine="720"/>
        <w:rPr>
          <w:rFonts w:ascii="Times New Roman" w:hAnsi="Times New Roman" w:cs="Times New Roman"/>
          <w:sz w:val="24"/>
          <w:szCs w:val="24"/>
        </w:rPr>
      </w:pPr>
    </w:p>
    <w:p w14:paraId="285C3A76" w14:textId="77777777" w:rsidR="008A3529" w:rsidRDefault="008A3529" w:rsidP="00C96D6E">
      <w:pPr>
        <w:spacing w:line="480" w:lineRule="auto"/>
        <w:ind w:firstLine="720"/>
        <w:rPr>
          <w:rFonts w:ascii="Times New Roman" w:hAnsi="Times New Roman" w:cs="Times New Roman"/>
          <w:sz w:val="24"/>
          <w:szCs w:val="24"/>
        </w:rPr>
      </w:pPr>
    </w:p>
    <w:p w14:paraId="071BAC6D" w14:textId="64ACF6D5" w:rsidR="008A3529" w:rsidRDefault="008A3529" w:rsidP="008A3529">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Public and Private goods</w:t>
      </w:r>
    </w:p>
    <w:p w14:paraId="10417786" w14:textId="1518E962" w:rsidR="008A3529" w:rsidRDefault="008A3529" w:rsidP="008A3529">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Students Name</w:t>
      </w:r>
    </w:p>
    <w:p w14:paraId="77BE205A" w14:textId="1F6440A6" w:rsidR="008A3529" w:rsidRDefault="008A3529" w:rsidP="008A3529">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Institutional Affiliation</w:t>
      </w:r>
    </w:p>
    <w:p w14:paraId="6410D653" w14:textId="4DED0FFC" w:rsidR="008A3529" w:rsidRDefault="008A3529" w:rsidP="008A3529">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Course</w:t>
      </w:r>
    </w:p>
    <w:p w14:paraId="7946E926" w14:textId="68E65AE2" w:rsidR="008A3529" w:rsidRDefault="008A3529" w:rsidP="008A3529">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Date</w:t>
      </w:r>
    </w:p>
    <w:p w14:paraId="6839904D" w14:textId="77777777" w:rsidR="008A3529" w:rsidRDefault="008A3529" w:rsidP="008A3529">
      <w:pPr>
        <w:spacing w:line="480" w:lineRule="auto"/>
        <w:ind w:firstLine="720"/>
        <w:jc w:val="center"/>
        <w:rPr>
          <w:rFonts w:ascii="Times New Roman" w:hAnsi="Times New Roman" w:cs="Times New Roman"/>
          <w:sz w:val="24"/>
          <w:szCs w:val="24"/>
        </w:rPr>
      </w:pPr>
    </w:p>
    <w:p w14:paraId="6383B2EF" w14:textId="3D60D9B1" w:rsidR="000A2BDA" w:rsidRDefault="003B607F" w:rsidP="00C96D6E">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A public good is a service o</w:t>
      </w:r>
      <w:r w:rsidR="008C4A2D">
        <w:rPr>
          <w:rFonts w:ascii="Times New Roman" w:hAnsi="Times New Roman" w:cs="Times New Roman"/>
          <w:sz w:val="24"/>
          <w:szCs w:val="24"/>
        </w:rPr>
        <w:t>r</w:t>
      </w:r>
      <w:r>
        <w:rPr>
          <w:rFonts w:ascii="Times New Roman" w:hAnsi="Times New Roman" w:cs="Times New Roman"/>
          <w:sz w:val="24"/>
          <w:szCs w:val="24"/>
        </w:rPr>
        <w:t xml:space="preserve"> a commodity that is readily available to the members of society. Public goods are all the services that the government delivers, and they are paid through taxation, and </w:t>
      </w:r>
      <w:r w:rsidR="008C4A2D">
        <w:rPr>
          <w:rFonts w:ascii="Times New Roman" w:hAnsi="Times New Roman" w:cs="Times New Roman"/>
          <w:sz w:val="24"/>
          <w:szCs w:val="24"/>
        </w:rPr>
        <w:t>they include</w:t>
      </w:r>
      <w:r>
        <w:rPr>
          <w:rFonts w:ascii="Times New Roman" w:hAnsi="Times New Roman" w:cs="Times New Roman"/>
          <w:sz w:val="24"/>
          <w:szCs w:val="24"/>
        </w:rPr>
        <w:t xml:space="preserve">; national defense, enforcement, and the rule of law. On the other hand, a private good is a service or a product that the consumers must buy, and the consumption by one individual hinders another person from consuming </w:t>
      </w:r>
      <w:r w:rsidR="00CA7BEE">
        <w:rPr>
          <w:rFonts w:ascii="Times New Roman" w:hAnsi="Times New Roman" w:cs="Times New Roman"/>
          <w:sz w:val="24"/>
          <w:szCs w:val="24"/>
        </w:rPr>
        <w:t xml:space="preserve">it. Additionally, public goods benefit all society members, while private goods are considered scarce and only available to specific individuals. </w:t>
      </w:r>
    </w:p>
    <w:p w14:paraId="7F27A3D4" w14:textId="43119437" w:rsidR="000A2BDA" w:rsidRDefault="003B607F" w:rsidP="000A2BD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main criteria that </w:t>
      </w:r>
      <w:r w:rsidR="008C4A2D">
        <w:rPr>
          <w:rFonts w:ascii="Times New Roman" w:hAnsi="Times New Roman" w:cs="Times New Roman"/>
          <w:sz w:val="24"/>
          <w:szCs w:val="24"/>
        </w:rPr>
        <w:t>are</w:t>
      </w:r>
      <w:r>
        <w:rPr>
          <w:rFonts w:ascii="Times New Roman" w:hAnsi="Times New Roman" w:cs="Times New Roman"/>
          <w:sz w:val="24"/>
          <w:szCs w:val="24"/>
        </w:rPr>
        <w:t xml:space="preserve"> used to differentiate the public goods are non-excludability and </w:t>
      </w:r>
      <w:r w:rsidR="005F71A6">
        <w:rPr>
          <w:rFonts w:ascii="Times New Roman" w:hAnsi="Times New Roman" w:cs="Times New Roman"/>
          <w:sz w:val="24"/>
          <w:szCs w:val="24"/>
        </w:rPr>
        <w:t xml:space="preserve">non-rivalrous. </w:t>
      </w:r>
      <w:r w:rsidR="008C4A2D">
        <w:rPr>
          <w:rFonts w:ascii="Times New Roman" w:hAnsi="Times New Roman" w:cs="Times New Roman"/>
          <w:sz w:val="24"/>
          <w:szCs w:val="24"/>
        </w:rPr>
        <w:t>Non-</w:t>
      </w:r>
      <w:r w:rsidR="005F71A6">
        <w:rPr>
          <w:rFonts w:ascii="Times New Roman" w:hAnsi="Times New Roman" w:cs="Times New Roman"/>
          <w:sz w:val="24"/>
          <w:szCs w:val="24"/>
        </w:rPr>
        <w:t>excludability are goods available to all citizens, while the latter are goods that do not run out of supply as many people consume</w:t>
      </w:r>
      <w:r>
        <w:rPr>
          <w:rFonts w:ascii="Times New Roman" w:hAnsi="Times New Roman" w:cs="Times New Roman"/>
          <w:sz w:val="24"/>
          <w:szCs w:val="24"/>
        </w:rPr>
        <w:t xml:space="preserve"> them. Political</w:t>
      </w:r>
      <w:r w:rsidR="005F71A6">
        <w:rPr>
          <w:rFonts w:ascii="Times New Roman" w:hAnsi="Times New Roman" w:cs="Times New Roman"/>
          <w:sz w:val="24"/>
          <w:szCs w:val="24"/>
        </w:rPr>
        <w:t xml:space="preserve"> societies determine which goods should be considered public, which is shown in the government's spending priorities</w:t>
      </w:r>
      <w:r w:rsidR="00DF15C5">
        <w:rPr>
          <w:rFonts w:ascii="Times New Roman" w:hAnsi="Times New Roman" w:cs="Times New Roman"/>
          <w:sz w:val="24"/>
          <w:szCs w:val="24"/>
        </w:rPr>
        <w:t>. (Bertelli,2019).</w:t>
      </w:r>
      <w:r w:rsidR="005F71A6">
        <w:rPr>
          <w:rFonts w:ascii="Times New Roman" w:hAnsi="Times New Roman" w:cs="Times New Roman"/>
          <w:sz w:val="24"/>
          <w:szCs w:val="24"/>
        </w:rPr>
        <w:t xml:space="preserve"> For </w:t>
      </w:r>
      <w:r>
        <w:rPr>
          <w:rFonts w:ascii="Times New Roman" w:hAnsi="Times New Roman" w:cs="Times New Roman"/>
          <w:sz w:val="24"/>
          <w:szCs w:val="24"/>
        </w:rPr>
        <w:t>example,</w:t>
      </w:r>
      <w:r w:rsidR="005F71A6">
        <w:rPr>
          <w:rFonts w:ascii="Times New Roman" w:hAnsi="Times New Roman" w:cs="Times New Roman"/>
          <w:sz w:val="24"/>
          <w:szCs w:val="24"/>
        </w:rPr>
        <w:t xml:space="preserve"> the national defense is an essential public good that should be provided to every citizen. Political societies and the governments invest in the military, purchase </w:t>
      </w:r>
      <w:r w:rsidR="008C4A2D">
        <w:rPr>
          <w:rFonts w:ascii="Times New Roman" w:hAnsi="Times New Roman" w:cs="Times New Roman"/>
          <w:sz w:val="24"/>
          <w:szCs w:val="24"/>
        </w:rPr>
        <w:t xml:space="preserve">of </w:t>
      </w:r>
      <w:r w:rsidR="005F71A6">
        <w:rPr>
          <w:rFonts w:ascii="Times New Roman" w:hAnsi="Times New Roman" w:cs="Times New Roman"/>
          <w:sz w:val="24"/>
          <w:szCs w:val="24"/>
        </w:rPr>
        <w:t xml:space="preserve">weapons, a budget set aside for the upkeep of the army, and research and development on </w:t>
      </w:r>
      <w:r>
        <w:rPr>
          <w:rFonts w:ascii="Times New Roman" w:hAnsi="Times New Roman" w:cs="Times New Roman"/>
          <w:sz w:val="24"/>
          <w:szCs w:val="24"/>
        </w:rPr>
        <w:t>defense issues.</w:t>
      </w:r>
    </w:p>
    <w:p w14:paraId="6B245145" w14:textId="74F74742" w:rsidR="000A2BDA" w:rsidRDefault="003B607F" w:rsidP="000A2BD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All</w:t>
      </w:r>
      <w:r w:rsidR="005F71A6">
        <w:rPr>
          <w:rFonts w:ascii="Times New Roman" w:hAnsi="Times New Roman" w:cs="Times New Roman"/>
          <w:sz w:val="24"/>
          <w:szCs w:val="24"/>
        </w:rPr>
        <w:t xml:space="preserve"> these activities are done through public </w:t>
      </w:r>
      <w:r w:rsidR="00294B8E">
        <w:rPr>
          <w:rFonts w:ascii="Times New Roman" w:hAnsi="Times New Roman" w:cs="Times New Roman"/>
          <w:sz w:val="24"/>
          <w:szCs w:val="24"/>
        </w:rPr>
        <w:t>taxation. For</w:t>
      </w:r>
      <w:r w:rsidR="005F71A6">
        <w:rPr>
          <w:rFonts w:ascii="Times New Roman" w:hAnsi="Times New Roman" w:cs="Times New Roman"/>
          <w:sz w:val="24"/>
          <w:szCs w:val="24"/>
        </w:rPr>
        <w:t xml:space="preserve"> </w:t>
      </w:r>
      <w:r w:rsidR="00294B8E">
        <w:rPr>
          <w:rFonts w:ascii="Times New Roman" w:hAnsi="Times New Roman" w:cs="Times New Roman"/>
          <w:sz w:val="24"/>
          <w:szCs w:val="24"/>
        </w:rPr>
        <w:t>instance,</w:t>
      </w:r>
      <w:r w:rsidR="005F71A6">
        <w:rPr>
          <w:rFonts w:ascii="Times New Roman" w:hAnsi="Times New Roman" w:cs="Times New Roman"/>
          <w:sz w:val="24"/>
          <w:szCs w:val="24"/>
        </w:rPr>
        <w:t xml:space="preserve"> in a country like the United States, a large expenditure is dedicated to the Department of </w:t>
      </w:r>
      <w:r>
        <w:rPr>
          <w:rFonts w:ascii="Times New Roman" w:hAnsi="Times New Roman" w:cs="Times New Roman"/>
          <w:sz w:val="24"/>
          <w:szCs w:val="24"/>
        </w:rPr>
        <w:t>Defense. Moreover</w:t>
      </w:r>
      <w:r w:rsidR="00294B8E">
        <w:rPr>
          <w:rFonts w:ascii="Times New Roman" w:hAnsi="Times New Roman" w:cs="Times New Roman"/>
          <w:sz w:val="24"/>
          <w:szCs w:val="24"/>
        </w:rPr>
        <w:t>,</w:t>
      </w:r>
      <w:r w:rsidR="005F71A6">
        <w:rPr>
          <w:rFonts w:ascii="Times New Roman" w:hAnsi="Times New Roman" w:cs="Times New Roman"/>
          <w:sz w:val="24"/>
          <w:szCs w:val="24"/>
        </w:rPr>
        <w:t xml:space="preserve"> </w:t>
      </w:r>
      <w:r w:rsidR="00294B8E">
        <w:rPr>
          <w:rFonts w:ascii="Times New Roman" w:hAnsi="Times New Roman" w:cs="Times New Roman"/>
          <w:sz w:val="24"/>
          <w:szCs w:val="24"/>
        </w:rPr>
        <w:t xml:space="preserve">other services treated as public goods are education and health </w:t>
      </w:r>
      <w:r w:rsidR="00DF15C5">
        <w:rPr>
          <w:rFonts w:ascii="Times New Roman" w:hAnsi="Times New Roman" w:cs="Times New Roman"/>
          <w:sz w:val="24"/>
          <w:szCs w:val="24"/>
        </w:rPr>
        <w:t>services (Locatelli,2018).</w:t>
      </w:r>
      <w:r w:rsidR="00294B8E">
        <w:rPr>
          <w:rFonts w:ascii="Times New Roman" w:hAnsi="Times New Roman" w:cs="Times New Roman"/>
          <w:sz w:val="24"/>
          <w:szCs w:val="24"/>
        </w:rPr>
        <w:t xml:space="preserve"> They are countries that provide healthcare to their citizens funded by taxpayers, which means that it is considered a public good since every citizen requires this service. </w:t>
      </w:r>
      <w:r w:rsidR="008A3529">
        <w:rPr>
          <w:rFonts w:ascii="Times New Roman" w:hAnsi="Times New Roman" w:cs="Times New Roman"/>
          <w:sz w:val="24"/>
          <w:szCs w:val="24"/>
        </w:rPr>
        <w:t>Healthcare is considered as a human right issue. Similarly</w:t>
      </w:r>
      <w:r w:rsidR="00294B8E">
        <w:rPr>
          <w:rFonts w:ascii="Times New Roman" w:hAnsi="Times New Roman" w:cs="Times New Roman"/>
          <w:sz w:val="24"/>
          <w:szCs w:val="24"/>
        </w:rPr>
        <w:t xml:space="preserve">, education has become an essential utility in society, and political institutions such as the government have invested in schools where formal education has grown </w:t>
      </w:r>
      <w:r w:rsidR="00294B8E">
        <w:rPr>
          <w:rFonts w:ascii="Times New Roman" w:hAnsi="Times New Roman" w:cs="Times New Roman"/>
          <w:sz w:val="24"/>
          <w:szCs w:val="24"/>
        </w:rPr>
        <w:lastRenderedPageBreak/>
        <w:t xml:space="preserve">tremendously over the </w:t>
      </w:r>
      <w:r w:rsidR="008A3529">
        <w:rPr>
          <w:rFonts w:ascii="Times New Roman" w:hAnsi="Times New Roman" w:cs="Times New Roman"/>
          <w:sz w:val="24"/>
          <w:szCs w:val="24"/>
        </w:rPr>
        <w:t>years. Reduction in public education investment is considered as a reduction in the public goods.</w:t>
      </w:r>
    </w:p>
    <w:p w14:paraId="55112620" w14:textId="17D6936B" w:rsidR="000A2BDA" w:rsidRDefault="003B607F" w:rsidP="000A2BD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The government considers these two as public goods as their benefits outweigh their costs and have positive outcomes such as a decline in poverty rates, increase in workforce participation, and skills in domestic industries </w:t>
      </w:r>
      <w:r w:rsidR="00E01161">
        <w:rPr>
          <w:rFonts w:ascii="Times New Roman" w:hAnsi="Times New Roman" w:cs="Times New Roman"/>
          <w:sz w:val="24"/>
          <w:szCs w:val="24"/>
        </w:rPr>
        <w:t>increase. However,</w:t>
      </w:r>
      <w:r>
        <w:rPr>
          <w:rFonts w:ascii="Times New Roman" w:hAnsi="Times New Roman" w:cs="Times New Roman"/>
          <w:sz w:val="24"/>
          <w:szCs w:val="24"/>
        </w:rPr>
        <w:t xml:space="preserve"> these public goods can have long-term effects such as overburden the taxpayers, </w:t>
      </w:r>
      <w:r w:rsidR="00E01161">
        <w:rPr>
          <w:rFonts w:ascii="Times New Roman" w:hAnsi="Times New Roman" w:cs="Times New Roman"/>
          <w:sz w:val="24"/>
          <w:szCs w:val="24"/>
        </w:rPr>
        <w:t xml:space="preserve">and the private sector can also provide the </w:t>
      </w:r>
      <w:r w:rsidR="00DF15C5">
        <w:rPr>
          <w:rFonts w:ascii="Times New Roman" w:hAnsi="Times New Roman" w:cs="Times New Roman"/>
          <w:sz w:val="24"/>
          <w:szCs w:val="24"/>
        </w:rPr>
        <w:t>goods. Additionally, commodities</w:t>
      </w:r>
      <w:r>
        <w:rPr>
          <w:rFonts w:ascii="Times New Roman" w:hAnsi="Times New Roman" w:cs="Times New Roman"/>
          <w:sz w:val="24"/>
          <w:szCs w:val="24"/>
        </w:rPr>
        <w:t xml:space="preserve"> such as </w:t>
      </w:r>
      <w:r w:rsidR="00DF15C5">
        <w:rPr>
          <w:rFonts w:ascii="Times New Roman" w:hAnsi="Times New Roman" w:cs="Times New Roman"/>
          <w:sz w:val="24"/>
          <w:szCs w:val="24"/>
        </w:rPr>
        <w:t>clean water, infrastructure, transportation</w:t>
      </w:r>
      <w:r w:rsidR="009275FC">
        <w:rPr>
          <w:rFonts w:ascii="Times New Roman" w:hAnsi="Times New Roman" w:cs="Times New Roman"/>
          <w:sz w:val="24"/>
          <w:szCs w:val="24"/>
        </w:rPr>
        <w:t xml:space="preserve"> are considered public goods, and it is responsible for political institutions such as the government to provide these services.</w:t>
      </w:r>
    </w:p>
    <w:p w14:paraId="6AAE4571" w14:textId="57AF9CF6" w:rsidR="000A2BDA" w:rsidRDefault="003B607F" w:rsidP="000A2BD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Private goods such as cars only benefit an individual, and the market forces determine their prices, </w:t>
      </w:r>
      <w:r w:rsidR="008C4A2D">
        <w:rPr>
          <w:rFonts w:ascii="Times New Roman" w:hAnsi="Times New Roman" w:cs="Times New Roman"/>
          <w:sz w:val="24"/>
          <w:szCs w:val="24"/>
        </w:rPr>
        <w:t>where they</w:t>
      </w:r>
      <w:r>
        <w:rPr>
          <w:rFonts w:ascii="Times New Roman" w:hAnsi="Times New Roman" w:cs="Times New Roman"/>
          <w:sz w:val="24"/>
          <w:szCs w:val="24"/>
        </w:rPr>
        <w:t xml:space="preserve"> are both rivalrous and excludability. Excludability means that the producer can limit who purchases the good depending on an individual's ability to pay. Private goods cannot be relied on for necessities such as food as there is income </w:t>
      </w:r>
      <w:r w:rsidR="009275FC">
        <w:rPr>
          <w:rFonts w:ascii="Times New Roman" w:hAnsi="Times New Roman" w:cs="Times New Roman"/>
          <w:sz w:val="24"/>
          <w:szCs w:val="24"/>
        </w:rPr>
        <w:t>inequality. A private government only benefits a third party, such as the government only when there is a positive externality in the production and consumption of the good. Finally, most private goods' needs depend on an individual income that depends on the government's taxation.</w:t>
      </w:r>
    </w:p>
    <w:p w14:paraId="014B584E" w14:textId="77777777" w:rsidR="00DF15C5" w:rsidRDefault="00DF15C5" w:rsidP="000A2BDA">
      <w:pPr>
        <w:spacing w:line="480" w:lineRule="auto"/>
        <w:ind w:firstLine="720"/>
        <w:rPr>
          <w:rFonts w:ascii="Times New Roman" w:hAnsi="Times New Roman" w:cs="Times New Roman"/>
          <w:sz w:val="24"/>
          <w:szCs w:val="24"/>
        </w:rPr>
      </w:pPr>
    </w:p>
    <w:p w14:paraId="5F5E1AC6" w14:textId="77777777" w:rsidR="00DF15C5" w:rsidRDefault="00DF15C5" w:rsidP="000A2BDA">
      <w:pPr>
        <w:spacing w:line="480" w:lineRule="auto"/>
        <w:ind w:firstLine="720"/>
        <w:rPr>
          <w:rFonts w:ascii="Times New Roman" w:hAnsi="Times New Roman" w:cs="Times New Roman"/>
          <w:sz w:val="24"/>
          <w:szCs w:val="24"/>
        </w:rPr>
      </w:pPr>
    </w:p>
    <w:p w14:paraId="0DF29E41" w14:textId="77777777" w:rsidR="00DF15C5" w:rsidRDefault="00DF15C5" w:rsidP="000A2BDA">
      <w:pPr>
        <w:spacing w:line="480" w:lineRule="auto"/>
        <w:ind w:firstLine="720"/>
        <w:rPr>
          <w:rFonts w:ascii="Times New Roman" w:hAnsi="Times New Roman" w:cs="Times New Roman"/>
          <w:sz w:val="24"/>
          <w:szCs w:val="24"/>
        </w:rPr>
      </w:pPr>
    </w:p>
    <w:p w14:paraId="3A01EBF6" w14:textId="77777777" w:rsidR="00DF15C5" w:rsidRDefault="00DF15C5" w:rsidP="000A2BDA">
      <w:pPr>
        <w:spacing w:line="480" w:lineRule="auto"/>
        <w:ind w:firstLine="720"/>
        <w:rPr>
          <w:rFonts w:ascii="Times New Roman" w:hAnsi="Times New Roman" w:cs="Times New Roman"/>
          <w:sz w:val="24"/>
          <w:szCs w:val="24"/>
        </w:rPr>
      </w:pPr>
    </w:p>
    <w:p w14:paraId="043AAA76" w14:textId="77777777" w:rsidR="008A3529" w:rsidRDefault="008A3529" w:rsidP="008A3529">
      <w:pPr>
        <w:spacing w:line="480" w:lineRule="auto"/>
        <w:rPr>
          <w:rFonts w:ascii="Times New Roman" w:hAnsi="Times New Roman" w:cs="Times New Roman"/>
          <w:sz w:val="24"/>
          <w:szCs w:val="24"/>
        </w:rPr>
      </w:pPr>
    </w:p>
    <w:p w14:paraId="1C178C3F" w14:textId="451CFDA0" w:rsidR="009275FC" w:rsidRDefault="003B607F" w:rsidP="00DF15C5">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14:paraId="78348B8D" w14:textId="77777777" w:rsidR="00DF15C5" w:rsidRPr="00DF15C5" w:rsidRDefault="003B607F" w:rsidP="00DF15C5">
      <w:pPr>
        <w:spacing w:line="480" w:lineRule="auto"/>
        <w:ind w:left="720" w:hanging="720"/>
        <w:rPr>
          <w:rFonts w:ascii="Times New Roman" w:hAnsi="Times New Roman" w:cs="Times New Roman"/>
          <w:color w:val="222222"/>
          <w:sz w:val="24"/>
          <w:szCs w:val="24"/>
          <w:shd w:val="clear" w:color="auto" w:fill="FFFFFF"/>
        </w:rPr>
      </w:pPr>
      <w:r w:rsidRPr="00DF15C5">
        <w:rPr>
          <w:rFonts w:ascii="Times New Roman" w:hAnsi="Times New Roman" w:cs="Times New Roman"/>
          <w:color w:val="222222"/>
          <w:sz w:val="24"/>
          <w:szCs w:val="24"/>
          <w:shd w:val="clear" w:color="auto" w:fill="FFFFFF"/>
        </w:rPr>
        <w:t>Bertelli, A. M. (2019). Public goods, private partnerships, and political institutions. </w:t>
      </w:r>
      <w:r w:rsidRPr="00DF15C5">
        <w:rPr>
          <w:rFonts w:ascii="Times New Roman" w:hAnsi="Times New Roman" w:cs="Times New Roman"/>
          <w:i/>
          <w:iCs/>
          <w:color w:val="222222"/>
          <w:sz w:val="24"/>
          <w:szCs w:val="24"/>
          <w:shd w:val="clear" w:color="auto" w:fill="FFFFFF"/>
        </w:rPr>
        <w:t>Journal of Public Administration Research and Theory</w:t>
      </w:r>
      <w:r w:rsidRPr="00DF15C5">
        <w:rPr>
          <w:rFonts w:ascii="Times New Roman" w:hAnsi="Times New Roman" w:cs="Times New Roman"/>
          <w:color w:val="222222"/>
          <w:sz w:val="24"/>
          <w:szCs w:val="24"/>
          <w:shd w:val="clear" w:color="auto" w:fill="FFFFFF"/>
        </w:rPr>
        <w:t>, </w:t>
      </w:r>
      <w:r w:rsidRPr="00DF15C5">
        <w:rPr>
          <w:rFonts w:ascii="Times New Roman" w:hAnsi="Times New Roman" w:cs="Times New Roman"/>
          <w:i/>
          <w:iCs/>
          <w:color w:val="222222"/>
          <w:sz w:val="24"/>
          <w:szCs w:val="24"/>
          <w:shd w:val="clear" w:color="auto" w:fill="FFFFFF"/>
        </w:rPr>
        <w:t>29</w:t>
      </w:r>
      <w:r w:rsidRPr="00DF15C5">
        <w:rPr>
          <w:rFonts w:ascii="Times New Roman" w:hAnsi="Times New Roman" w:cs="Times New Roman"/>
          <w:color w:val="222222"/>
          <w:sz w:val="24"/>
          <w:szCs w:val="24"/>
          <w:shd w:val="clear" w:color="auto" w:fill="FFFFFF"/>
        </w:rPr>
        <w:t>(1), 67-83.</w:t>
      </w:r>
    </w:p>
    <w:p w14:paraId="12DAA84C" w14:textId="77777777" w:rsidR="00DF15C5" w:rsidRPr="00DF15C5" w:rsidRDefault="003B607F" w:rsidP="00DF15C5">
      <w:pPr>
        <w:spacing w:line="480" w:lineRule="auto"/>
        <w:ind w:left="720" w:hanging="720"/>
        <w:rPr>
          <w:rFonts w:ascii="Times New Roman" w:hAnsi="Times New Roman" w:cs="Times New Roman"/>
          <w:sz w:val="24"/>
          <w:szCs w:val="24"/>
        </w:rPr>
      </w:pPr>
      <w:r w:rsidRPr="00DF15C5">
        <w:rPr>
          <w:rFonts w:ascii="Times New Roman" w:hAnsi="Times New Roman" w:cs="Times New Roman"/>
          <w:color w:val="222222"/>
          <w:sz w:val="24"/>
          <w:szCs w:val="24"/>
          <w:shd w:val="clear" w:color="auto" w:fill="FFFFFF"/>
        </w:rPr>
        <w:t>Locatelli, R. (2018). Education as a public and common good: Reframing the governance of education in a changing context.</w:t>
      </w:r>
    </w:p>
    <w:p w14:paraId="79066F3F" w14:textId="77777777" w:rsidR="009275FC" w:rsidRDefault="009275FC" w:rsidP="000A2BDA">
      <w:pPr>
        <w:spacing w:line="480" w:lineRule="auto"/>
        <w:ind w:firstLine="720"/>
        <w:rPr>
          <w:rFonts w:ascii="Times New Roman" w:hAnsi="Times New Roman" w:cs="Times New Roman"/>
          <w:sz w:val="24"/>
          <w:szCs w:val="24"/>
        </w:rPr>
      </w:pPr>
    </w:p>
    <w:p w14:paraId="4FDA71A8" w14:textId="77777777" w:rsidR="000A2BDA" w:rsidRDefault="000A2BDA" w:rsidP="000A2BDA">
      <w:pPr>
        <w:spacing w:line="480" w:lineRule="auto"/>
        <w:ind w:firstLine="720"/>
        <w:rPr>
          <w:rFonts w:ascii="Times New Roman" w:hAnsi="Times New Roman" w:cs="Times New Roman"/>
          <w:sz w:val="24"/>
          <w:szCs w:val="24"/>
        </w:rPr>
      </w:pPr>
    </w:p>
    <w:p w14:paraId="1BD5D61B" w14:textId="77777777" w:rsidR="000A2BDA" w:rsidRDefault="000A2BDA" w:rsidP="000A2BDA">
      <w:pPr>
        <w:spacing w:line="480" w:lineRule="auto"/>
        <w:ind w:firstLine="720"/>
        <w:rPr>
          <w:rFonts w:ascii="Times New Roman" w:hAnsi="Times New Roman" w:cs="Times New Roman"/>
          <w:sz w:val="24"/>
          <w:szCs w:val="24"/>
        </w:rPr>
      </w:pPr>
    </w:p>
    <w:p w14:paraId="6895B7F5" w14:textId="77777777" w:rsidR="00E01161" w:rsidRDefault="00E01161" w:rsidP="00C96D6E">
      <w:pPr>
        <w:spacing w:line="480" w:lineRule="auto"/>
        <w:ind w:firstLine="720"/>
        <w:rPr>
          <w:rFonts w:ascii="Times New Roman" w:hAnsi="Times New Roman" w:cs="Times New Roman"/>
          <w:sz w:val="24"/>
          <w:szCs w:val="24"/>
        </w:rPr>
      </w:pPr>
    </w:p>
    <w:p w14:paraId="5273FBE4" w14:textId="77777777" w:rsidR="00E01161" w:rsidRDefault="00E01161" w:rsidP="00C96D6E">
      <w:pPr>
        <w:spacing w:line="480" w:lineRule="auto"/>
        <w:ind w:firstLine="720"/>
        <w:rPr>
          <w:rFonts w:ascii="Times New Roman" w:hAnsi="Times New Roman" w:cs="Times New Roman"/>
          <w:sz w:val="24"/>
          <w:szCs w:val="24"/>
        </w:rPr>
      </w:pPr>
    </w:p>
    <w:p w14:paraId="52DCB0E8" w14:textId="77777777" w:rsidR="005F71A6" w:rsidRDefault="005F71A6" w:rsidP="00C96D6E">
      <w:pPr>
        <w:spacing w:line="480" w:lineRule="auto"/>
        <w:ind w:firstLine="720"/>
        <w:rPr>
          <w:rFonts w:ascii="Times New Roman" w:hAnsi="Times New Roman" w:cs="Times New Roman"/>
          <w:sz w:val="24"/>
          <w:szCs w:val="24"/>
        </w:rPr>
      </w:pPr>
    </w:p>
    <w:p w14:paraId="7AE1731B" w14:textId="77777777" w:rsidR="00083649" w:rsidRPr="00083649" w:rsidRDefault="00083649" w:rsidP="00083649">
      <w:pPr>
        <w:spacing w:line="480" w:lineRule="auto"/>
        <w:ind w:firstLine="720"/>
        <w:rPr>
          <w:rFonts w:ascii="Times New Roman" w:hAnsi="Times New Roman" w:cs="Times New Roman"/>
          <w:sz w:val="24"/>
          <w:szCs w:val="24"/>
        </w:rPr>
      </w:pPr>
    </w:p>
    <w:sectPr w:rsidR="00083649" w:rsidRPr="00083649" w:rsidSect="008A3529">
      <w:headerReference w:type="default" r:id="rId6"/>
      <w:footerReference w:type="default" r:id="rId7"/>
      <w:headerReference w:type="first" r:id="rId8"/>
      <w:foot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613AC2" w14:textId="77777777" w:rsidR="00827AA9" w:rsidRDefault="00827AA9" w:rsidP="008A3529">
      <w:pPr>
        <w:spacing w:after="0" w:line="240" w:lineRule="auto"/>
      </w:pPr>
      <w:r>
        <w:separator/>
      </w:r>
    </w:p>
  </w:endnote>
  <w:endnote w:type="continuationSeparator" w:id="0">
    <w:p w14:paraId="3E707306" w14:textId="77777777" w:rsidR="00827AA9" w:rsidRDefault="00827AA9" w:rsidP="008A35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29743241"/>
      <w:docPartObj>
        <w:docPartGallery w:val="Page Numbers (Bottom of Page)"/>
        <w:docPartUnique/>
      </w:docPartObj>
    </w:sdtPr>
    <w:sdtEndPr>
      <w:rPr>
        <w:noProof/>
      </w:rPr>
    </w:sdtEndPr>
    <w:sdtContent>
      <w:p w14:paraId="12BD732E" w14:textId="3A23B4B9" w:rsidR="008A3529" w:rsidRDefault="008A352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E58941F" w14:textId="77777777" w:rsidR="008A3529" w:rsidRDefault="008A35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7605244"/>
      <w:docPartObj>
        <w:docPartGallery w:val="Page Numbers (Bottom of Page)"/>
        <w:docPartUnique/>
      </w:docPartObj>
    </w:sdtPr>
    <w:sdtEndPr>
      <w:rPr>
        <w:noProof/>
      </w:rPr>
    </w:sdtEndPr>
    <w:sdtContent>
      <w:p w14:paraId="09471D55" w14:textId="28814F5A" w:rsidR="008A3529" w:rsidRDefault="008A352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0022E1" w14:textId="77777777" w:rsidR="008A3529" w:rsidRDefault="008A35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2CFCEF" w14:textId="77777777" w:rsidR="00827AA9" w:rsidRDefault="00827AA9" w:rsidP="008A3529">
      <w:pPr>
        <w:spacing w:after="0" w:line="240" w:lineRule="auto"/>
      </w:pPr>
      <w:r>
        <w:separator/>
      </w:r>
    </w:p>
  </w:footnote>
  <w:footnote w:type="continuationSeparator" w:id="0">
    <w:p w14:paraId="3C13F3F7" w14:textId="77777777" w:rsidR="00827AA9" w:rsidRDefault="00827AA9" w:rsidP="008A35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7177814"/>
      <w:docPartObj>
        <w:docPartGallery w:val="Page Numbers (Top of Page)"/>
        <w:docPartUnique/>
      </w:docPartObj>
    </w:sdtPr>
    <w:sdtEndPr>
      <w:rPr>
        <w:noProof/>
      </w:rPr>
    </w:sdtEndPr>
    <w:sdtContent>
      <w:p w14:paraId="39493E82" w14:textId="6EF96356" w:rsidR="008A3529" w:rsidRDefault="008A3529">
        <w:pPr>
          <w:pStyle w:val="Header"/>
          <w:jc w:val="right"/>
        </w:pPr>
        <w:r>
          <w:t>PUBLIC AND PRIVATE GOODS</w:t>
        </w:r>
        <w:r>
          <w:tab/>
        </w:r>
        <w:r>
          <w:tab/>
        </w:r>
        <w:r>
          <w:fldChar w:fldCharType="begin"/>
        </w:r>
        <w:r>
          <w:instrText xml:space="preserve"> PAGE   \* MERGEFORMAT </w:instrText>
        </w:r>
        <w:r>
          <w:fldChar w:fldCharType="separate"/>
        </w:r>
        <w:r>
          <w:rPr>
            <w:noProof/>
          </w:rPr>
          <w:t>2</w:t>
        </w:r>
        <w:r>
          <w:rPr>
            <w:noProof/>
          </w:rPr>
          <w:fldChar w:fldCharType="end"/>
        </w:r>
      </w:p>
    </w:sdtContent>
  </w:sdt>
  <w:p w14:paraId="6610AFE3" w14:textId="77777777" w:rsidR="008A3529" w:rsidRDefault="008A35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01866082"/>
      <w:docPartObj>
        <w:docPartGallery w:val="Page Numbers (Top of Page)"/>
        <w:docPartUnique/>
      </w:docPartObj>
    </w:sdtPr>
    <w:sdtEndPr>
      <w:rPr>
        <w:noProof/>
      </w:rPr>
    </w:sdtEndPr>
    <w:sdtContent>
      <w:p w14:paraId="52EE0AC8" w14:textId="506F0CDF" w:rsidR="008A3529" w:rsidRDefault="008A3529">
        <w:pPr>
          <w:pStyle w:val="Header"/>
          <w:jc w:val="right"/>
        </w:pPr>
        <w:r>
          <w:t>Running head: PUBLIC AND PRIVATE GOODS</w:t>
        </w:r>
        <w:r>
          <w:tab/>
        </w:r>
        <w:r>
          <w:tab/>
        </w:r>
        <w:r>
          <w:fldChar w:fldCharType="begin"/>
        </w:r>
        <w:r>
          <w:instrText xml:space="preserve"> PAGE   \* MERGEFORMAT </w:instrText>
        </w:r>
        <w:r>
          <w:fldChar w:fldCharType="separate"/>
        </w:r>
        <w:r>
          <w:rPr>
            <w:noProof/>
          </w:rPr>
          <w:t>2</w:t>
        </w:r>
        <w:r>
          <w:rPr>
            <w:noProof/>
          </w:rPr>
          <w:fldChar w:fldCharType="end"/>
        </w:r>
      </w:p>
    </w:sdtContent>
  </w:sdt>
  <w:p w14:paraId="57221E37" w14:textId="77777777" w:rsidR="008A3529" w:rsidRDefault="008A352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649"/>
    <w:rsid w:val="00083649"/>
    <w:rsid w:val="000A2BDA"/>
    <w:rsid w:val="00294B8E"/>
    <w:rsid w:val="003B607F"/>
    <w:rsid w:val="00467886"/>
    <w:rsid w:val="005F71A6"/>
    <w:rsid w:val="00827AA9"/>
    <w:rsid w:val="008A3529"/>
    <w:rsid w:val="008C4A2D"/>
    <w:rsid w:val="009275FC"/>
    <w:rsid w:val="00A43409"/>
    <w:rsid w:val="00C96D6E"/>
    <w:rsid w:val="00CA7BEE"/>
    <w:rsid w:val="00DF15C5"/>
    <w:rsid w:val="00E011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50973"/>
  <w15:chartTrackingRefBased/>
  <w15:docId w15:val="{1103AC84-8629-45EF-90CD-428F43F34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A35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3529"/>
  </w:style>
  <w:style w:type="paragraph" w:styleId="Footer">
    <w:name w:val="footer"/>
    <w:basedOn w:val="Normal"/>
    <w:link w:val="FooterChar"/>
    <w:uiPriority w:val="99"/>
    <w:unhideWhenUsed/>
    <w:rsid w:val="008A35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35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543</Words>
  <Characters>3099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cp:revision>
  <dcterms:created xsi:type="dcterms:W3CDTF">2021-02-26T23:49:00Z</dcterms:created>
  <dcterms:modified xsi:type="dcterms:W3CDTF">2021-02-26T23:55:00Z</dcterms:modified>
</cp:coreProperties>
</file>