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0C37" w:rsidRPr="002A0C37" w:rsidRDefault="002A0C37" w:rsidP="002A0C37">
      <w:pPr>
        <w:rPr>
          <w:rFonts w:asciiTheme="minorHAnsi" w:hAnsiTheme="minorHAnsi" w:cstheme="minorHAnsi"/>
        </w:rPr>
      </w:pPr>
      <w:bookmarkStart w:id="0" w:name="_GoBack"/>
      <w:r w:rsidRPr="002A0C37">
        <w:rPr>
          <w:rFonts w:asciiTheme="minorHAnsi" w:hAnsiTheme="minorHAnsi" w:cstheme="minorHAnsi"/>
        </w:rPr>
        <w:t>1</w:t>
      </w:r>
      <w:r w:rsidRPr="002A0C37">
        <w:rPr>
          <w:rFonts w:asciiTheme="minorHAnsi" w:hAnsiTheme="minorHAnsi" w:cstheme="minorHAnsi"/>
        </w:rPr>
        <w:t>.</w:t>
      </w:r>
      <w:r w:rsidRPr="002A0C37">
        <w:rPr>
          <w:rFonts w:asciiTheme="minorHAnsi" w:hAnsiTheme="minorHAnsi" w:cstheme="minorHAnsi"/>
        </w:rPr>
        <w:tab/>
        <w:t xml:space="preserve"> What are the challenges faced in rural health?</w:t>
      </w:r>
    </w:p>
    <w:p w:rsidR="002A0C37" w:rsidRPr="002A0C37" w:rsidRDefault="002A0C37" w:rsidP="002A0C37">
      <w:pPr>
        <w:rPr>
          <w:rFonts w:asciiTheme="minorHAnsi" w:hAnsiTheme="minorHAnsi" w:cstheme="minorHAnsi"/>
        </w:rPr>
      </w:pPr>
      <w:r w:rsidRPr="002A0C37">
        <w:rPr>
          <w:rFonts w:asciiTheme="minorHAnsi" w:hAnsiTheme="minorHAnsi" w:cstheme="minorHAnsi"/>
        </w:rPr>
        <w:t xml:space="preserve">ANS: Page 435-436: There are economic challenges and access to health care, misdistribution of healthcare professionals faced in rural health. Rural hospitals tend to be smaller and provide fewer services than urban hospitals. This can sometimes mean the closing of rural hospitals and thereby impair the access dilemma. </w:t>
      </w:r>
    </w:p>
    <w:p w:rsidR="002A0C37" w:rsidRPr="002A0C37" w:rsidRDefault="002A0C37" w:rsidP="002A0C37">
      <w:pPr>
        <w:rPr>
          <w:rFonts w:asciiTheme="minorHAnsi" w:hAnsiTheme="minorHAnsi" w:cstheme="minorHAnsi"/>
        </w:rPr>
      </w:pPr>
      <w:r w:rsidRPr="002A0C37">
        <w:rPr>
          <w:rFonts w:asciiTheme="minorHAnsi" w:hAnsiTheme="minorHAnsi" w:cstheme="minorHAnsi"/>
        </w:rPr>
        <w:t>2</w:t>
      </w:r>
      <w:r w:rsidRPr="002A0C37">
        <w:rPr>
          <w:rFonts w:asciiTheme="minorHAnsi" w:hAnsiTheme="minorHAnsi" w:cstheme="minorHAnsi"/>
        </w:rPr>
        <w:t>.</w:t>
      </w:r>
      <w:r w:rsidRPr="002A0C37">
        <w:rPr>
          <w:rFonts w:asciiTheme="minorHAnsi" w:hAnsiTheme="minorHAnsi" w:cstheme="minorHAnsi"/>
        </w:rPr>
        <w:tab/>
        <w:t>What measures are taken to improve access to care in rural areas?</w:t>
      </w:r>
    </w:p>
    <w:p w:rsidR="002A0C37" w:rsidRPr="002A0C37" w:rsidRDefault="002A0C37" w:rsidP="002A0C37">
      <w:pPr>
        <w:rPr>
          <w:rFonts w:asciiTheme="minorHAnsi" w:hAnsiTheme="minorHAnsi" w:cstheme="minorHAnsi"/>
        </w:rPr>
      </w:pPr>
      <w:r w:rsidRPr="002A0C37">
        <w:rPr>
          <w:rFonts w:asciiTheme="minorHAnsi" w:hAnsiTheme="minorHAnsi" w:cstheme="minorHAnsi"/>
        </w:rPr>
        <w:t>ANS: Page 436: The promotion of the National Health Service Corps, the designation of Health Professional Shortage Areas, and Medically Underserved areas, the development of Community and Migrant Health Centers, and the enactment of the Rural Health Clinics act are all measures taken to improve access to care in rural areas. In addition, the Office of Rural Health Policy, within the Health Resources and service Administration of the US Department of Health and Human Services was established in 1987 to promote better health care in rural America.</w:t>
      </w:r>
    </w:p>
    <w:p w:rsidR="002A0C37" w:rsidRPr="002A0C37" w:rsidRDefault="002A0C37" w:rsidP="002A0C37">
      <w:pPr>
        <w:rPr>
          <w:rFonts w:asciiTheme="minorHAnsi" w:hAnsiTheme="minorHAnsi" w:cstheme="minorHAnsi"/>
        </w:rPr>
      </w:pPr>
      <w:r w:rsidRPr="002A0C37">
        <w:rPr>
          <w:rFonts w:asciiTheme="minorHAnsi" w:hAnsiTheme="minorHAnsi" w:cstheme="minorHAnsi"/>
        </w:rPr>
        <w:t>3</w:t>
      </w:r>
      <w:r w:rsidRPr="002A0C37">
        <w:rPr>
          <w:rFonts w:asciiTheme="minorHAnsi" w:hAnsiTheme="minorHAnsi" w:cstheme="minorHAnsi"/>
        </w:rPr>
        <w:t>.</w:t>
      </w:r>
      <w:r w:rsidRPr="002A0C37">
        <w:rPr>
          <w:rFonts w:asciiTheme="minorHAnsi" w:hAnsiTheme="minorHAnsi" w:cstheme="minorHAnsi"/>
        </w:rPr>
        <w:tab/>
        <w:t>What are the characteristics and health concerns of the homeless population?</w:t>
      </w:r>
    </w:p>
    <w:p w:rsidR="002A0C37" w:rsidRPr="002A0C37" w:rsidRDefault="002A0C37" w:rsidP="002A0C37">
      <w:pPr>
        <w:rPr>
          <w:rFonts w:asciiTheme="minorHAnsi" w:hAnsiTheme="minorHAnsi" w:cstheme="minorHAnsi"/>
        </w:rPr>
      </w:pPr>
      <w:r w:rsidRPr="002A0C37">
        <w:rPr>
          <w:rFonts w:asciiTheme="minorHAnsi" w:hAnsiTheme="minorHAnsi" w:cstheme="minorHAnsi"/>
        </w:rPr>
        <w:t>ANS: Page 438-440: The homeless have a high prevalence of untreated acute and chronic medical, mental health, and substance abuse problems. Some argue that disabilities and illness lead to someone being homeless, others say that because individuals are homeless, they are more susceptible to illness and disability. Homeless people are also at greater risk of assault and victimization. They are at risk of exposure to the elements (heat, cold, precipitation).</w:t>
      </w:r>
    </w:p>
    <w:p w:rsidR="002A0C37" w:rsidRPr="002A0C37" w:rsidRDefault="002A0C37" w:rsidP="002A0C37">
      <w:pPr>
        <w:rPr>
          <w:rFonts w:asciiTheme="minorHAnsi" w:hAnsiTheme="minorHAnsi" w:cstheme="minorHAnsi"/>
        </w:rPr>
      </w:pPr>
      <w:r w:rsidRPr="002A0C37">
        <w:rPr>
          <w:rFonts w:asciiTheme="minorHAnsi" w:hAnsiTheme="minorHAnsi" w:cstheme="minorHAnsi"/>
        </w:rPr>
        <w:t>4</w:t>
      </w:r>
      <w:r w:rsidRPr="002A0C37">
        <w:rPr>
          <w:rFonts w:asciiTheme="minorHAnsi" w:hAnsiTheme="minorHAnsi" w:cstheme="minorHAnsi"/>
        </w:rPr>
        <w:t>.</w:t>
      </w:r>
      <w:r w:rsidRPr="002A0C37">
        <w:rPr>
          <w:rFonts w:asciiTheme="minorHAnsi" w:hAnsiTheme="minorHAnsi" w:cstheme="minorHAnsi"/>
        </w:rPr>
        <w:tab/>
        <w:t>How is mental health provided in the US?</w:t>
      </w:r>
    </w:p>
    <w:p w:rsidR="002A0C37" w:rsidRPr="002A0C37" w:rsidRDefault="002A0C37" w:rsidP="002A0C37">
      <w:pPr>
        <w:rPr>
          <w:rFonts w:asciiTheme="minorHAnsi" w:hAnsiTheme="minorHAnsi" w:cstheme="minorHAnsi"/>
        </w:rPr>
      </w:pPr>
      <w:r w:rsidRPr="002A0C37">
        <w:rPr>
          <w:rFonts w:asciiTheme="minorHAnsi" w:hAnsiTheme="minorHAnsi" w:cstheme="minorHAnsi"/>
        </w:rPr>
        <w:t>ANS: Page 441-442: Most mental health services are provided in the general medical sector, rather than through formal mental health specialist services. Specifically, services are provided through public and private resources in both inpatient and outpatient facilities. Facilities include states and count mental hospitals, private, nonfederal, general, VA, residential, and freestanding.</w:t>
      </w:r>
    </w:p>
    <w:p w:rsidR="002A0C37" w:rsidRPr="002A0C37" w:rsidRDefault="002A0C37" w:rsidP="002A0C37">
      <w:pPr>
        <w:rPr>
          <w:rFonts w:asciiTheme="minorHAnsi" w:hAnsiTheme="minorHAnsi" w:cstheme="minorHAnsi"/>
        </w:rPr>
      </w:pPr>
      <w:r w:rsidRPr="002A0C37">
        <w:rPr>
          <w:rFonts w:asciiTheme="minorHAnsi" w:hAnsiTheme="minorHAnsi" w:cstheme="minorHAnsi"/>
        </w:rPr>
        <w:t>5</w:t>
      </w:r>
      <w:r w:rsidRPr="002A0C37">
        <w:rPr>
          <w:rFonts w:asciiTheme="minorHAnsi" w:hAnsiTheme="minorHAnsi" w:cstheme="minorHAnsi"/>
        </w:rPr>
        <w:t>.</w:t>
      </w:r>
      <w:r w:rsidRPr="002A0C37">
        <w:rPr>
          <w:rFonts w:asciiTheme="minorHAnsi" w:hAnsiTheme="minorHAnsi" w:cstheme="minorHAnsi"/>
        </w:rPr>
        <w:tab/>
        <w:t>What are the major mental health professionals?</w:t>
      </w:r>
    </w:p>
    <w:p w:rsidR="002A0C37" w:rsidRPr="002A0C37" w:rsidRDefault="002A0C37" w:rsidP="002A0C37">
      <w:pPr>
        <w:rPr>
          <w:rFonts w:asciiTheme="minorHAnsi" w:hAnsiTheme="minorHAnsi" w:cstheme="minorHAnsi"/>
        </w:rPr>
      </w:pPr>
      <w:r w:rsidRPr="002A0C37">
        <w:rPr>
          <w:rFonts w:asciiTheme="minorHAnsi" w:hAnsiTheme="minorHAnsi" w:cstheme="minorHAnsi"/>
        </w:rPr>
        <w:t xml:space="preserve">ANS: Page 443-444: Psychiatrists which are physicians that have post-graduate training in mental health, power, they can prescribe prescriptions and admit patients. Psychologists usually have doctoral degree, can interpret and change people’s behavior, cannot issue prescriptions, also they use psychotherapy and counseling. </w:t>
      </w:r>
    </w:p>
    <w:p w:rsidR="002A0C37" w:rsidRPr="002A0C37" w:rsidRDefault="002A0C37" w:rsidP="002A0C37">
      <w:pPr>
        <w:rPr>
          <w:rFonts w:asciiTheme="minorHAnsi" w:hAnsiTheme="minorHAnsi" w:cstheme="minorHAnsi"/>
        </w:rPr>
      </w:pPr>
      <w:r w:rsidRPr="002A0C37">
        <w:rPr>
          <w:rFonts w:asciiTheme="minorHAnsi" w:hAnsiTheme="minorHAnsi" w:cstheme="minorHAnsi"/>
        </w:rPr>
        <w:t>6</w:t>
      </w:r>
      <w:r w:rsidRPr="002A0C37">
        <w:rPr>
          <w:rFonts w:asciiTheme="minorHAnsi" w:hAnsiTheme="minorHAnsi" w:cstheme="minorHAnsi"/>
        </w:rPr>
        <w:t>.</w:t>
      </w:r>
      <w:r w:rsidRPr="002A0C37">
        <w:rPr>
          <w:rFonts w:asciiTheme="minorHAnsi" w:hAnsiTheme="minorHAnsi" w:cstheme="minorHAnsi"/>
        </w:rPr>
        <w:tab/>
        <w:t>How does AIDS affect different population groups in the US?</w:t>
      </w:r>
    </w:p>
    <w:p w:rsidR="002A0C37" w:rsidRPr="002A0C37" w:rsidRDefault="002A0C37" w:rsidP="002A0C37">
      <w:pPr>
        <w:rPr>
          <w:rFonts w:asciiTheme="minorHAnsi" w:hAnsiTheme="minorHAnsi" w:cstheme="minorHAnsi"/>
        </w:rPr>
      </w:pPr>
      <w:r w:rsidRPr="002A0C37">
        <w:rPr>
          <w:rFonts w:asciiTheme="minorHAnsi" w:hAnsiTheme="minorHAnsi" w:cstheme="minorHAnsi"/>
        </w:rPr>
        <w:t>ANS: Page 446-448: Rural communities spread of AIDs has grown. Rural people with AIDS tend to be young, non-White, and female (heterosexual). Growing numbers are majorly the rural south. Children are also affected by AIDS. In the absence of specific therapy to interrupt transmission of HIV, an infected woman has a 25% chance of having a child born with HIV. 91% of all AIDS cases among US children are caused by mother-to-child transmission in pregnancy, labor, delivery, or breastfeeding. Rapidly growing population with HIV/AIDS is in women.  For US Women, ages 25-44, HIV/AIDS is a leading cause of death.  Because of women’s position in society, HIV-positive women face many problems not confronted by men with HIV.</w:t>
      </w:r>
    </w:p>
    <w:p w:rsidR="002A0C37" w:rsidRPr="002A0C37" w:rsidRDefault="002A0C37" w:rsidP="002A0C37">
      <w:pPr>
        <w:rPr>
          <w:rFonts w:asciiTheme="minorHAnsi" w:hAnsiTheme="minorHAnsi" w:cstheme="minorHAnsi"/>
        </w:rPr>
      </w:pPr>
      <w:r w:rsidRPr="002A0C37">
        <w:rPr>
          <w:rFonts w:asciiTheme="minorHAnsi" w:hAnsiTheme="minorHAnsi" w:cstheme="minorHAnsi"/>
        </w:rPr>
        <w:t>7</w:t>
      </w:r>
      <w:r w:rsidRPr="002A0C37">
        <w:rPr>
          <w:rFonts w:asciiTheme="minorHAnsi" w:hAnsiTheme="minorHAnsi" w:cstheme="minorHAnsi"/>
        </w:rPr>
        <w:t>.</w:t>
      </w:r>
      <w:r w:rsidRPr="002A0C37">
        <w:rPr>
          <w:rFonts w:asciiTheme="minorHAnsi" w:hAnsiTheme="minorHAnsi" w:cstheme="minorHAnsi"/>
        </w:rPr>
        <w:tab/>
        <w:t>Which services and policies currently combat AIDS in America?</w:t>
      </w:r>
    </w:p>
    <w:p w:rsidR="002A0C37" w:rsidRPr="002A0C37" w:rsidRDefault="002A0C37" w:rsidP="002A0C37">
      <w:pPr>
        <w:rPr>
          <w:rFonts w:asciiTheme="minorHAnsi" w:hAnsiTheme="minorHAnsi" w:cstheme="minorHAnsi"/>
        </w:rPr>
      </w:pPr>
      <w:r w:rsidRPr="002A0C37">
        <w:rPr>
          <w:rFonts w:asciiTheme="minorHAnsi" w:hAnsiTheme="minorHAnsi" w:cstheme="minorHAnsi"/>
        </w:rPr>
        <w:t>ANS: Page 451: Public health services are currently available. They provide education to prevent the spread of and risk associated behavior avoidance, patient testing to increase the knowledge of exposure and associating behavior with risk and provider training to provide patient awareness and risk counseling. Research (NIH, CDC funding) is available to improve treatment modalities             and find potential vaccination for prevention. Treatment that is available is the access to medication and counseling; coordination to complex care; the Medicare waiver program that states can design packaged care to specific populations to try to contain costs; the Ryan White CARE Act (1990) uses funding assistance to specific geographic areas that see a disproportionate number of cases or lack resources to meet care challenges and costs; and the Social Security Administration program offers aid to patients who have depleted funds and need additional support beyond care costs or can no longer work.</w:t>
      </w:r>
    </w:p>
    <w:p w:rsidR="002A0C37" w:rsidRPr="002A0C37" w:rsidRDefault="002A0C37" w:rsidP="002A0C37">
      <w:pPr>
        <w:rPr>
          <w:rFonts w:asciiTheme="minorHAnsi" w:hAnsiTheme="minorHAnsi" w:cstheme="minorHAnsi"/>
        </w:rPr>
      </w:pPr>
      <w:r w:rsidRPr="002A0C37">
        <w:rPr>
          <w:rFonts w:asciiTheme="minorHAnsi" w:hAnsiTheme="minorHAnsi" w:cstheme="minorHAnsi"/>
        </w:rPr>
        <w:t>8</w:t>
      </w:r>
      <w:r w:rsidRPr="002A0C37">
        <w:rPr>
          <w:rFonts w:asciiTheme="minorHAnsi" w:hAnsiTheme="minorHAnsi" w:cstheme="minorHAnsi"/>
        </w:rPr>
        <w:t>.</w:t>
      </w:r>
      <w:r w:rsidRPr="002A0C37">
        <w:rPr>
          <w:rFonts w:asciiTheme="minorHAnsi" w:hAnsiTheme="minorHAnsi" w:cstheme="minorHAnsi"/>
        </w:rPr>
        <w:tab/>
        <w:t>What is the impact of the ACA on vulnerable populations?</w:t>
      </w:r>
    </w:p>
    <w:p w:rsidR="00FD52EA" w:rsidRPr="002A0C37" w:rsidRDefault="002A0C37" w:rsidP="002A0C37">
      <w:pPr>
        <w:rPr>
          <w:rFonts w:asciiTheme="minorHAnsi" w:hAnsiTheme="minorHAnsi" w:cstheme="minorHAnsi"/>
        </w:rPr>
      </w:pPr>
      <w:r w:rsidRPr="002A0C37">
        <w:rPr>
          <w:rFonts w:asciiTheme="minorHAnsi" w:hAnsiTheme="minorHAnsi" w:cstheme="minorHAnsi"/>
        </w:rPr>
        <w:t xml:space="preserve">ANS: Page 452: The problem of the uninsured will continue to haunt the US health care system. The ACA requires private insurance plans to cover, with no cost sharing, a wide variety of preventive services and additional services for women. Many HIV/AIDs patients are expected to gain health insurance. </w:t>
      </w:r>
      <w:r w:rsidRPr="002A0C37">
        <w:rPr>
          <w:rFonts w:asciiTheme="minorHAnsi" w:hAnsiTheme="minorHAnsi" w:cstheme="minorHAnsi"/>
        </w:rPr>
        <w:t xml:space="preserve"> </w:t>
      </w:r>
      <w:bookmarkEnd w:id="0"/>
    </w:p>
    <w:sectPr w:rsidR="00FD52EA" w:rsidRPr="002A0C37">
      <w:pgSz w:w="12240" w:h="15840"/>
      <w:pgMar w:top="1448" w:right="1467" w:bottom="2589"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4576F1"/>
    <w:multiLevelType w:val="hybridMultilevel"/>
    <w:tmpl w:val="908CF2D8"/>
    <w:lvl w:ilvl="0" w:tplc="EB82763E">
      <w:start w:val="3"/>
      <w:numFmt w:val="decimal"/>
      <w:lvlText w:val="%1."/>
      <w:lvlJc w:val="left"/>
      <w:pPr>
        <w:ind w:left="360"/>
      </w:pPr>
      <w:rPr>
        <w:rFonts w:ascii="Arial" w:eastAsia="Arial" w:hAnsi="Arial" w:cs="Arial"/>
        <w:b w:val="0"/>
        <w:i w:val="0"/>
        <w:strike w:val="0"/>
        <w:dstrike w:val="0"/>
        <w:color w:val="2D3B45"/>
        <w:sz w:val="24"/>
        <w:szCs w:val="24"/>
        <w:u w:val="none" w:color="000000"/>
        <w:bdr w:val="none" w:sz="0" w:space="0" w:color="auto"/>
        <w:shd w:val="clear" w:color="auto" w:fill="auto"/>
        <w:vertAlign w:val="baseline"/>
      </w:rPr>
    </w:lvl>
    <w:lvl w:ilvl="1" w:tplc="91CCDD02">
      <w:start w:val="1"/>
      <w:numFmt w:val="lowerLetter"/>
      <w:lvlText w:val="%2"/>
      <w:lvlJc w:val="left"/>
      <w:pPr>
        <w:ind w:left="1080"/>
      </w:pPr>
      <w:rPr>
        <w:rFonts w:ascii="Arial" w:eastAsia="Arial" w:hAnsi="Arial" w:cs="Arial"/>
        <w:b w:val="0"/>
        <w:i w:val="0"/>
        <w:strike w:val="0"/>
        <w:dstrike w:val="0"/>
        <w:color w:val="2D3B45"/>
        <w:sz w:val="24"/>
        <w:szCs w:val="24"/>
        <w:u w:val="none" w:color="000000"/>
        <w:bdr w:val="none" w:sz="0" w:space="0" w:color="auto"/>
        <w:shd w:val="clear" w:color="auto" w:fill="auto"/>
        <w:vertAlign w:val="baseline"/>
      </w:rPr>
    </w:lvl>
    <w:lvl w:ilvl="2" w:tplc="19321020">
      <w:start w:val="1"/>
      <w:numFmt w:val="lowerRoman"/>
      <w:lvlText w:val="%3"/>
      <w:lvlJc w:val="left"/>
      <w:pPr>
        <w:ind w:left="1800"/>
      </w:pPr>
      <w:rPr>
        <w:rFonts w:ascii="Arial" w:eastAsia="Arial" w:hAnsi="Arial" w:cs="Arial"/>
        <w:b w:val="0"/>
        <w:i w:val="0"/>
        <w:strike w:val="0"/>
        <w:dstrike w:val="0"/>
        <w:color w:val="2D3B45"/>
        <w:sz w:val="24"/>
        <w:szCs w:val="24"/>
        <w:u w:val="none" w:color="000000"/>
        <w:bdr w:val="none" w:sz="0" w:space="0" w:color="auto"/>
        <w:shd w:val="clear" w:color="auto" w:fill="auto"/>
        <w:vertAlign w:val="baseline"/>
      </w:rPr>
    </w:lvl>
    <w:lvl w:ilvl="3" w:tplc="E3F024D6">
      <w:start w:val="1"/>
      <w:numFmt w:val="decimal"/>
      <w:lvlText w:val="%4"/>
      <w:lvlJc w:val="left"/>
      <w:pPr>
        <w:ind w:left="2520"/>
      </w:pPr>
      <w:rPr>
        <w:rFonts w:ascii="Arial" w:eastAsia="Arial" w:hAnsi="Arial" w:cs="Arial"/>
        <w:b w:val="0"/>
        <w:i w:val="0"/>
        <w:strike w:val="0"/>
        <w:dstrike w:val="0"/>
        <w:color w:val="2D3B45"/>
        <w:sz w:val="24"/>
        <w:szCs w:val="24"/>
        <w:u w:val="none" w:color="000000"/>
        <w:bdr w:val="none" w:sz="0" w:space="0" w:color="auto"/>
        <w:shd w:val="clear" w:color="auto" w:fill="auto"/>
        <w:vertAlign w:val="baseline"/>
      </w:rPr>
    </w:lvl>
    <w:lvl w:ilvl="4" w:tplc="72F0C2C2">
      <w:start w:val="1"/>
      <w:numFmt w:val="lowerLetter"/>
      <w:lvlText w:val="%5"/>
      <w:lvlJc w:val="left"/>
      <w:pPr>
        <w:ind w:left="3240"/>
      </w:pPr>
      <w:rPr>
        <w:rFonts w:ascii="Arial" w:eastAsia="Arial" w:hAnsi="Arial" w:cs="Arial"/>
        <w:b w:val="0"/>
        <w:i w:val="0"/>
        <w:strike w:val="0"/>
        <w:dstrike w:val="0"/>
        <w:color w:val="2D3B45"/>
        <w:sz w:val="24"/>
        <w:szCs w:val="24"/>
        <w:u w:val="none" w:color="000000"/>
        <w:bdr w:val="none" w:sz="0" w:space="0" w:color="auto"/>
        <w:shd w:val="clear" w:color="auto" w:fill="auto"/>
        <w:vertAlign w:val="baseline"/>
      </w:rPr>
    </w:lvl>
    <w:lvl w:ilvl="5" w:tplc="166A365E">
      <w:start w:val="1"/>
      <w:numFmt w:val="lowerRoman"/>
      <w:lvlText w:val="%6"/>
      <w:lvlJc w:val="left"/>
      <w:pPr>
        <w:ind w:left="3960"/>
      </w:pPr>
      <w:rPr>
        <w:rFonts w:ascii="Arial" w:eastAsia="Arial" w:hAnsi="Arial" w:cs="Arial"/>
        <w:b w:val="0"/>
        <w:i w:val="0"/>
        <w:strike w:val="0"/>
        <w:dstrike w:val="0"/>
        <w:color w:val="2D3B45"/>
        <w:sz w:val="24"/>
        <w:szCs w:val="24"/>
        <w:u w:val="none" w:color="000000"/>
        <w:bdr w:val="none" w:sz="0" w:space="0" w:color="auto"/>
        <w:shd w:val="clear" w:color="auto" w:fill="auto"/>
        <w:vertAlign w:val="baseline"/>
      </w:rPr>
    </w:lvl>
    <w:lvl w:ilvl="6" w:tplc="100CF640">
      <w:start w:val="1"/>
      <w:numFmt w:val="decimal"/>
      <w:lvlText w:val="%7"/>
      <w:lvlJc w:val="left"/>
      <w:pPr>
        <w:ind w:left="4680"/>
      </w:pPr>
      <w:rPr>
        <w:rFonts w:ascii="Arial" w:eastAsia="Arial" w:hAnsi="Arial" w:cs="Arial"/>
        <w:b w:val="0"/>
        <w:i w:val="0"/>
        <w:strike w:val="0"/>
        <w:dstrike w:val="0"/>
        <w:color w:val="2D3B45"/>
        <w:sz w:val="24"/>
        <w:szCs w:val="24"/>
        <w:u w:val="none" w:color="000000"/>
        <w:bdr w:val="none" w:sz="0" w:space="0" w:color="auto"/>
        <w:shd w:val="clear" w:color="auto" w:fill="auto"/>
        <w:vertAlign w:val="baseline"/>
      </w:rPr>
    </w:lvl>
    <w:lvl w:ilvl="7" w:tplc="9A007210">
      <w:start w:val="1"/>
      <w:numFmt w:val="lowerLetter"/>
      <w:lvlText w:val="%8"/>
      <w:lvlJc w:val="left"/>
      <w:pPr>
        <w:ind w:left="5400"/>
      </w:pPr>
      <w:rPr>
        <w:rFonts w:ascii="Arial" w:eastAsia="Arial" w:hAnsi="Arial" w:cs="Arial"/>
        <w:b w:val="0"/>
        <w:i w:val="0"/>
        <w:strike w:val="0"/>
        <w:dstrike w:val="0"/>
        <w:color w:val="2D3B45"/>
        <w:sz w:val="24"/>
        <w:szCs w:val="24"/>
        <w:u w:val="none" w:color="000000"/>
        <w:bdr w:val="none" w:sz="0" w:space="0" w:color="auto"/>
        <w:shd w:val="clear" w:color="auto" w:fill="auto"/>
        <w:vertAlign w:val="baseline"/>
      </w:rPr>
    </w:lvl>
    <w:lvl w:ilvl="8" w:tplc="736EE494">
      <w:start w:val="1"/>
      <w:numFmt w:val="lowerRoman"/>
      <w:lvlText w:val="%9"/>
      <w:lvlJc w:val="left"/>
      <w:pPr>
        <w:ind w:left="6120"/>
      </w:pPr>
      <w:rPr>
        <w:rFonts w:ascii="Arial" w:eastAsia="Arial" w:hAnsi="Arial" w:cs="Arial"/>
        <w:b w:val="0"/>
        <w:i w:val="0"/>
        <w:strike w:val="0"/>
        <w:dstrike w:val="0"/>
        <w:color w:val="2D3B45"/>
        <w:sz w:val="24"/>
        <w:szCs w:val="24"/>
        <w:u w:val="none" w:color="000000"/>
        <w:bdr w:val="none" w:sz="0" w:space="0" w:color="auto"/>
        <w:shd w:val="clear" w:color="auto" w:fill="auto"/>
        <w:vertAlign w:val="baseline"/>
      </w:rPr>
    </w:lvl>
  </w:abstractNum>
  <w:abstractNum w:abstractNumId="1" w15:restartNumberingAfterBreak="0">
    <w:nsid w:val="44DB388D"/>
    <w:multiLevelType w:val="hybridMultilevel"/>
    <w:tmpl w:val="5936C0DA"/>
    <w:lvl w:ilvl="0" w:tplc="E15C1D04">
      <w:start w:val="26"/>
      <w:numFmt w:val="decimal"/>
      <w:lvlText w:val="%1."/>
      <w:lvlJc w:val="left"/>
      <w:pPr>
        <w:ind w:left="360"/>
      </w:pPr>
      <w:rPr>
        <w:rFonts w:ascii="Arial" w:eastAsia="Arial" w:hAnsi="Arial" w:cs="Arial"/>
        <w:b w:val="0"/>
        <w:i w:val="0"/>
        <w:strike w:val="0"/>
        <w:dstrike w:val="0"/>
        <w:color w:val="2D3B45"/>
        <w:sz w:val="20"/>
        <w:szCs w:val="20"/>
        <w:u w:val="none" w:color="000000"/>
        <w:bdr w:val="none" w:sz="0" w:space="0" w:color="auto"/>
        <w:shd w:val="clear" w:color="auto" w:fill="auto"/>
        <w:vertAlign w:val="baseline"/>
      </w:rPr>
    </w:lvl>
    <w:lvl w:ilvl="1" w:tplc="647E9818">
      <w:start w:val="1"/>
      <w:numFmt w:val="lowerLetter"/>
      <w:lvlText w:val="%2"/>
      <w:lvlJc w:val="left"/>
      <w:pPr>
        <w:ind w:left="1080"/>
      </w:pPr>
      <w:rPr>
        <w:rFonts w:ascii="Arial" w:eastAsia="Arial" w:hAnsi="Arial" w:cs="Arial"/>
        <w:b w:val="0"/>
        <w:i w:val="0"/>
        <w:strike w:val="0"/>
        <w:dstrike w:val="0"/>
        <w:color w:val="2D3B45"/>
        <w:sz w:val="20"/>
        <w:szCs w:val="20"/>
        <w:u w:val="none" w:color="000000"/>
        <w:bdr w:val="none" w:sz="0" w:space="0" w:color="auto"/>
        <w:shd w:val="clear" w:color="auto" w:fill="auto"/>
        <w:vertAlign w:val="baseline"/>
      </w:rPr>
    </w:lvl>
    <w:lvl w:ilvl="2" w:tplc="43FA622C">
      <w:start w:val="1"/>
      <w:numFmt w:val="lowerRoman"/>
      <w:lvlText w:val="%3"/>
      <w:lvlJc w:val="left"/>
      <w:pPr>
        <w:ind w:left="1800"/>
      </w:pPr>
      <w:rPr>
        <w:rFonts w:ascii="Arial" w:eastAsia="Arial" w:hAnsi="Arial" w:cs="Arial"/>
        <w:b w:val="0"/>
        <w:i w:val="0"/>
        <w:strike w:val="0"/>
        <w:dstrike w:val="0"/>
        <w:color w:val="2D3B45"/>
        <w:sz w:val="20"/>
        <w:szCs w:val="20"/>
        <w:u w:val="none" w:color="000000"/>
        <w:bdr w:val="none" w:sz="0" w:space="0" w:color="auto"/>
        <w:shd w:val="clear" w:color="auto" w:fill="auto"/>
        <w:vertAlign w:val="baseline"/>
      </w:rPr>
    </w:lvl>
    <w:lvl w:ilvl="3" w:tplc="9A0C3DD4">
      <w:start w:val="1"/>
      <w:numFmt w:val="decimal"/>
      <w:lvlText w:val="%4"/>
      <w:lvlJc w:val="left"/>
      <w:pPr>
        <w:ind w:left="2520"/>
      </w:pPr>
      <w:rPr>
        <w:rFonts w:ascii="Arial" w:eastAsia="Arial" w:hAnsi="Arial" w:cs="Arial"/>
        <w:b w:val="0"/>
        <w:i w:val="0"/>
        <w:strike w:val="0"/>
        <w:dstrike w:val="0"/>
        <w:color w:val="2D3B45"/>
        <w:sz w:val="20"/>
        <w:szCs w:val="20"/>
        <w:u w:val="none" w:color="000000"/>
        <w:bdr w:val="none" w:sz="0" w:space="0" w:color="auto"/>
        <w:shd w:val="clear" w:color="auto" w:fill="auto"/>
        <w:vertAlign w:val="baseline"/>
      </w:rPr>
    </w:lvl>
    <w:lvl w:ilvl="4" w:tplc="81E2556E">
      <w:start w:val="1"/>
      <w:numFmt w:val="lowerLetter"/>
      <w:lvlText w:val="%5"/>
      <w:lvlJc w:val="left"/>
      <w:pPr>
        <w:ind w:left="3240"/>
      </w:pPr>
      <w:rPr>
        <w:rFonts w:ascii="Arial" w:eastAsia="Arial" w:hAnsi="Arial" w:cs="Arial"/>
        <w:b w:val="0"/>
        <w:i w:val="0"/>
        <w:strike w:val="0"/>
        <w:dstrike w:val="0"/>
        <w:color w:val="2D3B45"/>
        <w:sz w:val="20"/>
        <w:szCs w:val="20"/>
        <w:u w:val="none" w:color="000000"/>
        <w:bdr w:val="none" w:sz="0" w:space="0" w:color="auto"/>
        <w:shd w:val="clear" w:color="auto" w:fill="auto"/>
        <w:vertAlign w:val="baseline"/>
      </w:rPr>
    </w:lvl>
    <w:lvl w:ilvl="5" w:tplc="C9B6CB36">
      <w:start w:val="1"/>
      <w:numFmt w:val="lowerRoman"/>
      <w:lvlText w:val="%6"/>
      <w:lvlJc w:val="left"/>
      <w:pPr>
        <w:ind w:left="3960"/>
      </w:pPr>
      <w:rPr>
        <w:rFonts w:ascii="Arial" w:eastAsia="Arial" w:hAnsi="Arial" w:cs="Arial"/>
        <w:b w:val="0"/>
        <w:i w:val="0"/>
        <w:strike w:val="0"/>
        <w:dstrike w:val="0"/>
        <w:color w:val="2D3B45"/>
        <w:sz w:val="20"/>
        <w:szCs w:val="20"/>
        <w:u w:val="none" w:color="000000"/>
        <w:bdr w:val="none" w:sz="0" w:space="0" w:color="auto"/>
        <w:shd w:val="clear" w:color="auto" w:fill="auto"/>
        <w:vertAlign w:val="baseline"/>
      </w:rPr>
    </w:lvl>
    <w:lvl w:ilvl="6" w:tplc="61F44A3A">
      <w:start w:val="1"/>
      <w:numFmt w:val="decimal"/>
      <w:lvlText w:val="%7"/>
      <w:lvlJc w:val="left"/>
      <w:pPr>
        <w:ind w:left="4680"/>
      </w:pPr>
      <w:rPr>
        <w:rFonts w:ascii="Arial" w:eastAsia="Arial" w:hAnsi="Arial" w:cs="Arial"/>
        <w:b w:val="0"/>
        <w:i w:val="0"/>
        <w:strike w:val="0"/>
        <w:dstrike w:val="0"/>
        <w:color w:val="2D3B45"/>
        <w:sz w:val="20"/>
        <w:szCs w:val="20"/>
        <w:u w:val="none" w:color="000000"/>
        <w:bdr w:val="none" w:sz="0" w:space="0" w:color="auto"/>
        <w:shd w:val="clear" w:color="auto" w:fill="auto"/>
        <w:vertAlign w:val="baseline"/>
      </w:rPr>
    </w:lvl>
    <w:lvl w:ilvl="7" w:tplc="FC70F68E">
      <w:start w:val="1"/>
      <w:numFmt w:val="lowerLetter"/>
      <w:lvlText w:val="%8"/>
      <w:lvlJc w:val="left"/>
      <w:pPr>
        <w:ind w:left="5400"/>
      </w:pPr>
      <w:rPr>
        <w:rFonts w:ascii="Arial" w:eastAsia="Arial" w:hAnsi="Arial" w:cs="Arial"/>
        <w:b w:val="0"/>
        <w:i w:val="0"/>
        <w:strike w:val="0"/>
        <w:dstrike w:val="0"/>
        <w:color w:val="2D3B45"/>
        <w:sz w:val="20"/>
        <w:szCs w:val="20"/>
        <w:u w:val="none" w:color="000000"/>
        <w:bdr w:val="none" w:sz="0" w:space="0" w:color="auto"/>
        <w:shd w:val="clear" w:color="auto" w:fill="auto"/>
        <w:vertAlign w:val="baseline"/>
      </w:rPr>
    </w:lvl>
    <w:lvl w:ilvl="8" w:tplc="384E79EE">
      <w:start w:val="1"/>
      <w:numFmt w:val="lowerRoman"/>
      <w:lvlText w:val="%9"/>
      <w:lvlJc w:val="left"/>
      <w:pPr>
        <w:ind w:left="6120"/>
      </w:pPr>
      <w:rPr>
        <w:rFonts w:ascii="Arial" w:eastAsia="Arial" w:hAnsi="Arial" w:cs="Arial"/>
        <w:b w:val="0"/>
        <w:i w:val="0"/>
        <w:strike w:val="0"/>
        <w:dstrike w:val="0"/>
        <w:color w:val="2D3B45"/>
        <w:sz w:val="20"/>
        <w:szCs w:val="20"/>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2EA"/>
    <w:rsid w:val="002A0C37"/>
    <w:rsid w:val="00FD5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1442A0-01FF-4428-8B7E-D94CD0CFD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90" w:lineRule="auto"/>
      <w:ind w:left="370" w:right="2116" w:hanging="370"/>
    </w:pPr>
    <w:rPr>
      <w:rFonts w:ascii="Arial" w:eastAsia="Arial" w:hAnsi="Arial" w:cs="Arial"/>
      <w:color w:val="2D3B45"/>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681</Words>
  <Characters>3883</Characters>
  <Application>Microsoft Office Word</Application>
  <DocSecurity>0</DocSecurity>
  <Lines>32</Lines>
  <Paragraphs>9</Paragraphs>
  <ScaleCrop>false</ScaleCrop>
  <Company/>
  <LinksUpToDate>false</LinksUpToDate>
  <CharactersWithSpaces>4555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Windows User</cp:lastModifiedBy>
  <cp:revision>2</cp:revision>
  <dcterms:created xsi:type="dcterms:W3CDTF">2021-02-20T10:37:00Z</dcterms:created>
  <dcterms:modified xsi:type="dcterms:W3CDTF">2021-02-20T10:37:00Z</dcterms:modified>
</cp:coreProperties>
</file>