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71438C" w14:textId="77777777" w:rsidR="00B66C04" w:rsidRPr="00F6502F" w:rsidRDefault="00B66C04" w:rsidP="00F6502F">
      <w:pPr>
        <w:spacing w:after="0" w:line="480" w:lineRule="auto"/>
        <w:jc w:val="center"/>
        <w:rPr>
          <w:szCs w:val="24"/>
        </w:rPr>
      </w:pPr>
    </w:p>
    <w:p w14:paraId="7F7F0EEB" w14:textId="77777777" w:rsidR="00D7469C" w:rsidRPr="00F6502F" w:rsidRDefault="00D7469C" w:rsidP="00F6502F">
      <w:pPr>
        <w:spacing w:after="0" w:line="480" w:lineRule="auto"/>
        <w:jc w:val="center"/>
        <w:rPr>
          <w:b/>
          <w:bCs/>
          <w:szCs w:val="24"/>
        </w:rPr>
      </w:pPr>
    </w:p>
    <w:p w14:paraId="7CEEBD52" w14:textId="77777777" w:rsidR="00D7469C" w:rsidRPr="00F6502F" w:rsidRDefault="00D7469C" w:rsidP="00F6502F">
      <w:pPr>
        <w:spacing w:after="0" w:line="480" w:lineRule="auto"/>
        <w:jc w:val="center"/>
        <w:rPr>
          <w:b/>
          <w:bCs/>
          <w:szCs w:val="24"/>
        </w:rPr>
      </w:pPr>
    </w:p>
    <w:p w14:paraId="121F55FC" w14:textId="77777777" w:rsidR="00D7469C" w:rsidRPr="00F6502F" w:rsidRDefault="00D7469C" w:rsidP="00F6502F">
      <w:pPr>
        <w:spacing w:after="0" w:line="480" w:lineRule="auto"/>
        <w:jc w:val="center"/>
        <w:rPr>
          <w:b/>
          <w:bCs/>
          <w:szCs w:val="24"/>
        </w:rPr>
      </w:pPr>
    </w:p>
    <w:p w14:paraId="197D2219" w14:textId="4F24A038" w:rsidR="00D7469C" w:rsidRPr="00F6502F" w:rsidRDefault="001F232D" w:rsidP="00F6502F">
      <w:pPr>
        <w:spacing w:after="0" w:line="480" w:lineRule="auto"/>
        <w:jc w:val="center"/>
        <w:rPr>
          <w:szCs w:val="24"/>
        </w:rPr>
      </w:pPr>
      <w:r w:rsidRPr="00F6502F">
        <w:rPr>
          <w:b/>
          <w:szCs w:val="24"/>
        </w:rPr>
        <w:t xml:space="preserve">Internal Control Weaknesses </w:t>
      </w:r>
    </w:p>
    <w:p w14:paraId="267DC34F" w14:textId="77777777" w:rsidR="00D7469C" w:rsidRPr="00F6502F" w:rsidRDefault="00D7469C" w:rsidP="00F6502F">
      <w:pPr>
        <w:spacing w:after="0" w:line="480" w:lineRule="auto"/>
        <w:jc w:val="center"/>
        <w:rPr>
          <w:szCs w:val="24"/>
        </w:rPr>
      </w:pPr>
    </w:p>
    <w:p w14:paraId="2AC39842" w14:textId="77777777" w:rsidR="00D7469C" w:rsidRPr="00F6502F" w:rsidRDefault="00D7469C" w:rsidP="00F6502F">
      <w:pPr>
        <w:spacing w:after="0" w:line="480" w:lineRule="auto"/>
        <w:jc w:val="center"/>
        <w:rPr>
          <w:szCs w:val="24"/>
        </w:rPr>
      </w:pPr>
    </w:p>
    <w:p w14:paraId="30731C36" w14:textId="77777777" w:rsidR="00D7469C" w:rsidRPr="00F6502F" w:rsidRDefault="00D7469C" w:rsidP="00F6502F">
      <w:pPr>
        <w:spacing w:after="0" w:line="480" w:lineRule="auto"/>
        <w:jc w:val="center"/>
        <w:rPr>
          <w:szCs w:val="24"/>
        </w:rPr>
      </w:pPr>
    </w:p>
    <w:p w14:paraId="72D5997D" w14:textId="77777777" w:rsidR="00D7469C" w:rsidRPr="00F6502F" w:rsidRDefault="00D7469C" w:rsidP="00F6502F">
      <w:pPr>
        <w:spacing w:after="0" w:line="480" w:lineRule="auto"/>
        <w:jc w:val="center"/>
        <w:rPr>
          <w:szCs w:val="24"/>
        </w:rPr>
      </w:pPr>
    </w:p>
    <w:p w14:paraId="4D48BDFE" w14:textId="6782FE40" w:rsidR="00B66C04" w:rsidRPr="00F6502F" w:rsidRDefault="001F232D" w:rsidP="00F6502F">
      <w:pPr>
        <w:spacing w:after="0" w:line="480" w:lineRule="auto"/>
        <w:jc w:val="center"/>
        <w:rPr>
          <w:szCs w:val="24"/>
        </w:rPr>
      </w:pPr>
      <w:r w:rsidRPr="00F6502F">
        <w:rPr>
          <w:szCs w:val="24"/>
        </w:rPr>
        <w:t>Name</w:t>
      </w:r>
    </w:p>
    <w:p w14:paraId="7AAD9D13" w14:textId="542BB049" w:rsidR="00B66C04" w:rsidRPr="00F6502F" w:rsidRDefault="001F232D" w:rsidP="00F6502F">
      <w:pPr>
        <w:spacing w:after="0" w:line="480" w:lineRule="auto"/>
        <w:jc w:val="center"/>
        <w:rPr>
          <w:szCs w:val="24"/>
        </w:rPr>
      </w:pPr>
      <w:r w:rsidRPr="00F6502F">
        <w:rPr>
          <w:szCs w:val="24"/>
        </w:rPr>
        <w:t xml:space="preserve">Institutional Affiliation </w:t>
      </w:r>
    </w:p>
    <w:p w14:paraId="6F09658A" w14:textId="46B6DC22" w:rsidR="00C92A22" w:rsidRPr="00F6502F" w:rsidRDefault="001F232D" w:rsidP="00F6502F">
      <w:pPr>
        <w:spacing w:after="0" w:line="480" w:lineRule="auto"/>
        <w:jc w:val="center"/>
        <w:rPr>
          <w:szCs w:val="24"/>
        </w:rPr>
      </w:pPr>
      <w:r w:rsidRPr="00F6502F">
        <w:rPr>
          <w:szCs w:val="24"/>
        </w:rPr>
        <w:t xml:space="preserve">Course </w:t>
      </w:r>
    </w:p>
    <w:p w14:paraId="6BF17B2D" w14:textId="22E96661" w:rsidR="00B66C04" w:rsidRPr="00F6502F" w:rsidRDefault="001F232D" w:rsidP="00F6502F">
      <w:pPr>
        <w:spacing w:after="0" w:line="480" w:lineRule="auto"/>
        <w:jc w:val="center"/>
        <w:rPr>
          <w:szCs w:val="24"/>
        </w:rPr>
      </w:pPr>
      <w:r w:rsidRPr="00F6502F">
        <w:rPr>
          <w:szCs w:val="24"/>
        </w:rPr>
        <w:t>Professor’s Name</w:t>
      </w:r>
    </w:p>
    <w:p w14:paraId="2A0F4E15" w14:textId="6988F056" w:rsidR="00B66C04" w:rsidRPr="00F6502F" w:rsidRDefault="001F232D" w:rsidP="00F6502F">
      <w:pPr>
        <w:spacing w:after="0" w:line="480" w:lineRule="auto"/>
        <w:jc w:val="center"/>
        <w:rPr>
          <w:szCs w:val="24"/>
        </w:rPr>
      </w:pPr>
      <w:r w:rsidRPr="00F6502F">
        <w:rPr>
          <w:szCs w:val="24"/>
        </w:rPr>
        <w:t xml:space="preserve">Date </w:t>
      </w:r>
    </w:p>
    <w:p w14:paraId="49C65076" w14:textId="67ED3DA6" w:rsidR="00156E3D" w:rsidRPr="00F6502F" w:rsidRDefault="001F232D" w:rsidP="00F6502F">
      <w:pPr>
        <w:spacing w:line="480" w:lineRule="auto"/>
        <w:rPr>
          <w:szCs w:val="24"/>
        </w:rPr>
      </w:pPr>
      <w:r w:rsidRPr="00F6502F">
        <w:rPr>
          <w:szCs w:val="24"/>
        </w:rPr>
        <w:br w:type="page"/>
      </w:r>
    </w:p>
    <w:p w14:paraId="1362F308" w14:textId="21CC0D02" w:rsidR="00EE23CA" w:rsidRPr="00F6502F" w:rsidRDefault="001F232D" w:rsidP="00F6502F">
      <w:pPr>
        <w:spacing w:after="0" w:line="480" w:lineRule="auto"/>
        <w:jc w:val="center"/>
        <w:rPr>
          <w:b/>
          <w:szCs w:val="24"/>
        </w:rPr>
      </w:pPr>
      <w:r w:rsidRPr="00F6502F">
        <w:rPr>
          <w:b/>
          <w:szCs w:val="24"/>
        </w:rPr>
        <w:lastRenderedPageBreak/>
        <w:t>Internal Control Weaknesses</w:t>
      </w:r>
    </w:p>
    <w:p w14:paraId="2C1BB947" w14:textId="7CFA665D" w:rsidR="009B15D6" w:rsidRPr="00F6502F" w:rsidRDefault="001F232D" w:rsidP="00F6502F">
      <w:pPr>
        <w:spacing w:after="0" w:line="480" w:lineRule="auto"/>
        <w:ind w:firstLine="720"/>
        <w:rPr>
          <w:szCs w:val="24"/>
        </w:rPr>
      </w:pPr>
      <w:r w:rsidRPr="00F6502F">
        <w:rPr>
          <w:szCs w:val="24"/>
        </w:rPr>
        <w:t xml:space="preserve">An organization's stakeholders, namely employees, senior management, and proprietor, expect it to efficiently, reliably, and </w:t>
      </w:r>
      <w:r w:rsidRPr="00F6502F">
        <w:rPr>
          <w:szCs w:val="24"/>
        </w:rPr>
        <w:t>securely engage in business, especially concerning financial transactions. For this reason, an organization has internal control measures to ensure the aforementioned expectation are met. Regardless, it is vital to identify the system's internal control we</w:t>
      </w:r>
      <w:r w:rsidRPr="00F6502F">
        <w:rPr>
          <w:szCs w:val="24"/>
        </w:rPr>
        <w:t>aknesses from the failure of implementations or effectiveness of internal controls in place</w:t>
      </w:r>
      <w:r w:rsidR="00453A19" w:rsidRPr="00F6502F">
        <w:rPr>
          <w:szCs w:val="24"/>
        </w:rPr>
        <w:t xml:space="preserve"> </w:t>
      </w:r>
      <w:r w:rsidR="00453A19" w:rsidRPr="00F6502F">
        <w:rPr>
          <w:color w:val="222222"/>
          <w:szCs w:val="24"/>
          <w:shd w:val="clear" w:color="auto" w:fill="FFFFFF"/>
        </w:rPr>
        <w:t>(Keune &amp; Keune, 2018)</w:t>
      </w:r>
      <w:r w:rsidRPr="00F6502F">
        <w:rPr>
          <w:szCs w:val="24"/>
        </w:rPr>
        <w:t xml:space="preserve">. </w:t>
      </w:r>
    </w:p>
    <w:p w14:paraId="5E014ACF" w14:textId="729BBBC2" w:rsidR="0068522B" w:rsidRPr="00F6502F" w:rsidRDefault="001F232D" w:rsidP="00F6502F">
      <w:pPr>
        <w:spacing w:after="0" w:line="480" w:lineRule="auto"/>
        <w:ind w:firstLine="720"/>
        <w:rPr>
          <w:szCs w:val="24"/>
        </w:rPr>
      </w:pPr>
      <w:r w:rsidRPr="00F6502F">
        <w:rPr>
          <w:szCs w:val="24"/>
        </w:rPr>
        <w:t>First, is job roles and responsibilities are not clearly defined. In essence, an organization's employees are the most critical assets since</w:t>
      </w:r>
      <w:r w:rsidRPr="00F6502F">
        <w:rPr>
          <w:szCs w:val="24"/>
        </w:rPr>
        <w:t xml:space="preserve"> they represent the customers, suppliers, and competitors. However, as noted, Model construction employees have no clearly defined roles and responsibilities</w:t>
      </w:r>
      <w:r w:rsidR="002B427F" w:rsidRPr="00F6502F">
        <w:rPr>
          <w:szCs w:val="24"/>
        </w:rPr>
        <w:t xml:space="preserve"> </w:t>
      </w:r>
      <w:r w:rsidR="002B427F" w:rsidRPr="00F6502F">
        <w:rPr>
          <w:color w:val="222222"/>
          <w:szCs w:val="24"/>
          <w:shd w:val="clear" w:color="auto" w:fill="FFFFFF"/>
        </w:rPr>
        <w:t>(Amoah et al., 2017; Keune &amp; Keune, 2018)</w:t>
      </w:r>
      <w:r w:rsidRPr="00F6502F">
        <w:rPr>
          <w:szCs w:val="24"/>
        </w:rPr>
        <w:t xml:space="preserve">. It is explicit that Harper, the foreman, </w:t>
      </w:r>
      <w:r w:rsidR="00CB4ED4" w:rsidRPr="00F6502F">
        <w:rPr>
          <w:szCs w:val="24"/>
        </w:rPr>
        <w:t xml:space="preserve">is engaged in a myriad of responsibilities at work. He is charged as the human resource manager to recruit </w:t>
      </w:r>
      <w:r w:rsidR="00A640F9" w:rsidRPr="00F6502F">
        <w:rPr>
          <w:szCs w:val="24"/>
        </w:rPr>
        <w:t xml:space="preserve">employees for the organization. He also takes up the account department's obligations to ensure the employees fill and sign important documentation, including taxes. Finally, he acts as the organizational messenger, acting as the connection between the organization and site activities. </w:t>
      </w:r>
      <w:r w:rsidR="00FB7ABA" w:rsidRPr="00F6502F">
        <w:rPr>
          <w:szCs w:val="24"/>
        </w:rPr>
        <w:t>Having one employee take up multiple roles creates an opportunity for theft and fraud</w:t>
      </w:r>
      <w:r w:rsidR="00C4117F" w:rsidRPr="00F6502F">
        <w:rPr>
          <w:szCs w:val="24"/>
        </w:rPr>
        <w:t xml:space="preserve"> </w:t>
      </w:r>
      <w:r w:rsidR="00C4117F" w:rsidRPr="00F6502F">
        <w:rPr>
          <w:color w:val="222222"/>
          <w:szCs w:val="24"/>
          <w:shd w:val="clear" w:color="auto" w:fill="FFFFFF"/>
        </w:rPr>
        <w:t>(Amoah et al., 2017; Keune &amp; Keune, 2018)</w:t>
      </w:r>
      <w:r w:rsidR="00FB7ABA" w:rsidRPr="00F6502F">
        <w:rPr>
          <w:szCs w:val="24"/>
        </w:rPr>
        <w:t xml:space="preserve">. It also makes it challenging for the organization to review and identify errors since there is no oversight. </w:t>
      </w:r>
      <w:r w:rsidR="00E67DCB" w:rsidRPr="00F6502F">
        <w:rPr>
          <w:szCs w:val="24"/>
        </w:rPr>
        <w:t xml:space="preserve">Lack of defined responsibilities has a higher propensity for human mistakes and more serious mistakes. </w:t>
      </w:r>
      <w:r w:rsidR="00FB7ABA" w:rsidRPr="00F6502F">
        <w:rPr>
          <w:szCs w:val="24"/>
        </w:rPr>
        <w:t xml:space="preserve"> </w:t>
      </w:r>
    </w:p>
    <w:p w14:paraId="0E8B9521" w14:textId="53A51E17" w:rsidR="00DB0D55" w:rsidRPr="00F6502F" w:rsidRDefault="001F232D" w:rsidP="00F6502F">
      <w:pPr>
        <w:spacing w:after="0" w:line="480" w:lineRule="auto"/>
        <w:ind w:firstLine="720"/>
        <w:rPr>
          <w:szCs w:val="24"/>
        </w:rPr>
      </w:pPr>
      <w:r w:rsidRPr="00F6502F">
        <w:rPr>
          <w:szCs w:val="24"/>
        </w:rPr>
        <w:t>To counter this discrepancy, the organiz</w:t>
      </w:r>
      <w:r w:rsidRPr="00F6502F">
        <w:rPr>
          <w:szCs w:val="24"/>
        </w:rPr>
        <w:t>ation’s human resource department should actively describe the duties and responsibilities for every job</w:t>
      </w:r>
      <w:r w:rsidR="00C4117F" w:rsidRPr="00F6502F">
        <w:rPr>
          <w:szCs w:val="24"/>
        </w:rPr>
        <w:t xml:space="preserve"> </w:t>
      </w:r>
      <w:r w:rsidR="00C4117F" w:rsidRPr="00F6502F">
        <w:rPr>
          <w:color w:val="222222"/>
          <w:szCs w:val="24"/>
          <w:shd w:val="clear" w:color="auto" w:fill="FFFFFF"/>
        </w:rPr>
        <w:t>(Amoah et al., 2017; Keune &amp; Keune, 2018)</w:t>
      </w:r>
      <w:r w:rsidRPr="00F6502F">
        <w:rPr>
          <w:szCs w:val="24"/>
        </w:rPr>
        <w:t>. This will ensure that Harper partakes in his main duty to ensure that everything operates efficiently at the</w:t>
      </w:r>
      <w:r w:rsidRPr="00F6502F">
        <w:rPr>
          <w:szCs w:val="24"/>
        </w:rPr>
        <w:t xml:space="preserve"> construction site, including coordinating tasks for the day, creating </w:t>
      </w:r>
      <w:r w:rsidRPr="00F6502F">
        <w:rPr>
          <w:szCs w:val="24"/>
        </w:rPr>
        <w:lastRenderedPageBreak/>
        <w:t>schedules for workers, overseeing the site's quality, and reporting the progress of the project superiors.</w:t>
      </w:r>
      <w:r w:rsidR="00FA1E44" w:rsidRPr="00F6502F">
        <w:rPr>
          <w:szCs w:val="24"/>
        </w:rPr>
        <w:t xml:space="preserve"> This will also allow the human resource to hire additional staff as </w:t>
      </w:r>
      <w:r w:rsidR="00C76371" w:rsidRPr="00F6502F">
        <w:rPr>
          <w:szCs w:val="24"/>
        </w:rPr>
        <w:t>messengers to ease Harper's scope of responsibilities.</w:t>
      </w:r>
      <w:r w:rsidR="00D5768A" w:rsidRPr="00F6502F">
        <w:rPr>
          <w:szCs w:val="24"/>
        </w:rPr>
        <w:t xml:space="preserve"> Thus, there should be a system to see separate duties, such that one employee does not fit into multiple roles. </w:t>
      </w:r>
    </w:p>
    <w:p w14:paraId="502ACB51" w14:textId="0D3D8BD4" w:rsidR="00731E8F" w:rsidRPr="00F6502F" w:rsidRDefault="001F232D" w:rsidP="00F6502F">
      <w:pPr>
        <w:spacing w:after="0" w:line="480" w:lineRule="auto"/>
        <w:rPr>
          <w:szCs w:val="24"/>
        </w:rPr>
      </w:pPr>
      <w:r w:rsidRPr="00F6502F">
        <w:rPr>
          <w:szCs w:val="24"/>
        </w:rPr>
        <w:tab/>
        <w:t xml:space="preserve"> The Sarbanes-Oxley (SOX) Act is a necessary United States federal regulation instituted to facil</w:t>
      </w:r>
      <w:r w:rsidRPr="00F6502F">
        <w:rPr>
          <w:szCs w:val="24"/>
        </w:rPr>
        <w:t>itate internal organizational controls are in place. It was signed into law in 2002 to ensure corporate disclosures are more reliable and accurate</w:t>
      </w:r>
      <w:r w:rsidR="008F5B24" w:rsidRPr="00F6502F">
        <w:rPr>
          <w:szCs w:val="24"/>
        </w:rPr>
        <w:t xml:space="preserve"> </w:t>
      </w:r>
      <w:r w:rsidR="008F5B24" w:rsidRPr="00F6502F">
        <w:rPr>
          <w:color w:val="222222"/>
          <w:szCs w:val="24"/>
          <w:shd w:val="clear" w:color="auto" w:fill="FFFFFF"/>
        </w:rPr>
        <w:t>(Bhabra &amp; Hossain, 2017)</w:t>
      </w:r>
      <w:r w:rsidRPr="00F6502F">
        <w:rPr>
          <w:szCs w:val="24"/>
        </w:rPr>
        <w:t xml:space="preserve">. </w:t>
      </w:r>
      <w:r w:rsidR="00BC5A45" w:rsidRPr="00F6502F">
        <w:rPr>
          <w:szCs w:val="24"/>
        </w:rPr>
        <w:t xml:space="preserve">The SOX Act consists of eleven sections that established auditing and financial regulations by organizations. </w:t>
      </w:r>
      <w:r w:rsidR="004B0998" w:rsidRPr="00F6502F">
        <w:rPr>
          <w:szCs w:val="24"/>
        </w:rPr>
        <w:t xml:space="preserve">This was integral towards protecting stakeholders, including employees, shareholders, and the public, from fraudulent financial practices. </w:t>
      </w:r>
      <w:r w:rsidR="00176CC1" w:rsidRPr="00F6502F">
        <w:rPr>
          <w:szCs w:val="24"/>
        </w:rPr>
        <w:t xml:space="preserve">The rule became integral in accounting and accounting regulation. </w:t>
      </w:r>
    </w:p>
    <w:p w14:paraId="20165688" w14:textId="338322D7" w:rsidR="00D86645" w:rsidRPr="00F6502F" w:rsidRDefault="001F232D" w:rsidP="009A03AB">
      <w:pPr>
        <w:spacing w:after="0" w:line="480" w:lineRule="auto"/>
        <w:rPr>
          <w:szCs w:val="24"/>
        </w:rPr>
      </w:pPr>
      <w:r w:rsidRPr="00F6502F">
        <w:rPr>
          <w:szCs w:val="24"/>
        </w:rPr>
        <w:tab/>
        <w:t>The SOX Act mandates o</w:t>
      </w:r>
      <w:r w:rsidRPr="00F6502F">
        <w:rPr>
          <w:szCs w:val="24"/>
        </w:rPr>
        <w:t>rganizations in the operational audit of balances and accounts and different accounts. This will require actively looking at the different account classes and the diversity and description of the organization's undertakings</w:t>
      </w:r>
      <w:r w:rsidR="008F5B24" w:rsidRPr="00F6502F">
        <w:rPr>
          <w:szCs w:val="24"/>
        </w:rPr>
        <w:t xml:space="preserve"> </w:t>
      </w:r>
      <w:r w:rsidR="008F5B24" w:rsidRPr="00F6502F">
        <w:rPr>
          <w:color w:val="222222"/>
          <w:szCs w:val="24"/>
          <w:shd w:val="clear" w:color="auto" w:fill="FFFFFF"/>
        </w:rPr>
        <w:t>(Bhabra &amp; Hossain, 2017)</w:t>
      </w:r>
      <w:r w:rsidR="009A03AB">
        <w:rPr>
          <w:szCs w:val="24"/>
        </w:rPr>
        <w:t xml:space="preserve">. </w:t>
      </w:r>
      <w:r w:rsidRPr="00F6502F">
        <w:rPr>
          <w:szCs w:val="24"/>
        </w:rPr>
        <w:t xml:space="preserve">Considering the significance </w:t>
      </w:r>
      <w:r w:rsidRPr="00F6502F">
        <w:rPr>
          <w:szCs w:val="24"/>
        </w:rPr>
        <w:t>of current assets, the SOX Act provides a framework for an organization to increase compliance and asset accuracy</w:t>
      </w:r>
      <w:r w:rsidR="008F5B24" w:rsidRPr="00F6502F">
        <w:rPr>
          <w:szCs w:val="24"/>
        </w:rPr>
        <w:t xml:space="preserve"> </w:t>
      </w:r>
      <w:r w:rsidR="008F5B24" w:rsidRPr="00F6502F">
        <w:rPr>
          <w:color w:val="222222"/>
          <w:szCs w:val="24"/>
          <w:shd w:val="clear" w:color="auto" w:fill="FFFFFF"/>
        </w:rPr>
        <w:t>(Bhabra &amp; Hossain, 2017)</w:t>
      </w:r>
      <w:r w:rsidRPr="00F6502F">
        <w:rPr>
          <w:szCs w:val="24"/>
        </w:rPr>
        <w:t xml:space="preserve">. Additionally, it aids in delivering smoother work processes to make informed decisions. The organization will have </w:t>
      </w:r>
      <w:r w:rsidRPr="00F6502F">
        <w:rPr>
          <w:szCs w:val="24"/>
        </w:rPr>
        <w:t>to list the current assets and non-current assets and value them against the SOX Act's set parameters. This is a consideration that the current assets are valued at the market price while non-current assets are valued at cost minus depreciation amount.</w:t>
      </w:r>
      <w:r w:rsidR="00271CC5" w:rsidRPr="00F6502F">
        <w:rPr>
          <w:szCs w:val="24"/>
        </w:rPr>
        <w:t xml:space="preserve"> It will provide insights into the organization's liquidity to describe the current assets that can be readily be converted into cash and cash equivalent in a year. Contrariwise, </w:t>
      </w:r>
      <w:r w:rsidR="00613A69" w:rsidRPr="00F6502F">
        <w:rPr>
          <w:szCs w:val="24"/>
        </w:rPr>
        <w:t>the SOX Act's obligation on accounting practices of non-current assets</w:t>
      </w:r>
      <w:r w:rsidR="00271CC5" w:rsidRPr="00F6502F">
        <w:rPr>
          <w:szCs w:val="24"/>
        </w:rPr>
        <w:t xml:space="preserve"> </w:t>
      </w:r>
      <w:r w:rsidR="00613A69" w:rsidRPr="00F6502F">
        <w:rPr>
          <w:szCs w:val="24"/>
        </w:rPr>
        <w:t xml:space="preserve">is to provide information on the assets that cannot be easily converted into </w:t>
      </w:r>
      <w:r w:rsidR="00613A69" w:rsidRPr="00F6502F">
        <w:rPr>
          <w:szCs w:val="24"/>
        </w:rPr>
        <w:lastRenderedPageBreak/>
        <w:t>cash or cash equivalents within a year</w:t>
      </w:r>
      <w:r w:rsidR="008F5B24" w:rsidRPr="00F6502F">
        <w:rPr>
          <w:szCs w:val="24"/>
        </w:rPr>
        <w:t xml:space="preserve"> </w:t>
      </w:r>
      <w:r w:rsidR="008F5B24" w:rsidRPr="00F6502F">
        <w:rPr>
          <w:color w:val="222222"/>
          <w:szCs w:val="24"/>
          <w:shd w:val="clear" w:color="auto" w:fill="FFFFFF"/>
        </w:rPr>
        <w:t>(Bhabra &amp; Hossain, 2017)</w:t>
      </w:r>
      <w:r w:rsidR="00613A69" w:rsidRPr="00F6502F">
        <w:rPr>
          <w:szCs w:val="24"/>
        </w:rPr>
        <w:t>.</w:t>
      </w:r>
      <w:r w:rsidR="00866E29" w:rsidRPr="00F6502F">
        <w:rPr>
          <w:szCs w:val="24"/>
        </w:rPr>
        <w:t xml:space="preserve"> These accounting practices' significance is to provide information into how a business entity can fund the immediate requirements using current assets and meet long-term needs using non-current a</w:t>
      </w:r>
      <w:bookmarkStart w:id="0" w:name="_GoBack"/>
      <w:bookmarkEnd w:id="0"/>
      <w:r w:rsidR="00866E29" w:rsidRPr="00F6502F">
        <w:rPr>
          <w:szCs w:val="24"/>
        </w:rPr>
        <w:t xml:space="preserve">ssets. </w:t>
      </w:r>
    </w:p>
    <w:p w14:paraId="5B25AD37" w14:textId="77777777" w:rsidR="00F6502F" w:rsidRDefault="001F232D">
      <w:pPr>
        <w:rPr>
          <w:szCs w:val="24"/>
        </w:rPr>
      </w:pPr>
      <w:r>
        <w:rPr>
          <w:szCs w:val="24"/>
        </w:rPr>
        <w:br w:type="page"/>
      </w:r>
    </w:p>
    <w:p w14:paraId="2D18D7E9" w14:textId="6E3DFD27" w:rsidR="00D30FE7" w:rsidRPr="00F6502F" w:rsidRDefault="001F232D" w:rsidP="00F6502F">
      <w:pPr>
        <w:spacing w:after="0" w:line="480" w:lineRule="auto"/>
        <w:jc w:val="center"/>
        <w:rPr>
          <w:szCs w:val="24"/>
        </w:rPr>
      </w:pPr>
      <w:r w:rsidRPr="00F6502F">
        <w:rPr>
          <w:szCs w:val="24"/>
        </w:rPr>
        <w:lastRenderedPageBreak/>
        <w:t>References</w:t>
      </w:r>
    </w:p>
    <w:p w14:paraId="21AC9919" w14:textId="4A2E9225" w:rsidR="00D30FE7" w:rsidRPr="00F6502F" w:rsidRDefault="001F232D" w:rsidP="00F6502F">
      <w:pPr>
        <w:spacing w:after="0" w:line="480" w:lineRule="auto"/>
        <w:rPr>
          <w:szCs w:val="24"/>
        </w:rPr>
      </w:pPr>
      <w:r w:rsidRPr="00F6502F">
        <w:rPr>
          <w:color w:val="222222"/>
          <w:szCs w:val="24"/>
          <w:shd w:val="clear" w:color="auto" w:fill="FFFFFF"/>
        </w:rPr>
        <w:t xml:space="preserve">Amoah, N. Y., Anderson, A., Bonaparte, I., &amp; Tang, A. P. (2017). Internal control material </w:t>
      </w:r>
      <w:r w:rsidR="00F6502F">
        <w:rPr>
          <w:color w:val="222222"/>
          <w:szCs w:val="24"/>
          <w:shd w:val="clear" w:color="auto" w:fill="FFFFFF"/>
        </w:rPr>
        <w:tab/>
      </w:r>
      <w:r w:rsidRPr="00F6502F">
        <w:rPr>
          <w:color w:val="222222"/>
          <w:szCs w:val="24"/>
          <w:shd w:val="clear" w:color="auto" w:fill="FFFFFF"/>
        </w:rPr>
        <w:t>weakness and real earnings management. In </w:t>
      </w:r>
      <w:r w:rsidRPr="00F6502F">
        <w:rPr>
          <w:i/>
          <w:iCs/>
          <w:color w:val="222222"/>
          <w:szCs w:val="24"/>
          <w:shd w:val="clear" w:color="auto" w:fill="FFFFFF"/>
        </w:rPr>
        <w:t>Parables, Myths and Risks</w:t>
      </w:r>
      <w:r w:rsidRPr="00F6502F">
        <w:rPr>
          <w:color w:val="222222"/>
          <w:szCs w:val="24"/>
          <w:shd w:val="clear" w:color="auto" w:fill="FFFFFF"/>
        </w:rPr>
        <w:t xml:space="preserve">. Emerald </w:t>
      </w:r>
      <w:r w:rsidR="00F6502F">
        <w:rPr>
          <w:color w:val="222222"/>
          <w:szCs w:val="24"/>
          <w:shd w:val="clear" w:color="auto" w:fill="FFFFFF"/>
        </w:rPr>
        <w:tab/>
      </w:r>
      <w:r w:rsidRPr="00F6502F">
        <w:rPr>
          <w:color w:val="222222"/>
          <w:szCs w:val="24"/>
          <w:shd w:val="clear" w:color="auto" w:fill="FFFFFF"/>
        </w:rPr>
        <w:t>Publishing Limited.</w:t>
      </w:r>
      <w:r w:rsidR="009F5A79" w:rsidRPr="00F6502F">
        <w:rPr>
          <w:color w:val="222222"/>
          <w:szCs w:val="24"/>
          <w:shd w:val="clear" w:color="auto" w:fill="FFFFFF"/>
        </w:rPr>
        <w:t xml:space="preserve"> </w:t>
      </w:r>
    </w:p>
    <w:p w14:paraId="3165ED1D" w14:textId="48204C6D" w:rsidR="00D30FE7" w:rsidRPr="00F6502F" w:rsidRDefault="001F232D" w:rsidP="00F6502F">
      <w:pPr>
        <w:spacing w:after="0" w:line="480" w:lineRule="auto"/>
        <w:rPr>
          <w:color w:val="222222"/>
          <w:szCs w:val="24"/>
          <w:shd w:val="clear" w:color="auto" w:fill="FFFFFF"/>
        </w:rPr>
      </w:pPr>
      <w:r w:rsidRPr="00F6502F">
        <w:rPr>
          <w:color w:val="222222"/>
          <w:szCs w:val="24"/>
          <w:shd w:val="clear" w:color="auto" w:fill="FFFFFF"/>
        </w:rPr>
        <w:t xml:space="preserve">Bhabra, H. S., &amp; Hossain, A. T. (2017). The Sarbanes-Oxley act and corporate </w:t>
      </w:r>
      <w:r w:rsidR="00F6502F">
        <w:rPr>
          <w:color w:val="222222"/>
          <w:szCs w:val="24"/>
          <w:shd w:val="clear" w:color="auto" w:fill="FFFFFF"/>
        </w:rPr>
        <w:tab/>
      </w:r>
      <w:r w:rsidRPr="00F6502F">
        <w:rPr>
          <w:color w:val="222222"/>
          <w:szCs w:val="24"/>
          <w:shd w:val="clear" w:color="auto" w:fill="FFFFFF"/>
        </w:rPr>
        <w:t>acquisitions. </w:t>
      </w:r>
      <w:r w:rsidRPr="00F6502F">
        <w:rPr>
          <w:i/>
          <w:iCs/>
          <w:color w:val="222222"/>
          <w:szCs w:val="24"/>
          <w:shd w:val="clear" w:color="auto" w:fill="FFFFFF"/>
        </w:rPr>
        <w:t>Managerial Finance</w:t>
      </w:r>
      <w:r w:rsidRPr="00F6502F">
        <w:rPr>
          <w:color w:val="222222"/>
          <w:szCs w:val="24"/>
          <w:shd w:val="clear" w:color="auto" w:fill="FFFFFF"/>
        </w:rPr>
        <w:t xml:space="preserve">. Taylor &amp; France. </w:t>
      </w:r>
    </w:p>
    <w:p w14:paraId="2517ECDD" w14:textId="41C122AB" w:rsidR="00D30FE7" w:rsidRPr="00F6502F" w:rsidRDefault="001F232D" w:rsidP="00F6502F">
      <w:pPr>
        <w:spacing w:after="0" w:line="480" w:lineRule="auto"/>
        <w:rPr>
          <w:szCs w:val="24"/>
        </w:rPr>
      </w:pPr>
      <w:r w:rsidRPr="00F6502F">
        <w:rPr>
          <w:color w:val="222222"/>
          <w:szCs w:val="24"/>
          <w:shd w:val="clear" w:color="auto" w:fill="FFFFFF"/>
        </w:rPr>
        <w:t xml:space="preserve">Keune, M. B., &amp; Keune, T. M. (2018). Do managers make voluntary accounting changes in </w:t>
      </w:r>
      <w:r w:rsidR="00F6502F">
        <w:rPr>
          <w:color w:val="222222"/>
          <w:szCs w:val="24"/>
          <w:shd w:val="clear" w:color="auto" w:fill="FFFFFF"/>
        </w:rPr>
        <w:tab/>
      </w:r>
      <w:r w:rsidRPr="00F6502F">
        <w:rPr>
          <w:color w:val="222222"/>
          <w:szCs w:val="24"/>
          <w:shd w:val="clear" w:color="auto" w:fill="FFFFFF"/>
        </w:rPr>
        <w:t>response to a material weakness in internal control? </w:t>
      </w:r>
      <w:r w:rsidRPr="00F6502F">
        <w:rPr>
          <w:i/>
          <w:iCs/>
          <w:color w:val="222222"/>
          <w:szCs w:val="24"/>
          <w:shd w:val="clear" w:color="auto" w:fill="FFFFFF"/>
        </w:rPr>
        <w:t xml:space="preserve">Auditing: A Journal of Practice &amp; </w:t>
      </w:r>
      <w:r w:rsidR="00F6502F">
        <w:rPr>
          <w:i/>
          <w:iCs/>
          <w:color w:val="222222"/>
          <w:szCs w:val="24"/>
          <w:shd w:val="clear" w:color="auto" w:fill="FFFFFF"/>
        </w:rPr>
        <w:tab/>
      </w:r>
      <w:r w:rsidRPr="00F6502F">
        <w:rPr>
          <w:i/>
          <w:iCs/>
          <w:color w:val="222222"/>
          <w:szCs w:val="24"/>
          <w:shd w:val="clear" w:color="auto" w:fill="FFFFFF"/>
        </w:rPr>
        <w:t>Theory</w:t>
      </w:r>
      <w:r w:rsidRPr="00F6502F">
        <w:rPr>
          <w:color w:val="222222"/>
          <w:szCs w:val="24"/>
          <w:shd w:val="clear" w:color="auto" w:fill="FFFFFF"/>
        </w:rPr>
        <w:t>, </w:t>
      </w:r>
      <w:r w:rsidRPr="00F6502F">
        <w:rPr>
          <w:i/>
          <w:iCs/>
          <w:color w:val="222222"/>
          <w:szCs w:val="24"/>
          <w:shd w:val="clear" w:color="auto" w:fill="FFFFFF"/>
        </w:rPr>
        <w:t>37</w:t>
      </w:r>
      <w:r w:rsidRPr="00F6502F">
        <w:rPr>
          <w:color w:val="222222"/>
          <w:szCs w:val="24"/>
          <w:shd w:val="clear" w:color="auto" w:fill="FFFFFF"/>
        </w:rPr>
        <w:t>(2), 107-137.</w:t>
      </w:r>
    </w:p>
    <w:sectPr w:rsidR="00D30FE7" w:rsidRPr="00F6502F" w:rsidSect="00B66C04">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811619" w14:textId="77777777" w:rsidR="001F232D" w:rsidRDefault="001F232D">
      <w:pPr>
        <w:spacing w:after="0" w:line="240" w:lineRule="auto"/>
      </w:pPr>
      <w:r>
        <w:separator/>
      </w:r>
    </w:p>
  </w:endnote>
  <w:endnote w:type="continuationSeparator" w:id="0">
    <w:p w14:paraId="3503B18C" w14:textId="77777777" w:rsidR="001F232D" w:rsidRDefault="001F23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A8EE49" w14:textId="77777777" w:rsidR="001F232D" w:rsidRDefault="001F232D">
      <w:pPr>
        <w:spacing w:after="0" w:line="240" w:lineRule="auto"/>
      </w:pPr>
      <w:r>
        <w:separator/>
      </w:r>
    </w:p>
  </w:footnote>
  <w:footnote w:type="continuationSeparator" w:id="0">
    <w:p w14:paraId="42AC5FC0" w14:textId="77777777" w:rsidR="001F232D" w:rsidRDefault="001F23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5540934"/>
      <w:docPartObj>
        <w:docPartGallery w:val="Page Numbers (Top of Page)"/>
        <w:docPartUnique/>
      </w:docPartObj>
    </w:sdtPr>
    <w:sdtEndPr>
      <w:rPr>
        <w:noProof/>
      </w:rPr>
    </w:sdtEndPr>
    <w:sdtContent>
      <w:p w14:paraId="05E47CE0" w14:textId="0972992D" w:rsidR="00B66C04" w:rsidRDefault="001F232D">
        <w:pPr>
          <w:pStyle w:val="Header"/>
          <w:jc w:val="right"/>
        </w:pPr>
        <w:r>
          <w:fldChar w:fldCharType="begin"/>
        </w:r>
        <w:r>
          <w:instrText xml:space="preserve"> PAGE   \* MERGEFORMAT </w:instrText>
        </w:r>
        <w:r>
          <w:fldChar w:fldCharType="separate"/>
        </w:r>
        <w:r w:rsidR="009A03AB">
          <w:rPr>
            <w:noProof/>
          </w:rPr>
          <w:t>4</w:t>
        </w:r>
        <w:r>
          <w:rPr>
            <w:noProof/>
          </w:rPr>
          <w:fldChar w:fldCharType="end"/>
        </w:r>
      </w:p>
    </w:sdtContent>
  </w:sdt>
  <w:p w14:paraId="29975E90" w14:textId="77777777" w:rsidR="00F82FA4" w:rsidRPr="00A31D6F" w:rsidRDefault="00F82FA4" w:rsidP="00A31D6F">
    <w:pPr>
      <w:spacing w:after="0" w:line="480" w:lineRule="auto"/>
      <w:rPr>
        <w:szCs w:val="24"/>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4FAC08" w14:textId="77777777" w:rsidR="00F82FA4" w:rsidRPr="00D24CDF" w:rsidRDefault="001F232D" w:rsidP="00E95E90">
    <w:pPr>
      <w:rPr>
        <w:sz w:val="22"/>
      </w:rPr>
    </w:pPr>
    <w:r w:rsidRPr="00766F90">
      <w:t>Running head</w:t>
    </w:r>
    <w:r>
      <w:t xml:space="preserve">: </w:t>
    </w:r>
    <w:r w:rsidRPr="006651E6">
      <w:t>PASSIVE EUTHANASIA IN PVS PER</w:t>
    </w:r>
    <w:r w:rsidRPr="006651E6">
      <w:t>SONS</w:t>
    </w:r>
    <w:r>
      <w:tab/>
    </w:r>
    <w:r>
      <w:tab/>
    </w:r>
    <w:r>
      <w:tab/>
    </w:r>
    <w:r>
      <w:tab/>
      <w:t xml:space="preserve">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jQxNTE2Mzc1NTE3NzFW0lEKTi0uzszPAymwqAUALgGWqywAAAA="/>
  </w:docVars>
  <w:rsids>
    <w:rsidRoot w:val="00785117"/>
    <w:rsid w:val="00004D10"/>
    <w:rsid w:val="000430C9"/>
    <w:rsid w:val="00080E9D"/>
    <w:rsid w:val="00106A15"/>
    <w:rsid w:val="00156E3D"/>
    <w:rsid w:val="00176CC1"/>
    <w:rsid w:val="00190072"/>
    <w:rsid w:val="001F232D"/>
    <w:rsid w:val="00212EA3"/>
    <w:rsid w:val="002353E4"/>
    <w:rsid w:val="0024165B"/>
    <w:rsid w:val="00256CEB"/>
    <w:rsid w:val="00271CC5"/>
    <w:rsid w:val="00273861"/>
    <w:rsid w:val="00287E1B"/>
    <w:rsid w:val="00290CE4"/>
    <w:rsid w:val="002A018B"/>
    <w:rsid w:val="002A0AE3"/>
    <w:rsid w:val="002B427F"/>
    <w:rsid w:val="002C3598"/>
    <w:rsid w:val="002E4093"/>
    <w:rsid w:val="00337547"/>
    <w:rsid w:val="003844DE"/>
    <w:rsid w:val="003B7FA7"/>
    <w:rsid w:val="00453A19"/>
    <w:rsid w:val="00475E54"/>
    <w:rsid w:val="004858F3"/>
    <w:rsid w:val="0049535C"/>
    <w:rsid w:val="004A0BD0"/>
    <w:rsid w:val="004B0998"/>
    <w:rsid w:val="004B1E63"/>
    <w:rsid w:val="004B255F"/>
    <w:rsid w:val="004B7A5B"/>
    <w:rsid w:val="0050281E"/>
    <w:rsid w:val="00512D0A"/>
    <w:rsid w:val="005218AA"/>
    <w:rsid w:val="00524A00"/>
    <w:rsid w:val="005318A9"/>
    <w:rsid w:val="00541F06"/>
    <w:rsid w:val="00554B40"/>
    <w:rsid w:val="00570D3E"/>
    <w:rsid w:val="0058143F"/>
    <w:rsid w:val="00595E96"/>
    <w:rsid w:val="005A4CCD"/>
    <w:rsid w:val="005B5900"/>
    <w:rsid w:val="005C6FBE"/>
    <w:rsid w:val="0060309E"/>
    <w:rsid w:val="00607931"/>
    <w:rsid w:val="00613A69"/>
    <w:rsid w:val="0062499E"/>
    <w:rsid w:val="00626E7E"/>
    <w:rsid w:val="00650D85"/>
    <w:rsid w:val="006651E6"/>
    <w:rsid w:val="0068522B"/>
    <w:rsid w:val="006D7990"/>
    <w:rsid w:val="006E1A22"/>
    <w:rsid w:val="00700F22"/>
    <w:rsid w:val="00731E8F"/>
    <w:rsid w:val="00766F90"/>
    <w:rsid w:val="007834B5"/>
    <w:rsid w:val="00783800"/>
    <w:rsid w:val="00785117"/>
    <w:rsid w:val="0078656F"/>
    <w:rsid w:val="007A3FDF"/>
    <w:rsid w:val="007A7517"/>
    <w:rsid w:val="007D081B"/>
    <w:rsid w:val="00812A39"/>
    <w:rsid w:val="008215A8"/>
    <w:rsid w:val="008457BA"/>
    <w:rsid w:val="00856FA6"/>
    <w:rsid w:val="0086400F"/>
    <w:rsid w:val="00866E29"/>
    <w:rsid w:val="00893D08"/>
    <w:rsid w:val="008A417A"/>
    <w:rsid w:val="008F5B24"/>
    <w:rsid w:val="009139EE"/>
    <w:rsid w:val="0092655D"/>
    <w:rsid w:val="00944C31"/>
    <w:rsid w:val="00952E91"/>
    <w:rsid w:val="0096598F"/>
    <w:rsid w:val="00965C25"/>
    <w:rsid w:val="009A03AB"/>
    <w:rsid w:val="009A187A"/>
    <w:rsid w:val="009B15D6"/>
    <w:rsid w:val="009F1B05"/>
    <w:rsid w:val="009F5A79"/>
    <w:rsid w:val="00A00FDD"/>
    <w:rsid w:val="00A222F1"/>
    <w:rsid w:val="00A31D6F"/>
    <w:rsid w:val="00A43653"/>
    <w:rsid w:val="00A612EA"/>
    <w:rsid w:val="00A640F9"/>
    <w:rsid w:val="00A94999"/>
    <w:rsid w:val="00AA2AD4"/>
    <w:rsid w:val="00AA3FFF"/>
    <w:rsid w:val="00AB3FAB"/>
    <w:rsid w:val="00AC7BD7"/>
    <w:rsid w:val="00AD1F75"/>
    <w:rsid w:val="00AE28CB"/>
    <w:rsid w:val="00B033A9"/>
    <w:rsid w:val="00B22486"/>
    <w:rsid w:val="00B23A02"/>
    <w:rsid w:val="00B27145"/>
    <w:rsid w:val="00B564AA"/>
    <w:rsid w:val="00B66C04"/>
    <w:rsid w:val="00B8472F"/>
    <w:rsid w:val="00BA4DC4"/>
    <w:rsid w:val="00BB27DD"/>
    <w:rsid w:val="00BC5A45"/>
    <w:rsid w:val="00BD3DDA"/>
    <w:rsid w:val="00BD6CA3"/>
    <w:rsid w:val="00BE5832"/>
    <w:rsid w:val="00C053A8"/>
    <w:rsid w:val="00C12CBF"/>
    <w:rsid w:val="00C31C99"/>
    <w:rsid w:val="00C4117F"/>
    <w:rsid w:val="00C54065"/>
    <w:rsid w:val="00C54919"/>
    <w:rsid w:val="00C6201E"/>
    <w:rsid w:val="00C76371"/>
    <w:rsid w:val="00C92A22"/>
    <w:rsid w:val="00CB4ED4"/>
    <w:rsid w:val="00CC5554"/>
    <w:rsid w:val="00CC6FF0"/>
    <w:rsid w:val="00D003FF"/>
    <w:rsid w:val="00D11828"/>
    <w:rsid w:val="00D15102"/>
    <w:rsid w:val="00D24CDF"/>
    <w:rsid w:val="00D30FE7"/>
    <w:rsid w:val="00D45744"/>
    <w:rsid w:val="00D5768A"/>
    <w:rsid w:val="00D7469C"/>
    <w:rsid w:val="00D86645"/>
    <w:rsid w:val="00DB0D55"/>
    <w:rsid w:val="00DB10C8"/>
    <w:rsid w:val="00E5604A"/>
    <w:rsid w:val="00E63EC8"/>
    <w:rsid w:val="00E67DCB"/>
    <w:rsid w:val="00E80694"/>
    <w:rsid w:val="00E95E90"/>
    <w:rsid w:val="00EA463D"/>
    <w:rsid w:val="00EE23CA"/>
    <w:rsid w:val="00F03FDF"/>
    <w:rsid w:val="00F244DB"/>
    <w:rsid w:val="00F4263F"/>
    <w:rsid w:val="00F45BE4"/>
    <w:rsid w:val="00F51709"/>
    <w:rsid w:val="00F6502F"/>
    <w:rsid w:val="00F654CD"/>
    <w:rsid w:val="00F75D2E"/>
    <w:rsid w:val="00F82FA4"/>
    <w:rsid w:val="00F96597"/>
    <w:rsid w:val="00FA1E44"/>
    <w:rsid w:val="00FB7AA8"/>
    <w:rsid w:val="00FB7A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269CC"/>
  <w15:docId w15:val="{6027830C-0FE1-4DBE-AA75-6A9CD2E4D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5117"/>
    <w:rPr>
      <w:rFonts w:ascii="Times New Roman" w:eastAsia="Calibri"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6C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6C04"/>
    <w:rPr>
      <w:rFonts w:ascii="Times New Roman" w:eastAsia="Calibri" w:hAnsi="Times New Roman" w:cs="Times New Roman"/>
      <w:sz w:val="24"/>
    </w:rPr>
  </w:style>
  <w:style w:type="paragraph" w:styleId="Footer">
    <w:name w:val="footer"/>
    <w:basedOn w:val="Normal"/>
    <w:link w:val="FooterChar"/>
    <w:uiPriority w:val="99"/>
    <w:unhideWhenUsed/>
    <w:rsid w:val="00B66C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6C04"/>
    <w:rPr>
      <w:rFonts w:ascii="Times New Roman" w:eastAsia="Calibri" w:hAnsi="Times New Roman" w:cs="Times New Roman"/>
      <w:sz w:val="24"/>
    </w:rPr>
  </w:style>
  <w:style w:type="character" w:styleId="Hyperlink">
    <w:name w:val="Hyperlink"/>
    <w:basedOn w:val="DefaultParagraphFont"/>
    <w:uiPriority w:val="99"/>
    <w:unhideWhenUsed/>
    <w:rsid w:val="00F96597"/>
    <w:rPr>
      <w:color w:val="0000FF" w:themeColor="hyperlink"/>
      <w:u w:val="single"/>
    </w:rPr>
  </w:style>
  <w:style w:type="character" w:customStyle="1" w:styleId="UnresolvedMention">
    <w:name w:val="Unresolved Mention"/>
    <w:basedOn w:val="DefaultParagraphFont"/>
    <w:uiPriority w:val="99"/>
    <w:semiHidden/>
    <w:unhideWhenUsed/>
    <w:rsid w:val="00F96597"/>
    <w:rPr>
      <w:color w:val="605E5C"/>
      <w:shd w:val="clear" w:color="auto" w:fill="E1DFDD"/>
    </w:rPr>
  </w:style>
  <w:style w:type="character" w:styleId="Emphasis">
    <w:name w:val="Emphasis"/>
    <w:basedOn w:val="DefaultParagraphFont"/>
    <w:uiPriority w:val="20"/>
    <w:qFormat/>
    <w:rsid w:val="00C053A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743</Words>
  <Characters>4237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Koros</cp:lastModifiedBy>
  <cp:revision>2</cp:revision>
  <dcterms:created xsi:type="dcterms:W3CDTF">2021-02-17T11:05:00Z</dcterms:created>
  <dcterms:modified xsi:type="dcterms:W3CDTF">2021-02-17T11:05:00Z</dcterms:modified>
</cp:coreProperties>
</file>