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1B8B" w:rsidRDefault="001A1B8B" w:rsidP="001A1B8B">
      <w:pPr>
        <w:keepLines/>
        <w:tabs>
          <w:tab w:val="right" w:pos="-173"/>
          <w:tab w:val="left" w:pos="0"/>
        </w:tabs>
        <w:suppressAutoHyphens/>
        <w:autoSpaceDE w:val="0"/>
        <w:autoSpaceDN w:val="0"/>
        <w:adjustRightInd w:val="0"/>
        <w:spacing w:after="0" w:line="240" w:lineRule="auto"/>
        <w:ind w:hanging="461"/>
        <w:rPr>
          <w:rFonts w:ascii="Times New Roman" w:hAnsi="Times New Roman"/>
          <w:color w:val="000000"/>
        </w:rPr>
      </w:pPr>
      <w:r>
        <w:rPr>
          <w:rFonts w:ascii="Times New Roman" w:hAnsi="Times New Roman"/>
          <w:color w:val="000000"/>
        </w:rPr>
        <w:t xml:space="preserve">       </w:t>
      </w:r>
      <w:bookmarkStart w:id="0" w:name="_GoBack"/>
      <w:bookmarkEnd w:id="0"/>
      <w:r>
        <w:rPr>
          <w:rFonts w:ascii="Times New Roman" w:hAnsi="Times New Roman"/>
          <w:color w:val="000000"/>
        </w:rPr>
        <w:t>The Ruth Company has been operating a small lunch counter for the convenience of employees. The counter occupies space that is not needed for any other business purpose. The lunch counter has been managed by a part-time employee whose annual salary is $3,000. Yearly operations have consistently shown a loss as follows:</w:t>
      </w:r>
    </w:p>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tbl>
      <w:tblPr>
        <w:tblW w:w="0" w:type="auto"/>
        <w:tblLayout w:type="fixed"/>
        <w:tblLook w:val="0000" w:firstRow="0" w:lastRow="0" w:firstColumn="0" w:lastColumn="0" w:noHBand="0" w:noVBand="0"/>
      </w:tblPr>
      <w:tblGrid>
        <w:gridCol w:w="4428"/>
        <w:gridCol w:w="1440"/>
        <w:gridCol w:w="1440"/>
      </w:tblGrid>
      <w:tr w:rsidR="001A1B8B" w:rsidTr="00AB173C">
        <w:tblPrEx>
          <w:tblCellMar>
            <w:top w:w="0" w:type="dxa"/>
            <w:bottom w:w="0" w:type="dxa"/>
          </w:tblCellMar>
        </w:tblPrEx>
        <w:tc>
          <w:tcPr>
            <w:tcW w:w="442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Receipts</w:t>
            </w:r>
          </w:p>
        </w:tc>
        <w:tc>
          <w:tcPr>
            <w:tcW w:w="1440"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c>
          <w:tcPr>
            <w:tcW w:w="1440"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rPr>
              <w:t>$20,000 </w:t>
            </w:r>
          </w:p>
        </w:tc>
      </w:tr>
      <w:tr w:rsidR="001A1B8B" w:rsidTr="00AB173C">
        <w:tblPrEx>
          <w:tblCellMar>
            <w:top w:w="0" w:type="dxa"/>
            <w:bottom w:w="0" w:type="dxa"/>
          </w:tblCellMar>
        </w:tblPrEx>
        <w:tc>
          <w:tcPr>
            <w:tcW w:w="442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Expenses for food, supplies (in cash)</w:t>
            </w:r>
          </w:p>
        </w:tc>
        <w:tc>
          <w:tcPr>
            <w:tcW w:w="1440"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rPr>
              <w:t>$19,000</w:t>
            </w:r>
          </w:p>
        </w:tc>
        <w:tc>
          <w:tcPr>
            <w:tcW w:w="1440"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42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Salary</w:t>
            </w:r>
          </w:p>
        </w:tc>
        <w:tc>
          <w:tcPr>
            <w:tcW w:w="1440"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u w:val="single"/>
              </w:rPr>
              <w:t>  3,000</w:t>
            </w:r>
          </w:p>
        </w:tc>
        <w:tc>
          <w:tcPr>
            <w:tcW w:w="1440"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u w:val="single"/>
              </w:rPr>
            </w:pPr>
            <w:r>
              <w:rPr>
                <w:rFonts w:ascii="Courier New" w:hAnsi="Courier New" w:cs="Courier New"/>
                <w:color w:val="000000"/>
                <w:sz w:val="20"/>
                <w:szCs w:val="20"/>
                <w:u w:val="single"/>
              </w:rPr>
              <w:t> 22,000</w:t>
            </w:r>
            <w:r>
              <w:rPr>
                <w:rFonts w:ascii="Courier New" w:hAnsi="Courier New" w:cs="Courier New"/>
                <w:color w:val="000000"/>
                <w:sz w:val="20"/>
                <w:szCs w:val="20"/>
              </w:rPr>
              <w:t> </w:t>
            </w:r>
          </w:p>
        </w:tc>
      </w:tr>
      <w:tr w:rsidR="001A1B8B" w:rsidTr="00AB173C">
        <w:tblPrEx>
          <w:tblCellMar>
            <w:top w:w="0" w:type="dxa"/>
            <w:bottom w:w="0" w:type="dxa"/>
          </w:tblCellMar>
        </w:tblPrEx>
        <w:tc>
          <w:tcPr>
            <w:tcW w:w="442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    Net Loss</w:t>
            </w:r>
          </w:p>
        </w:tc>
        <w:tc>
          <w:tcPr>
            <w:tcW w:w="1440"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c>
          <w:tcPr>
            <w:tcW w:w="1440"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u w:val="double"/>
              </w:rPr>
              <w:t>$(2,000</w:t>
            </w:r>
            <w:r>
              <w:rPr>
                <w:rFonts w:ascii="Courier New" w:hAnsi="Courier New" w:cs="Courier New"/>
                <w:color w:val="000000"/>
                <w:sz w:val="20"/>
                <w:szCs w:val="20"/>
              </w:rPr>
              <w:t>)</w:t>
            </w:r>
          </w:p>
        </w:tc>
      </w:tr>
    </w:tbl>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p w:rsidR="001A1B8B" w:rsidRDefault="001A1B8B" w:rsidP="001A1B8B">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A company has offered to sell Ruth automatic vending machines for a total cost of $12,000. Sales terms are cash on delivery. The old equipment has zero disposal value.</w:t>
      </w:r>
    </w:p>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p w:rsidR="001A1B8B" w:rsidRDefault="001A1B8B" w:rsidP="001A1B8B">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The predicted useful life of the equipment is 10 years, with zero scrap value. The equipment will easily serve the same volume that the lunch counter handled. Z catering company will completely service and supply the machines. Prices and variety of food and drink will be the same as those that prevailed at the lunch counter. The catering company will pay 5 percent of gross receipts to the Ruth Company and will bear all costs of food, repairs, and so forth. The part-time employee will be discharged. Thus, Ruth's only cost will be the initial outlay for the machines.</w:t>
      </w:r>
    </w:p>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p w:rsidR="001A1B8B" w:rsidRDefault="001A1B8B" w:rsidP="001A1B8B">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Consider only the two alternatives mentioned.</w:t>
      </w:r>
    </w:p>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p w:rsidR="001A1B8B" w:rsidRDefault="001A1B8B" w:rsidP="001A1B8B">
      <w:pPr>
        <w:keepLines/>
        <w:suppressAutoHyphens/>
        <w:autoSpaceDE w:val="0"/>
        <w:autoSpaceDN w:val="0"/>
        <w:adjustRightInd w:val="0"/>
        <w:spacing w:after="0" w:line="240" w:lineRule="auto"/>
        <w:rPr>
          <w:rFonts w:ascii="Times New Roman" w:hAnsi="Times New Roman"/>
          <w:b/>
          <w:bCs/>
          <w:color w:val="000000"/>
        </w:rPr>
      </w:pPr>
      <w:r>
        <w:rPr>
          <w:rFonts w:ascii="Times New Roman" w:hAnsi="Times New Roman"/>
          <w:b/>
          <w:bCs/>
          <w:color w:val="000000"/>
        </w:rPr>
        <w:t>Required:</w:t>
      </w:r>
    </w:p>
    <w:tbl>
      <w:tblPr>
        <w:tblW w:w="0" w:type="auto"/>
        <w:tblLayout w:type="fixed"/>
        <w:tblCellMar>
          <w:left w:w="0" w:type="dxa"/>
          <w:right w:w="0" w:type="dxa"/>
        </w:tblCellMar>
        <w:tblLook w:val="0000" w:firstRow="0" w:lastRow="0" w:firstColumn="0" w:lastColumn="0" w:noHBand="0" w:noVBand="0"/>
      </w:tblPr>
      <w:tblGrid>
        <w:gridCol w:w="393"/>
        <w:gridCol w:w="7527"/>
      </w:tblGrid>
      <w:tr w:rsidR="001A1B8B" w:rsidTr="00AB173C">
        <w:tblPrEx>
          <w:tblCellMar>
            <w:top w:w="0" w:type="dxa"/>
            <w:left w:w="0" w:type="dxa"/>
            <w:bottom w:w="0" w:type="dxa"/>
            <w:right w:w="0" w:type="dxa"/>
          </w:tblCellMar>
        </w:tblPrEx>
        <w:tc>
          <w:tcPr>
            <w:tcW w:w="393"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a.</w:t>
            </w:r>
          </w:p>
        </w:tc>
        <w:tc>
          <w:tcPr>
            <w:tcW w:w="7527"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What is the annual income difference between alternatives?</w:t>
            </w:r>
          </w:p>
        </w:tc>
      </w:tr>
    </w:tbl>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tbl>
      <w:tblPr>
        <w:tblW w:w="0" w:type="auto"/>
        <w:tblLayout w:type="fixed"/>
        <w:tblCellMar>
          <w:left w:w="0" w:type="dxa"/>
          <w:right w:w="0" w:type="dxa"/>
        </w:tblCellMar>
        <w:tblLook w:val="0000" w:firstRow="0" w:lastRow="0" w:firstColumn="0" w:lastColumn="0" w:noHBand="0" w:noVBand="0"/>
      </w:tblPr>
      <w:tblGrid>
        <w:gridCol w:w="393"/>
        <w:gridCol w:w="7527"/>
      </w:tblGrid>
      <w:tr w:rsidR="001A1B8B" w:rsidTr="00AB173C">
        <w:tblPrEx>
          <w:tblCellMar>
            <w:top w:w="0" w:type="dxa"/>
            <w:left w:w="0" w:type="dxa"/>
            <w:bottom w:w="0" w:type="dxa"/>
            <w:right w:w="0" w:type="dxa"/>
          </w:tblCellMar>
        </w:tblPrEx>
        <w:tc>
          <w:tcPr>
            <w:tcW w:w="393"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b.</w:t>
            </w:r>
          </w:p>
        </w:tc>
        <w:tc>
          <w:tcPr>
            <w:tcW w:w="7527"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Compute the payback period.</w:t>
            </w:r>
          </w:p>
        </w:tc>
      </w:tr>
    </w:tbl>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tbl>
      <w:tblPr>
        <w:tblW w:w="0" w:type="auto"/>
        <w:tblLayout w:type="fixed"/>
        <w:tblCellMar>
          <w:left w:w="0" w:type="dxa"/>
          <w:right w:w="0" w:type="dxa"/>
        </w:tblCellMar>
        <w:tblLook w:val="0000" w:firstRow="0" w:lastRow="0" w:firstColumn="0" w:lastColumn="0" w:noHBand="0" w:noVBand="0"/>
      </w:tblPr>
      <w:tblGrid>
        <w:gridCol w:w="393"/>
        <w:gridCol w:w="7527"/>
      </w:tblGrid>
      <w:tr w:rsidR="001A1B8B" w:rsidTr="00AB173C">
        <w:tblPrEx>
          <w:tblCellMar>
            <w:top w:w="0" w:type="dxa"/>
            <w:left w:w="0" w:type="dxa"/>
            <w:bottom w:w="0" w:type="dxa"/>
            <w:right w:w="0" w:type="dxa"/>
          </w:tblCellMar>
        </w:tblPrEx>
        <w:tc>
          <w:tcPr>
            <w:tcW w:w="393"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c.</w:t>
            </w:r>
          </w:p>
        </w:tc>
        <w:tc>
          <w:tcPr>
            <w:tcW w:w="7527"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Compute:</w:t>
            </w:r>
          </w:p>
        </w:tc>
      </w:tr>
      <w:tr w:rsidR="001A1B8B" w:rsidTr="00AB173C">
        <w:tblPrEx>
          <w:tblCellMar>
            <w:top w:w="0" w:type="dxa"/>
            <w:left w:w="0" w:type="dxa"/>
            <w:bottom w:w="0" w:type="dxa"/>
            <w:right w:w="0" w:type="dxa"/>
          </w:tblCellMar>
        </w:tblPrEx>
        <w:tc>
          <w:tcPr>
            <w:tcW w:w="393"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7527"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1. The net present value if relevant cost of capital is 20 percent.</w:t>
            </w:r>
          </w:p>
        </w:tc>
      </w:tr>
      <w:tr w:rsidR="001A1B8B" w:rsidTr="00AB173C">
        <w:tblPrEx>
          <w:tblCellMar>
            <w:top w:w="0" w:type="dxa"/>
            <w:left w:w="0" w:type="dxa"/>
            <w:bottom w:w="0" w:type="dxa"/>
            <w:right w:w="0" w:type="dxa"/>
          </w:tblCellMar>
        </w:tblPrEx>
        <w:tc>
          <w:tcPr>
            <w:tcW w:w="393"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7527"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2. Internal rate of return.</w:t>
            </w:r>
          </w:p>
        </w:tc>
      </w:tr>
    </w:tbl>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tbl>
      <w:tblPr>
        <w:tblW w:w="0" w:type="auto"/>
        <w:tblLayout w:type="fixed"/>
        <w:tblCellMar>
          <w:left w:w="0" w:type="dxa"/>
          <w:right w:w="0" w:type="dxa"/>
        </w:tblCellMar>
        <w:tblLook w:val="0000" w:firstRow="0" w:lastRow="0" w:firstColumn="0" w:lastColumn="0" w:noHBand="0" w:noVBand="0"/>
      </w:tblPr>
      <w:tblGrid>
        <w:gridCol w:w="393"/>
        <w:gridCol w:w="7527"/>
      </w:tblGrid>
      <w:tr w:rsidR="001A1B8B" w:rsidTr="00AB173C">
        <w:tblPrEx>
          <w:tblCellMar>
            <w:top w:w="0" w:type="dxa"/>
            <w:left w:w="0" w:type="dxa"/>
            <w:bottom w:w="0" w:type="dxa"/>
            <w:right w:w="0" w:type="dxa"/>
          </w:tblCellMar>
        </w:tblPrEx>
        <w:tc>
          <w:tcPr>
            <w:tcW w:w="393"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d.</w:t>
            </w:r>
          </w:p>
        </w:tc>
        <w:tc>
          <w:tcPr>
            <w:tcW w:w="7527"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Management is very uncertain about the prospective revenue from the vending equipment. Suppose that the gross receipts amounted to $14,000 instead of $20,000. Repeat the computation in part c.1.</w:t>
            </w:r>
          </w:p>
        </w:tc>
      </w:tr>
      <w:tr w:rsidR="001A1B8B" w:rsidTr="00AB173C">
        <w:tblPrEx>
          <w:tblCellMar>
            <w:top w:w="0" w:type="dxa"/>
            <w:left w:w="0" w:type="dxa"/>
            <w:bottom w:w="0" w:type="dxa"/>
            <w:right w:w="0" w:type="dxa"/>
          </w:tblCellMar>
        </w:tblPrEx>
        <w:tc>
          <w:tcPr>
            <w:tcW w:w="393"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7527"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r>
      <w:tr w:rsidR="001A1B8B" w:rsidTr="00AB173C">
        <w:tblPrEx>
          <w:tblCellMar>
            <w:top w:w="0" w:type="dxa"/>
            <w:left w:w="0" w:type="dxa"/>
            <w:bottom w:w="0" w:type="dxa"/>
            <w:right w:w="0" w:type="dxa"/>
          </w:tblCellMar>
        </w:tblPrEx>
        <w:tc>
          <w:tcPr>
            <w:tcW w:w="393"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e.</w:t>
            </w:r>
          </w:p>
        </w:tc>
        <w:tc>
          <w:tcPr>
            <w:tcW w:w="7527"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What would be the minimum amount of annual gross receipts from the vending equipment that would justify making the investment? Show computations.</w:t>
            </w:r>
          </w:p>
        </w:tc>
      </w:tr>
    </w:tbl>
    <w:p w:rsidR="001A1B8B" w:rsidRDefault="001A1B8B" w:rsidP="001A1B8B">
      <w:pPr>
        <w:widowControl w:val="0"/>
        <w:suppressAutoHyphens/>
        <w:autoSpaceDE w:val="0"/>
        <w:autoSpaceDN w:val="0"/>
        <w:adjustRightInd w:val="0"/>
        <w:spacing w:after="0" w:line="240" w:lineRule="auto"/>
        <w:rPr>
          <w:rFonts w:ascii="Times New Roman" w:hAnsi="Times New Roman"/>
          <w:color w:val="000000"/>
          <w:sz w:val="2"/>
          <w:szCs w:val="2"/>
        </w:rPr>
      </w:pPr>
    </w:p>
    <w:p w:rsidR="001A1B8B" w:rsidRDefault="001A1B8B" w:rsidP="001A1B8B">
      <w:pPr>
        <w:widowControl w:val="0"/>
        <w:suppressAutoHyphens/>
        <w:autoSpaceDE w:val="0"/>
        <w:autoSpaceDN w:val="0"/>
        <w:adjustRightInd w:val="0"/>
        <w:spacing w:after="1" w:line="240" w:lineRule="auto"/>
        <w:rPr>
          <w:rFonts w:ascii="Times New Roman" w:hAnsi="Times New Roman"/>
          <w:color w:val="000000"/>
        </w:rPr>
      </w:pPr>
    </w:p>
    <w:p w:rsidR="001A1B8B" w:rsidRDefault="001A1B8B" w:rsidP="001A1B8B">
      <w:pPr>
        <w:widowControl w:val="0"/>
        <w:tabs>
          <w:tab w:val="left" w:pos="0"/>
          <w:tab w:val="left" w:pos="706"/>
          <w:tab w:val="left" w:pos="2045"/>
          <w:tab w:val="left" w:pos="2678"/>
          <w:tab w:val="left" w:pos="4003"/>
          <w:tab w:val="left" w:pos="4637"/>
          <w:tab w:val="left" w:pos="5962"/>
          <w:tab w:val="left" w:pos="6596"/>
        </w:tab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ANS:</w:t>
      </w:r>
      <w:r>
        <w:rPr>
          <w:rFonts w:ascii="Times New Roman" w:hAnsi="Times New Roman"/>
          <w:color w:val="000000"/>
        </w:rPr>
        <w:tab/>
      </w:r>
    </w:p>
    <w:p w:rsidR="001A1B8B" w:rsidRDefault="001A1B8B" w:rsidP="001A1B8B">
      <w:pPr>
        <w:keepLines/>
        <w:suppressAutoHyphens/>
        <w:autoSpaceDE w:val="0"/>
        <w:autoSpaceDN w:val="0"/>
        <w:adjustRightInd w:val="0"/>
        <w:spacing w:after="0" w:line="240" w:lineRule="auto"/>
        <w:rPr>
          <w:rFonts w:ascii="Times New Roman" w:hAnsi="Times New Roman"/>
          <w:color w:val="000000"/>
        </w:rPr>
      </w:pPr>
    </w:p>
    <w:tbl>
      <w:tblPr>
        <w:tblW w:w="0" w:type="auto"/>
        <w:tblLayout w:type="fixed"/>
        <w:tblLook w:val="0000" w:firstRow="0" w:lastRow="0" w:firstColumn="0" w:lastColumn="0" w:noHBand="0" w:noVBand="0"/>
      </w:tblPr>
      <w:tblGrid>
        <w:gridCol w:w="468"/>
        <w:gridCol w:w="450"/>
        <w:gridCol w:w="2184"/>
        <w:gridCol w:w="2634"/>
        <w:gridCol w:w="1572"/>
      </w:tblGrid>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a.</w:t>
            </w:r>
          </w:p>
        </w:tc>
        <w:tc>
          <w:tcPr>
            <w:tcW w:w="2634"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Old loss $(2,000)</w:t>
            </w:r>
          </w:p>
        </w:tc>
        <w:tc>
          <w:tcPr>
            <w:tcW w:w="2634"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1572"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New receipts $20,000 </w:t>
            </w:r>
            <w:r>
              <w:rPr>
                <w:rFonts w:ascii="Symbol" w:hAnsi="Symbol" w:cs="Symbol"/>
                <w:color w:val="000000"/>
              </w:rPr>
              <w:t></w:t>
            </w:r>
            <w:r>
              <w:rPr>
                <w:rFonts w:ascii="Times New Roman" w:hAnsi="Times New Roman"/>
                <w:color w:val="000000"/>
              </w:rPr>
              <w:t xml:space="preserve"> 5% =</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rPr>
              <w:t>$ 1,000 </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roofErr w:type="spellStart"/>
            <w:r>
              <w:rPr>
                <w:rFonts w:ascii="Times New Roman" w:hAnsi="Times New Roman"/>
                <w:color w:val="000000"/>
              </w:rPr>
              <w:t>Depr</w:t>
            </w:r>
            <w:proofErr w:type="spellEnd"/>
            <w:r>
              <w:rPr>
                <w:rFonts w:ascii="Times New Roman" w:hAnsi="Times New Roman"/>
                <w:color w:val="000000"/>
              </w:rPr>
              <w:t>. $12,000/10 yrs. =</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u w:val="single"/>
              </w:rPr>
              <w:t> (1,200</w:t>
            </w:r>
            <w:r>
              <w:rPr>
                <w:rFonts w:ascii="Courier New" w:hAnsi="Courier New" w:cs="Courier New"/>
                <w:color w:val="000000"/>
                <w:sz w:val="20"/>
                <w:szCs w:val="20"/>
              </w:rPr>
              <w:t>)</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New (Loss)</w:t>
            </w:r>
          </w:p>
        </w:tc>
        <w:tc>
          <w:tcPr>
            <w:tcW w:w="2634"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u w:val="double"/>
              </w:rPr>
              <w:t>$  (200</w:t>
            </w:r>
            <w:r>
              <w:rPr>
                <w:rFonts w:ascii="Courier New" w:hAnsi="Courier New" w:cs="Courier New"/>
                <w:color w:val="000000"/>
                <w:sz w:val="20"/>
                <w:szCs w:val="20"/>
              </w:rPr>
              <w:t>)</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b.</w:t>
            </w: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Change in annual cash inflow is $3,000</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Payback = $12,000/$3,000 = 4 yrs.</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c.</w:t>
            </w:r>
          </w:p>
        </w:tc>
        <w:tc>
          <w:tcPr>
            <w:tcW w:w="450"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1.</w:t>
            </w:r>
          </w:p>
        </w:tc>
        <w:tc>
          <w:tcPr>
            <w:tcW w:w="4818"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PV of inflow  $3,000 </w:t>
            </w:r>
            <w:r>
              <w:rPr>
                <w:rFonts w:ascii="Symbol" w:hAnsi="Symbol" w:cs="Symbol"/>
                <w:color w:val="000000"/>
              </w:rPr>
              <w:t></w:t>
            </w:r>
            <w:r>
              <w:rPr>
                <w:rFonts w:ascii="Times New Roman" w:hAnsi="Times New Roman"/>
                <w:color w:val="000000"/>
              </w:rPr>
              <w:t xml:space="preserve"> 4.1925 =</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rPr>
              <w:t>$12,577.50 </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450"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4818"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PV of outflow $12,000 </w:t>
            </w:r>
            <w:r>
              <w:rPr>
                <w:rFonts w:ascii="Symbol" w:hAnsi="Symbol" w:cs="Symbol"/>
                <w:color w:val="000000"/>
              </w:rPr>
              <w:t></w:t>
            </w:r>
            <w:r>
              <w:rPr>
                <w:rFonts w:ascii="Times New Roman" w:hAnsi="Times New Roman"/>
                <w:color w:val="000000"/>
              </w:rPr>
              <w:t xml:space="preserve"> 1.0 =</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u w:val="single"/>
              </w:rPr>
              <w:t>(12,000.00</w:t>
            </w:r>
            <w:r>
              <w:rPr>
                <w:rFonts w:ascii="Courier New" w:hAnsi="Courier New" w:cs="Courier New"/>
                <w:color w:val="000000"/>
                <w:sz w:val="20"/>
                <w:szCs w:val="20"/>
              </w:rPr>
              <w:t>)</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450"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4818"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NPV</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u w:val="double"/>
              </w:rPr>
            </w:pPr>
            <w:r>
              <w:rPr>
                <w:rFonts w:ascii="Courier New" w:hAnsi="Courier New" w:cs="Courier New"/>
                <w:color w:val="000000"/>
                <w:sz w:val="20"/>
                <w:szCs w:val="20"/>
                <w:u w:val="double"/>
              </w:rPr>
              <w:t>$   577.50</w:t>
            </w:r>
            <w:r>
              <w:rPr>
                <w:rFonts w:ascii="Courier New" w:hAnsi="Courier New" w:cs="Courier New"/>
                <w:color w:val="000000"/>
                <w:sz w:val="20"/>
                <w:szCs w:val="20"/>
              </w:rPr>
              <w:t> </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450"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2.</w:t>
            </w:r>
          </w:p>
        </w:tc>
        <w:tc>
          <w:tcPr>
            <w:tcW w:w="4818"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IRR is approximately 23%</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d.</w:t>
            </w: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Change in inflow = $2,700</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    PV inflow $2,700 </w:t>
            </w:r>
            <w:r>
              <w:rPr>
                <w:rFonts w:ascii="Symbol" w:hAnsi="Symbol" w:cs="Symbol"/>
                <w:color w:val="000000"/>
              </w:rPr>
              <w:t></w:t>
            </w:r>
            <w:r>
              <w:rPr>
                <w:rFonts w:ascii="Times New Roman" w:hAnsi="Times New Roman"/>
                <w:color w:val="000000"/>
              </w:rPr>
              <w:t xml:space="preserve"> 4.1925 =</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rPr>
              <w:t>$11,319.75 </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    PV outflow $12,000 </w:t>
            </w:r>
            <w:r>
              <w:rPr>
                <w:rFonts w:ascii="Symbol" w:hAnsi="Symbol" w:cs="Symbol"/>
                <w:color w:val="000000"/>
              </w:rPr>
              <w:t></w:t>
            </w:r>
            <w:r>
              <w:rPr>
                <w:rFonts w:ascii="Times New Roman" w:hAnsi="Times New Roman"/>
                <w:color w:val="000000"/>
              </w:rPr>
              <w:t xml:space="preserve"> 1.0 =</w:t>
            </w: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u w:val="single"/>
              </w:rPr>
              <w:t>(12,000.00</w:t>
            </w:r>
            <w:r>
              <w:rPr>
                <w:rFonts w:ascii="Courier New" w:hAnsi="Courier New" w:cs="Courier New"/>
                <w:color w:val="000000"/>
                <w:sz w:val="20"/>
                <w:szCs w:val="20"/>
              </w:rPr>
              <w:t>)</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        NPV</w:t>
            </w:r>
          </w:p>
        </w:tc>
        <w:tc>
          <w:tcPr>
            <w:tcW w:w="2634"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u w:val="double"/>
              </w:rPr>
            </w:pPr>
          </w:p>
        </w:tc>
        <w:tc>
          <w:tcPr>
            <w:tcW w:w="1572" w:type="dxa"/>
            <w:tcBorders>
              <w:top w:val="nil"/>
              <w:left w:val="nil"/>
              <w:bottom w:val="nil"/>
              <w:right w:val="nil"/>
            </w:tcBorders>
            <w:vAlign w:val="center"/>
          </w:tcPr>
          <w:p w:rsidR="001A1B8B" w:rsidRDefault="001A1B8B" w:rsidP="00AB173C">
            <w:pPr>
              <w:keepLines/>
              <w:suppressAutoHyphens/>
              <w:autoSpaceDE w:val="0"/>
              <w:autoSpaceDN w:val="0"/>
              <w:adjustRightInd w:val="0"/>
              <w:spacing w:after="0" w:line="240" w:lineRule="auto"/>
              <w:jc w:val="right"/>
              <w:rPr>
                <w:rFonts w:ascii="Courier New" w:hAnsi="Courier New" w:cs="Courier New"/>
                <w:color w:val="000000"/>
                <w:sz w:val="20"/>
                <w:szCs w:val="20"/>
              </w:rPr>
            </w:pPr>
            <w:r>
              <w:rPr>
                <w:rFonts w:ascii="Courier New" w:hAnsi="Courier New" w:cs="Courier New"/>
                <w:color w:val="000000"/>
                <w:sz w:val="20"/>
                <w:szCs w:val="20"/>
                <w:u w:val="double"/>
              </w:rPr>
              <w:t>$  (680.25</w:t>
            </w:r>
            <w:r>
              <w:rPr>
                <w:rFonts w:ascii="Courier New" w:hAnsi="Courier New" w:cs="Courier New"/>
                <w:color w:val="000000"/>
                <w:sz w:val="20"/>
                <w:szCs w:val="20"/>
              </w:rPr>
              <w:t>)</w:t>
            </w: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gridSpan w:val="2"/>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2634"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1572"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e.</w:t>
            </w: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$12,000/4.1925 = $2,862.25</w:t>
            </w:r>
          </w:p>
        </w:tc>
        <w:tc>
          <w:tcPr>
            <w:tcW w:w="1572"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r>
      <w:tr w:rsidR="001A1B8B" w:rsidTr="00AB173C">
        <w:tblPrEx>
          <w:tblCellMar>
            <w:top w:w="0" w:type="dxa"/>
            <w:bottom w:w="0" w:type="dxa"/>
          </w:tblCellMar>
        </w:tblPrEx>
        <w:tc>
          <w:tcPr>
            <w:tcW w:w="468"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c>
          <w:tcPr>
            <w:tcW w:w="5268" w:type="dxa"/>
            <w:gridSpan w:val="3"/>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r>
              <w:rPr>
                <w:rFonts w:ascii="Times New Roman" w:hAnsi="Times New Roman"/>
                <w:color w:val="000000"/>
              </w:rPr>
              <w:t>Receipts = ($2,862.25 - $2,000)/.05 = $17,245</w:t>
            </w:r>
          </w:p>
        </w:tc>
        <w:tc>
          <w:tcPr>
            <w:tcW w:w="1572" w:type="dxa"/>
            <w:tcBorders>
              <w:top w:val="nil"/>
              <w:left w:val="nil"/>
              <w:bottom w:val="nil"/>
              <w:right w:val="nil"/>
            </w:tcBorders>
          </w:tcPr>
          <w:p w:rsidR="001A1B8B" w:rsidRDefault="001A1B8B" w:rsidP="00AB173C">
            <w:pPr>
              <w:keepLines/>
              <w:suppressAutoHyphens/>
              <w:autoSpaceDE w:val="0"/>
              <w:autoSpaceDN w:val="0"/>
              <w:adjustRightInd w:val="0"/>
              <w:spacing w:after="0" w:line="240" w:lineRule="auto"/>
              <w:rPr>
                <w:rFonts w:ascii="Times New Roman" w:hAnsi="Times New Roman"/>
                <w:color w:val="000000"/>
              </w:rPr>
            </w:pPr>
          </w:p>
        </w:tc>
      </w:tr>
    </w:tbl>
    <w:p w:rsidR="001A1B8B" w:rsidRDefault="001A1B8B" w:rsidP="001A1B8B">
      <w:pPr>
        <w:widowControl w:val="0"/>
        <w:tabs>
          <w:tab w:val="left" w:pos="0"/>
          <w:tab w:val="left" w:pos="706"/>
          <w:tab w:val="left" w:pos="2045"/>
          <w:tab w:val="left" w:pos="2678"/>
          <w:tab w:val="left" w:pos="4003"/>
          <w:tab w:val="left" w:pos="4637"/>
          <w:tab w:val="left" w:pos="5962"/>
          <w:tab w:val="left" w:pos="6596"/>
        </w:tabs>
        <w:suppressAutoHyphens/>
        <w:autoSpaceDE w:val="0"/>
        <w:autoSpaceDN w:val="0"/>
        <w:adjustRightInd w:val="0"/>
        <w:spacing w:after="0" w:line="240" w:lineRule="auto"/>
        <w:rPr>
          <w:rFonts w:ascii="Times New Roman" w:hAnsi="Times New Roman"/>
          <w:color w:val="000000"/>
          <w:sz w:val="2"/>
          <w:szCs w:val="2"/>
        </w:rPr>
      </w:pPr>
    </w:p>
    <w:p w:rsidR="00211DC6" w:rsidRDefault="001A1B8B"/>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B8B"/>
    <w:rsid w:val="001A1B8B"/>
    <w:rsid w:val="003B0838"/>
    <w:rsid w:val="007C65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1D5A41-4179-4118-B065-AE3162E5C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1B8B"/>
    <w:pPr>
      <w:spacing w:after="200" w:line="276" w:lineRule="auto"/>
    </w:pPr>
    <w:rPr>
      <w:rFonts w:eastAsiaTheme="minorEastAsia"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361</Words>
  <Characters>2062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1</cp:revision>
  <dcterms:created xsi:type="dcterms:W3CDTF">2021-02-09T07:28:00Z</dcterms:created>
  <dcterms:modified xsi:type="dcterms:W3CDTF">2021-02-09T07:28:00Z</dcterms:modified>
</cp:coreProperties>
</file>