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0D2D" w:rsidRPr="000F0D2D" w:rsidRDefault="000F0D2D" w:rsidP="000F0D2D">
      <w:pPr>
        <w:spacing w:after="0" w:line="240" w:lineRule="auto"/>
        <w:ind w:left="46"/>
        <w:rPr>
          <w:rFonts w:ascii="Calibri" w:eastAsia="Times New Roman" w:hAnsi="Calibri" w:cs="Times New Roman"/>
          <w:color w:val="000000"/>
          <w:lang w:val="en-US" w:eastAsia="en-AU"/>
        </w:rPr>
      </w:pPr>
      <w:bookmarkStart w:id="0" w:name="_GoBack"/>
      <w:r w:rsidRPr="000F0D2D">
        <w:rPr>
          <w:rFonts w:ascii="Calibri" w:eastAsia="Times New Roman" w:hAnsi="Calibri" w:cs="Times New Roman"/>
          <w:b/>
          <w:bCs/>
          <w:color w:val="000000"/>
          <w:lang w:val="en-US" w:eastAsia="en-AU"/>
        </w:rPr>
        <w:t>Conceptual questions</w:t>
      </w:r>
    </w:p>
    <w:p w:rsidR="000F0D2D" w:rsidRPr="000F0D2D" w:rsidRDefault="00130CF3" w:rsidP="00130CF3">
      <w:pPr>
        <w:spacing w:after="0" w:line="240" w:lineRule="auto"/>
        <w:textAlignment w:val="center"/>
        <w:rPr>
          <w:rFonts w:ascii="Calibri" w:eastAsia="Times New Roman" w:hAnsi="Calibri" w:cs="Times New Roman"/>
          <w:color w:val="000000"/>
          <w:lang w:eastAsia="en-AU"/>
        </w:rPr>
      </w:pPr>
      <w:proofErr w:type="gramStart"/>
      <w:r>
        <w:rPr>
          <w:rFonts w:ascii="Calibri" w:eastAsia="Times New Roman" w:hAnsi="Calibri" w:cs="Times New Roman"/>
          <w:color w:val="000000"/>
          <w:lang w:eastAsia="en-AU"/>
        </w:rPr>
        <w:t>1)</w:t>
      </w:r>
      <w:r w:rsidR="000F0D2D" w:rsidRPr="000F0D2D">
        <w:rPr>
          <w:rFonts w:ascii="Calibri" w:eastAsia="Times New Roman" w:hAnsi="Calibri" w:cs="Times New Roman"/>
          <w:color w:val="000000"/>
          <w:lang w:eastAsia="en-AU"/>
        </w:rPr>
        <w:t>What</w:t>
      </w:r>
      <w:proofErr w:type="gramEnd"/>
      <w:r w:rsidR="000F0D2D" w:rsidRPr="000F0D2D">
        <w:rPr>
          <w:rFonts w:ascii="Calibri" w:eastAsia="Times New Roman" w:hAnsi="Calibri" w:cs="Times New Roman"/>
          <w:color w:val="000000"/>
          <w:lang w:eastAsia="en-AU"/>
        </w:rPr>
        <w:t xml:space="preserve"> is likely to happen if a central bank suddenly prints a large amount of new money?</w:t>
      </w:r>
    </w:p>
    <w:p w:rsidR="000F0D2D" w:rsidRPr="000F0D2D" w:rsidRDefault="000F0D2D" w:rsidP="000F0D2D">
      <w:pPr>
        <w:numPr>
          <w:ilvl w:val="2"/>
          <w:numId w:val="22"/>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Whereas there are theories that predict that changes in the supply of money have real effects on the economy in the short run, it is likely that if the central bank showers the economy suddenly with money, the only result will be higher inflation. </w:t>
      </w:r>
    </w:p>
    <w:p w:rsidR="000F0D2D" w:rsidRPr="000F0D2D" w:rsidRDefault="000F0D2D" w:rsidP="000F0D2D">
      <w:pPr>
        <w:numPr>
          <w:ilvl w:val="2"/>
          <w:numId w:val="22"/>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This is because the demand for money ultimately depends on the amount of real transactions in the economy and how much money is needed to facilitate these transactions. Additional supply of money is unlikely to make people consume more or work harder.</w:t>
      </w:r>
    </w:p>
    <w:p w:rsidR="000F0D2D" w:rsidRPr="000F0D2D" w:rsidRDefault="000F0D2D" w:rsidP="000F0D2D">
      <w:pPr>
        <w:spacing w:after="0" w:line="240" w:lineRule="auto"/>
        <w:ind w:left="1126"/>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w:t>
      </w:r>
    </w:p>
    <w:p w:rsidR="000F0D2D" w:rsidRPr="000F0D2D" w:rsidRDefault="000F0D2D" w:rsidP="000F0D2D">
      <w:pPr>
        <w:numPr>
          <w:ilvl w:val="1"/>
          <w:numId w:val="23"/>
        </w:numPr>
        <w:spacing w:after="0" w:line="240" w:lineRule="auto"/>
        <w:ind w:left="58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How can you quantify currency risk in a floating exchange rate system?</w:t>
      </w:r>
    </w:p>
    <w:p w:rsidR="000F0D2D" w:rsidRPr="000F0D2D" w:rsidRDefault="000F0D2D" w:rsidP="000F0D2D">
      <w:pPr>
        <w:numPr>
          <w:ilvl w:val="2"/>
          <w:numId w:val="23"/>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A completely pure floating rate system does not really exist. Central banks will inevitably intervene in the forex market to affect their own values, creating a dirty float currency system. </w:t>
      </w:r>
    </w:p>
    <w:p w:rsidR="000F0D2D" w:rsidRPr="000F0D2D" w:rsidRDefault="000F0D2D" w:rsidP="000F0D2D">
      <w:pPr>
        <w:numPr>
          <w:ilvl w:val="2"/>
          <w:numId w:val="23"/>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One particular advantage of the floating exchange rate system is that history provides data which may indicate past currency volatility. </w:t>
      </w:r>
    </w:p>
    <w:p w:rsidR="000F0D2D" w:rsidRPr="000F0D2D" w:rsidRDefault="000F0D2D" w:rsidP="000F0D2D">
      <w:pPr>
        <w:numPr>
          <w:ilvl w:val="2"/>
          <w:numId w:val="23"/>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Arguably, one may also use forward, predictive information such as the options market in order to predict the movements and risk of the currency position. </w:t>
      </w:r>
    </w:p>
    <w:p w:rsidR="000F0D2D" w:rsidRPr="000F0D2D" w:rsidRDefault="000F0D2D" w:rsidP="000F0D2D">
      <w:pPr>
        <w:numPr>
          <w:ilvl w:val="2"/>
          <w:numId w:val="23"/>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The risks of a large movement of the exchange rate in one direction or another in a floating exchange rate system are reasonably symmetric unless a currency has strengthened or weakened systematically for several years. </w:t>
      </w:r>
    </w:p>
    <w:p w:rsidR="000F0D2D" w:rsidRPr="000F0D2D" w:rsidRDefault="000F0D2D" w:rsidP="000F0D2D">
      <w:pPr>
        <w:spacing w:after="0" w:line="240" w:lineRule="auto"/>
        <w:ind w:left="586"/>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w:t>
      </w:r>
    </w:p>
    <w:p w:rsidR="000F0D2D" w:rsidRPr="000F0D2D" w:rsidRDefault="000F0D2D" w:rsidP="000F0D2D">
      <w:pPr>
        <w:numPr>
          <w:ilvl w:val="1"/>
          <w:numId w:val="24"/>
        </w:numPr>
        <w:spacing w:after="0" w:line="240" w:lineRule="auto"/>
        <w:ind w:left="58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What was the Bretton Woods currency system?</w:t>
      </w:r>
    </w:p>
    <w:p w:rsidR="000F0D2D" w:rsidRPr="000F0D2D" w:rsidRDefault="000F0D2D" w:rsidP="000F0D2D">
      <w:pPr>
        <w:numPr>
          <w:ilvl w:val="2"/>
          <w:numId w:val="24"/>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At the start of the 18th century, Great Britain made paper currency notes exchange for gold, and established the 'gold standard' which spread across major industrial countries by the end of the 19th century. </w:t>
      </w:r>
    </w:p>
    <w:p w:rsidR="000F0D2D" w:rsidRPr="000F0D2D" w:rsidRDefault="000F0D2D" w:rsidP="000F0D2D">
      <w:pPr>
        <w:numPr>
          <w:ilvl w:val="2"/>
          <w:numId w:val="24"/>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During WWI, the gold standard was suspended as government printed massive amounts of paper money to finance their war efforts, resulting in substantial inflation. </w:t>
      </w:r>
    </w:p>
    <w:p w:rsidR="000F0D2D" w:rsidRPr="000F0D2D" w:rsidRDefault="000F0D2D" w:rsidP="000F0D2D">
      <w:pPr>
        <w:numPr>
          <w:ilvl w:val="2"/>
          <w:numId w:val="24"/>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In 1944, the IMF created an international agreement known as the Bretton Woods Agreement (signed at Bretton Woods, New Hampshire). The participating countries agreed to an exchange rate regime that linked their exchange rates to the dollar around a fixed gold parity ($35 per ounce). There is a fluctuating allowance of 1% around the chosen parity value. </w:t>
      </w:r>
    </w:p>
    <w:p w:rsidR="000F0D2D" w:rsidRPr="000F0D2D" w:rsidRDefault="000F0D2D" w:rsidP="000F0D2D">
      <w:pPr>
        <w:numPr>
          <w:ilvl w:val="2"/>
          <w:numId w:val="24"/>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The agreement existed to avoid the monetary chaos of the interwar period, allowing for stability and discipline. Countries were allowed to devalue their currencies if they experienced "fundamental disequilibrium", and thereby allowed </w:t>
      </w:r>
      <w:r w:rsidRPr="000F0D2D">
        <w:rPr>
          <w:rFonts w:ascii="Calibri" w:eastAsia="Times New Roman" w:hAnsi="Calibri" w:cs="Times New Roman"/>
          <w:b/>
          <w:bCs/>
          <w:color w:val="000000"/>
          <w:lang w:eastAsia="en-AU"/>
        </w:rPr>
        <w:t xml:space="preserve">flexibility into the fixed exchange rate system. </w:t>
      </w:r>
    </w:p>
    <w:p w:rsidR="000F0D2D" w:rsidRPr="000F0D2D" w:rsidRDefault="000F0D2D" w:rsidP="000F0D2D">
      <w:pPr>
        <w:numPr>
          <w:ilvl w:val="2"/>
          <w:numId w:val="24"/>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In the event of a balance of payments problem (current account deficit), which threatened the currency peg, countries would draw on the lending facilities of the IMF. </w:t>
      </w:r>
    </w:p>
    <w:p w:rsidR="000F0D2D" w:rsidRPr="000F0D2D" w:rsidRDefault="000F0D2D" w:rsidP="000F0D2D">
      <w:pPr>
        <w:numPr>
          <w:ilvl w:val="2"/>
          <w:numId w:val="24"/>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Each IMF member would contribute gold and its national currency to the fund, and use its currency to temporarily purchase gold or foreign currencies from the fund equal in value to its gold </w:t>
      </w:r>
    </w:p>
    <w:p w:rsidR="000F0D2D" w:rsidRPr="000F0D2D" w:rsidRDefault="000F0D2D" w:rsidP="000F0D2D">
      <w:pPr>
        <w:spacing w:after="0" w:line="240" w:lineRule="auto"/>
        <w:ind w:left="1126"/>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w:t>
      </w:r>
    </w:p>
    <w:p w:rsidR="000F0D2D" w:rsidRPr="000F0D2D" w:rsidRDefault="000F0D2D" w:rsidP="000F0D2D">
      <w:pPr>
        <w:numPr>
          <w:ilvl w:val="1"/>
          <w:numId w:val="25"/>
        </w:numPr>
        <w:spacing w:after="0" w:line="240" w:lineRule="auto"/>
        <w:ind w:left="58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Describe two different currency systems that have been introduced in countries such as Hong Kong and Ecuador to improve the credibility of pegged exchange rate systems.</w:t>
      </w:r>
    </w:p>
    <w:p w:rsidR="000F0D2D" w:rsidRPr="000F0D2D" w:rsidRDefault="000F0D2D" w:rsidP="000F0D2D">
      <w:pPr>
        <w:numPr>
          <w:ilvl w:val="2"/>
          <w:numId w:val="25"/>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b/>
          <w:bCs/>
          <w:color w:val="000000"/>
          <w:lang w:eastAsia="en-AU"/>
        </w:rPr>
        <w:t>Hong Kong</w:t>
      </w:r>
      <w:r w:rsidRPr="000F0D2D">
        <w:rPr>
          <w:rFonts w:ascii="Calibri" w:eastAsia="Times New Roman" w:hAnsi="Calibri" w:cs="Times New Roman"/>
          <w:color w:val="000000"/>
          <w:lang w:eastAsia="en-AU"/>
        </w:rPr>
        <w:t xml:space="preserve"> - A fixed/pegged exchange rate hinges on the commitment of a country's central bank in order to defend the currency's value. A </w:t>
      </w:r>
      <w:r w:rsidRPr="000F0D2D">
        <w:rPr>
          <w:rFonts w:ascii="Calibri" w:eastAsia="Times New Roman" w:hAnsi="Calibri" w:cs="Times New Roman"/>
          <w:b/>
          <w:bCs/>
          <w:color w:val="000000"/>
          <w:lang w:eastAsia="en-AU"/>
        </w:rPr>
        <w:t>currency board</w:t>
      </w:r>
      <w:r w:rsidRPr="000F0D2D">
        <w:rPr>
          <w:rFonts w:ascii="Calibri" w:eastAsia="Times New Roman" w:hAnsi="Calibri" w:cs="Times New Roman"/>
          <w:color w:val="000000"/>
          <w:lang w:eastAsia="en-AU"/>
        </w:rPr>
        <w:t xml:space="preserve"> refers to a monetary institution which issues money backed by a foreign reserve currency, and convertible into reserve currency on demand (at a fixed rate). The domestic currency monetary base is therefore backed by assets payable in the reserve currency, barring the currency board from extending credit to either the government or the banking sector. </w:t>
      </w:r>
    </w:p>
    <w:p w:rsidR="000F0D2D" w:rsidRPr="000F0D2D" w:rsidRDefault="000F0D2D" w:rsidP="000F0D2D">
      <w:pPr>
        <w:numPr>
          <w:ilvl w:val="2"/>
          <w:numId w:val="25"/>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Currency boards may be more efficient and import more monetary credibility than a conventional exchange rate peg, as it has no discretionary powers; its operations are completely passive and automatic. It cannot lend to the government and therefore cannot monetize fiscal deficits; the currency board cannot rescue banks when they get into trouble (and therefore cannot function as a lender of last resort).  </w:t>
      </w:r>
    </w:p>
    <w:p w:rsidR="000F0D2D" w:rsidRPr="000F0D2D" w:rsidRDefault="000F0D2D" w:rsidP="000F0D2D">
      <w:pPr>
        <w:numPr>
          <w:ilvl w:val="3"/>
          <w:numId w:val="25"/>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Fully backed up by foreign reserves - maintain set amount of foreign reserves; maintaining the own domestic currency to meet the foreign reserves they have. </w:t>
      </w:r>
    </w:p>
    <w:p w:rsidR="000F0D2D" w:rsidRPr="000F0D2D" w:rsidRDefault="000F0D2D" w:rsidP="000F0D2D">
      <w:pPr>
        <w:numPr>
          <w:ilvl w:val="3"/>
          <w:numId w:val="25"/>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Less influence or discretion</w:t>
      </w:r>
    </w:p>
    <w:p w:rsidR="000F0D2D" w:rsidRPr="000F0D2D" w:rsidRDefault="000F0D2D" w:rsidP="000F0D2D">
      <w:pPr>
        <w:numPr>
          <w:ilvl w:val="3"/>
          <w:numId w:val="25"/>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Limited amount of reserves; the domestic currency must be matching. </w:t>
      </w:r>
    </w:p>
    <w:p w:rsidR="000F0D2D" w:rsidRPr="000F0D2D" w:rsidRDefault="000F0D2D" w:rsidP="000F0D2D">
      <w:pPr>
        <w:spacing w:after="0" w:line="240" w:lineRule="auto"/>
        <w:ind w:left="1666"/>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w:t>
      </w:r>
    </w:p>
    <w:p w:rsidR="000F0D2D" w:rsidRPr="000F0D2D" w:rsidRDefault="000F0D2D" w:rsidP="000F0D2D">
      <w:pPr>
        <w:spacing w:after="0" w:line="240" w:lineRule="auto"/>
        <w:ind w:left="586"/>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w:t>
      </w:r>
    </w:p>
    <w:p w:rsidR="000F0D2D" w:rsidRPr="000F0D2D" w:rsidRDefault="000F0D2D" w:rsidP="000F0D2D">
      <w:pPr>
        <w:numPr>
          <w:ilvl w:val="1"/>
          <w:numId w:val="26"/>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b/>
          <w:bCs/>
          <w:color w:val="000000"/>
          <w:lang w:eastAsia="en-AU"/>
        </w:rPr>
        <w:t>Ecuador</w:t>
      </w:r>
      <w:r w:rsidRPr="000F0D2D">
        <w:rPr>
          <w:rFonts w:ascii="Calibri" w:eastAsia="Times New Roman" w:hAnsi="Calibri" w:cs="Times New Roman"/>
          <w:color w:val="000000"/>
          <w:lang w:eastAsia="en-AU"/>
        </w:rPr>
        <w:t xml:space="preserve"> instead has adopted the US Dollar as its currency; known as "no separate legal tender" and thus imports both the country's money and its monetary policy. This is known as "Official" dollarization; when a foreign currency has exclusive or predominant status as full legal tender in a particular country. </w:t>
      </w:r>
    </w:p>
    <w:p w:rsidR="000F0D2D" w:rsidRPr="000F0D2D" w:rsidRDefault="000F0D2D" w:rsidP="000F0D2D">
      <w:pPr>
        <w:numPr>
          <w:ilvl w:val="1"/>
          <w:numId w:val="26"/>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(“Unofficial” dollarization occurs when residents of a country extensively use foreign currency alongside or instead of the domestic currency.)</w:t>
      </w:r>
    </w:p>
    <w:p w:rsidR="000F0D2D" w:rsidRPr="000F0D2D" w:rsidRDefault="000F0D2D" w:rsidP="000F0D2D">
      <w:pPr>
        <w:spacing w:after="0" w:line="240" w:lineRule="auto"/>
        <w:ind w:left="1126"/>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w:t>
      </w:r>
    </w:p>
    <w:p w:rsidR="000F0D2D" w:rsidRPr="00130CF3" w:rsidRDefault="000F0D2D" w:rsidP="00130CF3">
      <w:pPr>
        <w:pStyle w:val="ListParagraph"/>
        <w:numPr>
          <w:ilvl w:val="1"/>
          <w:numId w:val="25"/>
        </w:numPr>
        <w:spacing w:after="0" w:line="240" w:lineRule="auto"/>
        <w:textAlignment w:val="center"/>
        <w:rPr>
          <w:rFonts w:ascii="Calibri" w:eastAsia="Times New Roman" w:hAnsi="Calibri" w:cs="Times New Roman"/>
          <w:color w:val="000000"/>
          <w:lang w:eastAsia="en-AU"/>
        </w:rPr>
      </w:pPr>
      <w:r w:rsidRPr="00130CF3">
        <w:rPr>
          <w:rFonts w:ascii="Calibri" w:eastAsia="Times New Roman" w:hAnsi="Calibri" w:cs="Times New Roman"/>
          <w:color w:val="000000"/>
          <w:lang w:eastAsia="en-AU"/>
        </w:rPr>
        <w:t>What is the difference between a target zone and a crawling peg?</w:t>
      </w:r>
    </w:p>
    <w:p w:rsidR="000F0D2D" w:rsidRPr="000F0D2D" w:rsidRDefault="000F0D2D" w:rsidP="00130CF3">
      <w:pPr>
        <w:numPr>
          <w:ilvl w:val="2"/>
          <w:numId w:val="25"/>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In a target zone, the currency is allowed to fluctuate in a percentage band around a fixed band or a “central value.” One can view a pegged system as a target zone system with a very narrow band. </w:t>
      </w:r>
    </w:p>
    <w:p w:rsidR="000F0D2D" w:rsidRPr="000F0D2D" w:rsidRDefault="000F0D2D" w:rsidP="00130CF3">
      <w:pPr>
        <w:numPr>
          <w:ilvl w:val="2"/>
          <w:numId w:val="25"/>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In a crawling peg system, the fixed rate or band is adjusted over time, typically in a pre-determined way as a function of the inflation differential between the crawling peg country and the country to whose currency the peg is set. Such a system is often used in developing countries, where the “crawl” of the band prevents the country from losing too much competitiveness when its inflation rate is higher than that of the benchmark country.</w:t>
      </w:r>
    </w:p>
    <w:p w:rsidR="000F0D2D" w:rsidRPr="000F0D2D" w:rsidRDefault="000F0D2D" w:rsidP="000F0D2D">
      <w:pPr>
        <w:spacing w:after="0" w:line="240" w:lineRule="auto"/>
        <w:ind w:left="586"/>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w:t>
      </w:r>
    </w:p>
    <w:p w:rsidR="000F0D2D" w:rsidRPr="000F0D2D" w:rsidRDefault="000F0D2D" w:rsidP="000F0D2D">
      <w:pPr>
        <w:numPr>
          <w:ilvl w:val="1"/>
          <w:numId w:val="28"/>
        </w:numPr>
        <w:spacing w:after="0" w:line="240" w:lineRule="auto"/>
        <w:ind w:left="58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What was the EMS?</w:t>
      </w:r>
    </w:p>
    <w:p w:rsidR="000F0D2D" w:rsidRPr="000F0D2D" w:rsidRDefault="000F0D2D" w:rsidP="000F0D2D">
      <w:pPr>
        <w:numPr>
          <w:ilvl w:val="2"/>
          <w:numId w:val="28"/>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The European monetary System (EMS) was a target zone system which operated, encompassing the European countries in the European Community (EC). The main goal of the EMS was to reduce exchange rate volatility and narrow inflation and interest differential between the countries. There were three components to the EMS:</w:t>
      </w:r>
    </w:p>
    <w:p w:rsidR="000F0D2D" w:rsidRPr="000F0D2D" w:rsidRDefault="000F0D2D" w:rsidP="000F0D2D">
      <w:pPr>
        <w:numPr>
          <w:ilvl w:val="3"/>
          <w:numId w:val="28"/>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Exchange Rate Mechanism (ERM) - exchange rates were maintained between bands of 2.25% flexibility on both sides. </w:t>
      </w:r>
    </w:p>
    <w:p w:rsidR="000F0D2D" w:rsidRPr="000F0D2D" w:rsidRDefault="000F0D2D" w:rsidP="000F0D2D">
      <w:pPr>
        <w:numPr>
          <w:ilvl w:val="3"/>
          <w:numId w:val="28"/>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Intervention Rules and Intervention Financing mechanisms - Interventions were made compulsory when the bilateral margin was reached, with a strong central bank required to grant the weak currency central bank unlimited credit lines to assist its currency. </w:t>
      </w:r>
    </w:p>
    <w:p w:rsidR="000F0D2D" w:rsidRPr="000F0D2D" w:rsidRDefault="000F0D2D" w:rsidP="000F0D2D">
      <w:pPr>
        <w:numPr>
          <w:ilvl w:val="3"/>
          <w:numId w:val="28"/>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Rules for realignments - Finance ministers would establish new central parities, devaluing the weaker currencies and revaluing the stronger currencies when bilateral central parity could not be maintained. </w:t>
      </w:r>
    </w:p>
    <w:p w:rsidR="000F0D2D" w:rsidRPr="000F0D2D" w:rsidRDefault="000F0D2D" w:rsidP="000F0D2D">
      <w:pPr>
        <w:spacing w:after="0" w:line="240" w:lineRule="auto"/>
        <w:ind w:left="1126"/>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w:t>
      </w:r>
    </w:p>
    <w:p w:rsidR="000F0D2D" w:rsidRPr="000F0D2D" w:rsidRDefault="000F0D2D" w:rsidP="000F0D2D">
      <w:pPr>
        <w:numPr>
          <w:ilvl w:val="1"/>
          <w:numId w:val="29"/>
        </w:numPr>
        <w:spacing w:after="0" w:line="240" w:lineRule="auto"/>
        <w:ind w:left="58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What did the Maastricht Treaty try to accomplish?</w:t>
      </w:r>
    </w:p>
    <w:p w:rsidR="000F0D2D" w:rsidRPr="000F0D2D" w:rsidRDefault="000F0D2D" w:rsidP="000F0D2D">
      <w:pPr>
        <w:numPr>
          <w:ilvl w:val="2"/>
          <w:numId w:val="29"/>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The 1991 Maastricht Treaty mapped out the road to economic and monetary union, within the European Union to be finalized by 1999. Establishing a monetary union requires fixing exchange rates relative to one another, and possibly introducing a single currency to establish a central bank to conduct monetary and exchange rate policy across the region. The </w:t>
      </w:r>
      <w:r w:rsidRPr="000F0D2D">
        <w:rPr>
          <w:rFonts w:ascii="Calibri" w:eastAsia="Times New Roman" w:hAnsi="Calibri" w:cs="Times New Roman"/>
          <w:b/>
          <w:bCs/>
          <w:color w:val="000000"/>
          <w:lang w:eastAsia="en-AU"/>
        </w:rPr>
        <w:t>primary objective</w:t>
      </w:r>
      <w:r w:rsidRPr="000F0D2D">
        <w:rPr>
          <w:rFonts w:ascii="Calibri" w:eastAsia="Times New Roman" w:hAnsi="Calibri" w:cs="Times New Roman"/>
          <w:color w:val="000000"/>
          <w:lang w:eastAsia="en-AU"/>
        </w:rPr>
        <w:t xml:space="preserve"> was to maintain price stability. </w:t>
      </w:r>
    </w:p>
    <w:p w:rsidR="000F0D2D" w:rsidRPr="000F0D2D" w:rsidRDefault="000F0D2D" w:rsidP="000F0D2D">
      <w:pPr>
        <w:numPr>
          <w:ilvl w:val="2"/>
          <w:numId w:val="29"/>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Three stages - </w:t>
      </w:r>
    </w:p>
    <w:p w:rsidR="000F0D2D" w:rsidRPr="000F0D2D" w:rsidRDefault="000F0D2D" w:rsidP="000F0D2D">
      <w:pPr>
        <w:numPr>
          <w:ilvl w:val="3"/>
          <w:numId w:val="29"/>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The Treaty called for eliminating all remaining restrictions on the movement of capital and payments between member states and between member states and third countries</w:t>
      </w:r>
    </w:p>
    <w:p w:rsidR="000F0D2D" w:rsidRPr="000F0D2D" w:rsidRDefault="000F0D2D" w:rsidP="000F0D2D">
      <w:pPr>
        <w:numPr>
          <w:ilvl w:val="3"/>
          <w:numId w:val="29"/>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Creation of a European central bank</w:t>
      </w:r>
    </w:p>
    <w:p w:rsidR="000F0D2D" w:rsidRPr="000F0D2D" w:rsidRDefault="000F0D2D" w:rsidP="000F0D2D">
      <w:pPr>
        <w:numPr>
          <w:ilvl w:val="3"/>
          <w:numId w:val="29"/>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Introduction of a new currency, the euro, in 1999. </w:t>
      </w:r>
    </w:p>
    <w:p w:rsidR="000F0D2D" w:rsidRPr="000F0D2D" w:rsidRDefault="000F0D2D" w:rsidP="000F0D2D">
      <w:pPr>
        <w:spacing w:after="0" w:line="240" w:lineRule="auto"/>
        <w:ind w:left="1126"/>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w:t>
      </w:r>
    </w:p>
    <w:p w:rsidR="000F0D2D" w:rsidRPr="000F0D2D" w:rsidRDefault="000F0D2D" w:rsidP="000F0D2D">
      <w:pPr>
        <w:numPr>
          <w:ilvl w:val="1"/>
          <w:numId w:val="30"/>
        </w:numPr>
        <w:spacing w:after="0" w:line="240" w:lineRule="auto"/>
        <w:ind w:left="58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Do you believe its monetary union will be beneficial for Europe?</w:t>
      </w:r>
    </w:p>
    <w:p w:rsidR="000F0D2D" w:rsidRPr="000F0D2D" w:rsidRDefault="000F0D2D" w:rsidP="000F0D2D">
      <w:pPr>
        <w:numPr>
          <w:ilvl w:val="2"/>
          <w:numId w:val="30"/>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The main goal of the EMS was to reduce the exchange rate volatility and to narrow the inflation and interest differentials between countries. </w:t>
      </w:r>
    </w:p>
    <w:p w:rsidR="000F0D2D" w:rsidRPr="000F0D2D" w:rsidRDefault="000F0D2D" w:rsidP="000F0D2D">
      <w:pPr>
        <w:numPr>
          <w:ilvl w:val="3"/>
          <w:numId w:val="30"/>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Daily Variability - initially, the day-to-day variability of European exchange rates decreased beginning in 1979, although large currency movements still occurred due to realignments and the currency crises of 1992 and 1993. </w:t>
      </w:r>
    </w:p>
    <w:p w:rsidR="000F0D2D" w:rsidRPr="000F0D2D" w:rsidRDefault="000F0D2D" w:rsidP="000F0D2D">
      <w:pPr>
        <w:numPr>
          <w:ilvl w:val="3"/>
          <w:numId w:val="30"/>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Inflation and Interest Differentials Narrowed - The inflation and interest rate differentials narrowed during the EMS period, although it may not have been entirely due to the EMS' interaction. </w:t>
      </w:r>
    </w:p>
    <w:p w:rsidR="000F0D2D" w:rsidRPr="000F0D2D" w:rsidRDefault="000F0D2D" w:rsidP="000F0D2D">
      <w:pPr>
        <w:numPr>
          <w:ilvl w:val="3"/>
          <w:numId w:val="30"/>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Asymmetric Adjustments - The EMS was initially established as a symmetric system, with the ECU as the centre of the EMS, and adjustment burdens shared across countries. However, the 1990s indicated that the purchasing power of the German Deutsche mark, and the purchasing power of their central bank had weak-currency countries maintaining stable exchange rates with the mark. EMS made it costly to experience inflation, reducing competitiveness if the realignment didn't fully compensate for the inflation. </w:t>
      </w:r>
    </w:p>
    <w:p w:rsidR="000F0D2D" w:rsidRPr="000F0D2D" w:rsidRDefault="000F0D2D" w:rsidP="000F0D2D">
      <w:pPr>
        <w:spacing w:after="0" w:line="240" w:lineRule="auto"/>
        <w:ind w:left="46"/>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w:t>
      </w:r>
    </w:p>
    <w:p w:rsidR="000F0D2D" w:rsidRPr="000F0D2D" w:rsidRDefault="000F0D2D" w:rsidP="000F0D2D">
      <w:pPr>
        <w:numPr>
          <w:ilvl w:val="1"/>
          <w:numId w:val="31"/>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The largest point of argument on the effectiveness of the </w:t>
      </w:r>
      <w:proofErr w:type="gramStart"/>
      <w:r w:rsidRPr="000F0D2D">
        <w:rPr>
          <w:rFonts w:ascii="Calibri" w:eastAsia="Times New Roman" w:hAnsi="Calibri" w:cs="Times New Roman"/>
          <w:color w:val="000000"/>
          <w:lang w:eastAsia="en-AU"/>
        </w:rPr>
        <w:t>Monetary</w:t>
      </w:r>
      <w:proofErr w:type="gramEnd"/>
      <w:r w:rsidRPr="000F0D2D">
        <w:rPr>
          <w:rFonts w:ascii="Calibri" w:eastAsia="Times New Roman" w:hAnsi="Calibri" w:cs="Times New Roman"/>
          <w:color w:val="000000"/>
          <w:lang w:eastAsia="en-AU"/>
        </w:rPr>
        <w:t xml:space="preserve"> union is whether Europe exists as an optimum currency area. This proposition was initially established by Robert </w:t>
      </w:r>
      <w:proofErr w:type="spellStart"/>
      <w:r w:rsidRPr="000F0D2D">
        <w:rPr>
          <w:rFonts w:ascii="Calibri" w:eastAsia="Times New Roman" w:hAnsi="Calibri" w:cs="Times New Roman"/>
          <w:color w:val="000000"/>
          <w:lang w:eastAsia="en-AU"/>
        </w:rPr>
        <w:t>Mudell</w:t>
      </w:r>
      <w:proofErr w:type="spellEnd"/>
      <w:r w:rsidRPr="000F0D2D">
        <w:rPr>
          <w:rFonts w:ascii="Calibri" w:eastAsia="Times New Roman" w:hAnsi="Calibri" w:cs="Times New Roman"/>
          <w:color w:val="000000"/>
          <w:lang w:eastAsia="en-AU"/>
        </w:rPr>
        <w:t xml:space="preserve"> in 1961, defining the area as one which balances the microeconomic benefits of a perfect exchange rate certainty against the cost of macroeconomic adjustment problems. </w:t>
      </w:r>
    </w:p>
    <w:p w:rsidR="000F0D2D" w:rsidRPr="000F0D2D" w:rsidRDefault="000F0D2D" w:rsidP="000F0D2D">
      <w:pPr>
        <w:numPr>
          <w:ilvl w:val="2"/>
          <w:numId w:val="31"/>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Benefits - Sharing currencies will increase price transparency, lower transaction costs, remove exchange rate uncertainty and enhances competition (thereby promoting trade and economic growth). </w:t>
      </w:r>
    </w:p>
    <w:p w:rsidR="000F0D2D" w:rsidRPr="000F0D2D" w:rsidRDefault="000F0D2D" w:rsidP="000F0D2D">
      <w:pPr>
        <w:numPr>
          <w:ilvl w:val="2"/>
          <w:numId w:val="31"/>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Cons - A single currency results in no independent monetary policies for the participating countries, which is particular important to consider in the event there are 'asymmetric economic shocks' (such as a sudden fall in demand for a country's main export product, or sudden increases in the prices of the main inputs for a country's manufacturing sector). Under such a monetary union, the afflicted country has no ability to respond to economic shocks by relaxing its monetary policy.</w:t>
      </w:r>
    </w:p>
    <w:p w:rsidR="000F0D2D" w:rsidRPr="000F0D2D" w:rsidRDefault="000F0D2D" w:rsidP="000F0D2D">
      <w:pPr>
        <w:numPr>
          <w:ilvl w:val="1"/>
          <w:numId w:val="31"/>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Arguably, Europe is not an optimum currency area, as the shocks may be asymmetric, there are cultural, linguistic and legal barriers between the countries, and the EC's budget is too small to transfer huge resources into recessionary areas. </w:t>
      </w:r>
    </w:p>
    <w:p w:rsidR="000F0D2D" w:rsidRPr="000F0D2D" w:rsidRDefault="000F0D2D" w:rsidP="000F0D2D">
      <w:pPr>
        <w:numPr>
          <w:ilvl w:val="2"/>
          <w:numId w:val="31"/>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Adjustments to bad shocks would require a relative price change, which may be more accomplished if countries had separate currencies with exchange rate changes. </w:t>
      </w:r>
    </w:p>
    <w:p w:rsidR="000F0D2D" w:rsidRPr="000F0D2D" w:rsidRDefault="000F0D2D" w:rsidP="000F0D2D">
      <w:pPr>
        <w:spacing w:after="0" w:line="240" w:lineRule="auto"/>
        <w:ind w:left="1126"/>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w:t>
      </w:r>
    </w:p>
    <w:p w:rsidR="000F0D2D" w:rsidRPr="000F0D2D" w:rsidRDefault="000F0D2D" w:rsidP="000F0D2D">
      <w:pPr>
        <w:numPr>
          <w:ilvl w:val="1"/>
          <w:numId w:val="31"/>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The gains are already being realized throughout Europe—for example, car prices</w:t>
      </w:r>
    </w:p>
    <w:p w:rsidR="000F0D2D" w:rsidRPr="000F0D2D" w:rsidRDefault="000F0D2D" w:rsidP="000F0D2D">
      <w:pPr>
        <w:spacing w:after="0" w:line="240" w:lineRule="auto"/>
        <w:ind w:left="1126"/>
        <w:rPr>
          <w:rFonts w:ascii="Calibri" w:eastAsia="Times New Roman" w:hAnsi="Calibri" w:cs="Times New Roman"/>
          <w:color w:val="000000"/>
          <w:lang w:eastAsia="en-AU"/>
        </w:rPr>
      </w:pPr>
      <w:proofErr w:type="gramStart"/>
      <w:r w:rsidRPr="000F0D2D">
        <w:rPr>
          <w:rFonts w:ascii="Calibri" w:eastAsia="Times New Roman" w:hAnsi="Calibri" w:cs="Times New Roman"/>
          <w:color w:val="000000"/>
          <w:lang w:eastAsia="en-AU"/>
        </w:rPr>
        <w:t>have</w:t>
      </w:r>
      <w:proofErr w:type="gramEnd"/>
      <w:r w:rsidRPr="000F0D2D">
        <w:rPr>
          <w:rFonts w:ascii="Calibri" w:eastAsia="Times New Roman" w:hAnsi="Calibri" w:cs="Times New Roman"/>
          <w:color w:val="000000"/>
          <w:lang w:eastAsia="en-AU"/>
        </w:rPr>
        <w:t xml:space="preserve"> decreased and converged across Europe. Academic research documents sizable</w:t>
      </w:r>
    </w:p>
    <w:p w:rsidR="000F0D2D" w:rsidRPr="000F0D2D" w:rsidRDefault="000F0D2D" w:rsidP="000F0D2D">
      <w:pPr>
        <w:spacing w:after="0" w:line="240" w:lineRule="auto"/>
        <w:ind w:left="1126"/>
        <w:rPr>
          <w:rFonts w:ascii="Calibri" w:eastAsia="Times New Roman" w:hAnsi="Calibri" w:cs="Times New Roman"/>
          <w:color w:val="000000"/>
          <w:lang w:eastAsia="en-AU"/>
        </w:rPr>
      </w:pPr>
      <w:proofErr w:type="gramStart"/>
      <w:r w:rsidRPr="000F0D2D">
        <w:rPr>
          <w:rFonts w:ascii="Calibri" w:eastAsia="Times New Roman" w:hAnsi="Calibri" w:cs="Times New Roman"/>
          <w:color w:val="000000"/>
          <w:lang w:eastAsia="en-AU"/>
        </w:rPr>
        <w:t>economic</w:t>
      </w:r>
      <w:proofErr w:type="gramEnd"/>
      <w:r w:rsidRPr="000F0D2D">
        <w:rPr>
          <w:rFonts w:ascii="Calibri" w:eastAsia="Times New Roman" w:hAnsi="Calibri" w:cs="Times New Roman"/>
          <w:color w:val="000000"/>
          <w:lang w:eastAsia="en-AU"/>
        </w:rPr>
        <w:t xml:space="preserve"> benefits following the introduction of the euro in terms of price convergence,</w:t>
      </w:r>
    </w:p>
    <w:p w:rsidR="000F0D2D" w:rsidRPr="000F0D2D" w:rsidRDefault="000F0D2D" w:rsidP="000F0D2D">
      <w:pPr>
        <w:spacing w:after="0" w:line="240" w:lineRule="auto"/>
        <w:ind w:left="1126"/>
        <w:rPr>
          <w:rFonts w:ascii="Calibri" w:eastAsia="Times New Roman" w:hAnsi="Calibri" w:cs="Times New Roman"/>
          <w:color w:val="000000"/>
          <w:lang w:eastAsia="en-AU"/>
        </w:rPr>
      </w:pPr>
      <w:proofErr w:type="gramStart"/>
      <w:r w:rsidRPr="000F0D2D">
        <w:rPr>
          <w:rFonts w:ascii="Calibri" w:eastAsia="Times New Roman" w:hAnsi="Calibri" w:cs="Times New Roman"/>
          <w:color w:val="000000"/>
          <w:lang w:eastAsia="en-AU"/>
        </w:rPr>
        <w:t>lower</w:t>
      </w:r>
      <w:proofErr w:type="gramEnd"/>
      <w:r w:rsidRPr="000F0D2D">
        <w:rPr>
          <w:rFonts w:ascii="Calibri" w:eastAsia="Times New Roman" w:hAnsi="Calibri" w:cs="Times New Roman"/>
          <w:color w:val="000000"/>
          <w:lang w:eastAsia="en-AU"/>
        </w:rPr>
        <w:t xml:space="preserve"> costs of capital, and increased trade. For example, the European Commission has</w:t>
      </w:r>
    </w:p>
    <w:p w:rsidR="000F0D2D" w:rsidRPr="000F0D2D" w:rsidRDefault="000F0D2D" w:rsidP="000F0D2D">
      <w:pPr>
        <w:spacing w:after="0" w:line="240" w:lineRule="auto"/>
        <w:ind w:left="1126"/>
        <w:rPr>
          <w:rFonts w:ascii="Calibri" w:eastAsia="Times New Roman" w:hAnsi="Calibri" w:cs="Times New Roman"/>
          <w:color w:val="000000"/>
          <w:lang w:eastAsia="en-AU"/>
        </w:rPr>
      </w:pPr>
      <w:proofErr w:type="gramStart"/>
      <w:r w:rsidRPr="000F0D2D">
        <w:rPr>
          <w:rFonts w:ascii="Calibri" w:eastAsia="Times New Roman" w:hAnsi="Calibri" w:cs="Times New Roman"/>
          <w:color w:val="000000"/>
          <w:lang w:eastAsia="en-AU"/>
        </w:rPr>
        <w:t>estimated</w:t>
      </w:r>
      <w:proofErr w:type="gramEnd"/>
      <w:r w:rsidRPr="000F0D2D">
        <w:rPr>
          <w:rFonts w:ascii="Calibri" w:eastAsia="Times New Roman" w:hAnsi="Calibri" w:cs="Times New Roman"/>
          <w:color w:val="000000"/>
          <w:lang w:eastAsia="en-AU"/>
        </w:rPr>
        <w:t xml:space="preserve"> the microeconomic gains of monetary union to amount to 0.5% of GDP of the</w:t>
      </w:r>
    </w:p>
    <w:p w:rsidR="000F0D2D" w:rsidRPr="000F0D2D" w:rsidRDefault="000F0D2D" w:rsidP="000F0D2D">
      <w:pPr>
        <w:spacing w:after="0" w:line="240" w:lineRule="auto"/>
        <w:ind w:left="1126"/>
        <w:rPr>
          <w:rFonts w:ascii="Calibri" w:eastAsia="Times New Roman" w:hAnsi="Calibri" w:cs="Times New Roman"/>
          <w:color w:val="000000"/>
          <w:lang w:eastAsia="en-AU"/>
        </w:rPr>
      </w:pPr>
      <w:proofErr w:type="gramStart"/>
      <w:r w:rsidRPr="000F0D2D">
        <w:rPr>
          <w:rFonts w:ascii="Calibri" w:eastAsia="Times New Roman" w:hAnsi="Calibri" w:cs="Times New Roman"/>
          <w:color w:val="000000"/>
          <w:lang w:eastAsia="en-AU"/>
        </w:rPr>
        <w:t>entire</w:t>
      </w:r>
      <w:proofErr w:type="gramEnd"/>
      <w:r w:rsidRPr="000F0D2D">
        <w:rPr>
          <w:rFonts w:ascii="Calibri" w:eastAsia="Times New Roman" w:hAnsi="Calibri" w:cs="Times New Roman"/>
          <w:color w:val="000000"/>
          <w:lang w:eastAsia="en-AU"/>
        </w:rPr>
        <w:t xml:space="preserve"> EU—a substantial sum. On the other hand, the sovereign debt crises in Greece, Ireland,</w:t>
      </w:r>
    </w:p>
    <w:p w:rsidR="000F0D2D" w:rsidRPr="000F0D2D" w:rsidRDefault="000F0D2D" w:rsidP="000F0D2D">
      <w:pPr>
        <w:spacing w:after="0" w:line="240" w:lineRule="auto"/>
        <w:ind w:left="1126"/>
        <w:rPr>
          <w:rFonts w:ascii="Calibri" w:eastAsia="Times New Roman" w:hAnsi="Calibri" w:cs="Times New Roman"/>
          <w:color w:val="000000"/>
          <w:lang w:eastAsia="en-AU"/>
        </w:rPr>
      </w:pPr>
      <w:proofErr w:type="gramStart"/>
      <w:r w:rsidRPr="000F0D2D">
        <w:rPr>
          <w:rFonts w:ascii="Calibri" w:eastAsia="Times New Roman" w:hAnsi="Calibri" w:cs="Times New Roman"/>
          <w:color w:val="000000"/>
          <w:lang w:eastAsia="en-AU"/>
        </w:rPr>
        <w:t>and</w:t>
      </w:r>
      <w:proofErr w:type="gramEnd"/>
      <w:r w:rsidRPr="000F0D2D">
        <w:rPr>
          <w:rFonts w:ascii="Calibri" w:eastAsia="Times New Roman" w:hAnsi="Calibri" w:cs="Times New Roman"/>
          <w:color w:val="000000"/>
          <w:lang w:eastAsia="en-AU"/>
        </w:rPr>
        <w:t xml:space="preserve"> Portugal, and potentially in Spain, and the persistent high unemployment rates in these</w:t>
      </w:r>
    </w:p>
    <w:p w:rsidR="000F0D2D" w:rsidRPr="000F0D2D" w:rsidRDefault="000F0D2D" w:rsidP="000F0D2D">
      <w:pPr>
        <w:spacing w:after="0" w:line="240" w:lineRule="auto"/>
        <w:ind w:left="1126"/>
        <w:rPr>
          <w:rFonts w:ascii="Calibri" w:eastAsia="Times New Roman" w:hAnsi="Calibri" w:cs="Times New Roman"/>
          <w:color w:val="000000"/>
          <w:lang w:eastAsia="en-AU"/>
        </w:rPr>
      </w:pPr>
      <w:proofErr w:type="gramStart"/>
      <w:r w:rsidRPr="000F0D2D">
        <w:rPr>
          <w:rFonts w:ascii="Calibri" w:eastAsia="Times New Roman" w:hAnsi="Calibri" w:cs="Times New Roman"/>
          <w:color w:val="000000"/>
          <w:lang w:eastAsia="en-AU"/>
        </w:rPr>
        <w:t>countries</w:t>
      </w:r>
      <w:proofErr w:type="gramEnd"/>
      <w:r w:rsidRPr="000F0D2D">
        <w:rPr>
          <w:rFonts w:ascii="Calibri" w:eastAsia="Times New Roman" w:hAnsi="Calibri" w:cs="Times New Roman"/>
          <w:color w:val="000000"/>
          <w:lang w:eastAsia="en-AU"/>
        </w:rPr>
        <w:t xml:space="preserve"> while Germany thrives suggest that asymmetric macroeconomic adjustment costs</w:t>
      </w:r>
    </w:p>
    <w:p w:rsidR="000F0D2D" w:rsidRPr="000F0D2D" w:rsidRDefault="000F0D2D" w:rsidP="000F0D2D">
      <w:pPr>
        <w:spacing w:after="0" w:line="240" w:lineRule="auto"/>
        <w:ind w:left="1126"/>
        <w:rPr>
          <w:rFonts w:ascii="Calibri" w:eastAsia="Times New Roman" w:hAnsi="Calibri" w:cs="Times New Roman"/>
          <w:color w:val="000000"/>
          <w:lang w:eastAsia="en-AU"/>
        </w:rPr>
      </w:pPr>
      <w:proofErr w:type="gramStart"/>
      <w:r w:rsidRPr="000F0D2D">
        <w:rPr>
          <w:rFonts w:ascii="Calibri" w:eastAsia="Times New Roman" w:hAnsi="Calibri" w:cs="Times New Roman"/>
          <w:color w:val="000000"/>
          <w:lang w:eastAsia="en-AU"/>
        </w:rPr>
        <w:t>are</w:t>
      </w:r>
      <w:proofErr w:type="gramEnd"/>
      <w:r w:rsidRPr="000F0D2D">
        <w:rPr>
          <w:rFonts w:ascii="Calibri" w:eastAsia="Times New Roman" w:hAnsi="Calibri" w:cs="Times New Roman"/>
          <w:color w:val="000000"/>
          <w:lang w:eastAsia="en-AU"/>
        </w:rPr>
        <w:t xml:space="preserve"> present and are causing strain within Europe.</w:t>
      </w:r>
    </w:p>
    <w:p w:rsidR="000F0D2D" w:rsidRPr="000F0D2D" w:rsidRDefault="000F0D2D" w:rsidP="000F0D2D">
      <w:pPr>
        <w:spacing w:after="0" w:line="240" w:lineRule="auto"/>
        <w:ind w:left="1126"/>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w:t>
      </w:r>
    </w:p>
    <w:p w:rsidR="000F0D2D" w:rsidRPr="00130CF3" w:rsidRDefault="000F0D2D" w:rsidP="00130CF3">
      <w:pPr>
        <w:pStyle w:val="ListParagraph"/>
        <w:numPr>
          <w:ilvl w:val="1"/>
          <w:numId w:val="30"/>
        </w:numPr>
        <w:spacing w:after="0" w:line="240" w:lineRule="auto"/>
        <w:textAlignment w:val="center"/>
        <w:rPr>
          <w:rFonts w:ascii="Calibri" w:eastAsia="Times New Roman" w:hAnsi="Calibri" w:cs="Times New Roman"/>
          <w:color w:val="000000"/>
          <w:lang w:val="en-US" w:eastAsia="en-AU"/>
        </w:rPr>
      </w:pPr>
      <w:r w:rsidRPr="00130CF3">
        <w:rPr>
          <w:rFonts w:ascii="Calibri" w:eastAsia="Times New Roman" w:hAnsi="Calibri" w:cs="Times New Roman"/>
          <w:color w:val="000000"/>
          <w:lang w:val="en-US" w:eastAsia="en-AU"/>
        </w:rPr>
        <w:t>What factors contributed to the Mexican peso crisis of 1995 and to the Asian crises of 1997?</w:t>
      </w:r>
    </w:p>
    <w:p w:rsidR="000F0D2D" w:rsidRPr="000F0D2D" w:rsidRDefault="000F0D2D" w:rsidP="000F0D2D">
      <w:pPr>
        <w:numPr>
          <w:ilvl w:val="2"/>
          <w:numId w:val="33"/>
        </w:numPr>
        <w:spacing w:after="0" w:line="240" w:lineRule="auto"/>
        <w:ind w:left="1126"/>
        <w:textAlignment w:val="center"/>
        <w:rPr>
          <w:rFonts w:ascii="Calibri" w:eastAsia="Times New Roman" w:hAnsi="Calibri" w:cs="Times New Roman"/>
          <w:color w:val="000000"/>
          <w:lang w:val="en-US" w:eastAsia="en-AU"/>
        </w:rPr>
      </w:pPr>
      <w:r w:rsidRPr="000F0D2D">
        <w:rPr>
          <w:rFonts w:ascii="Calibri" w:eastAsia="Times New Roman" w:hAnsi="Calibri" w:cs="Times New Roman"/>
          <w:color w:val="000000"/>
          <w:lang w:val="en-US" w:eastAsia="en-AU"/>
        </w:rPr>
        <w:t>Mexican Peso Crisis of 1995</w:t>
      </w:r>
    </w:p>
    <w:p w:rsidR="000F0D2D" w:rsidRPr="000F0D2D" w:rsidRDefault="000F0D2D" w:rsidP="000F0D2D">
      <w:pPr>
        <w:numPr>
          <w:ilvl w:val="3"/>
          <w:numId w:val="33"/>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In developing countries where inflation is a problem, bands have been allowed to "crawl" over time. When Mexico experienced higher inflation than the US, competitiveness is reduced as the prices of Mexican goods increase relative to the prices of US goods; exports to the US from Mexico is therefore likely to create negative impacts. </w:t>
      </w:r>
    </w:p>
    <w:p w:rsidR="000F0D2D" w:rsidRPr="000F0D2D" w:rsidRDefault="000F0D2D" w:rsidP="000F0D2D">
      <w:pPr>
        <w:numPr>
          <w:ilvl w:val="3"/>
          <w:numId w:val="33"/>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xml:space="preserve">However, in 1995, the changes in the band, did not fully correct for the inflation difference between the US and Mexico, and thus Mexican firms gradually lost competitiveness. Therefore there was a large current account deficit and insufficient capital inflows, with international reserves of its central bank falling. Devaluing the peso caused a "run on the currency" (people withdrawing money from the banks), and Mexico was forced to float the peso. </w:t>
      </w:r>
    </w:p>
    <w:p w:rsidR="000F0D2D" w:rsidRPr="000F0D2D" w:rsidRDefault="000F0D2D" w:rsidP="000F0D2D">
      <w:pPr>
        <w:numPr>
          <w:ilvl w:val="2"/>
          <w:numId w:val="33"/>
        </w:numPr>
        <w:spacing w:after="0" w:line="240" w:lineRule="auto"/>
        <w:ind w:left="112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Asian Crisis of 1997</w:t>
      </w:r>
    </w:p>
    <w:p w:rsidR="000F0D2D" w:rsidRPr="000F0D2D" w:rsidRDefault="000F0D2D" w:rsidP="000F0D2D">
      <w:pPr>
        <w:numPr>
          <w:ilvl w:val="3"/>
          <w:numId w:val="33"/>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i/>
          <w:iCs/>
          <w:color w:val="000000"/>
          <w:lang w:eastAsia="en-AU"/>
        </w:rPr>
        <w:t xml:space="preserve">Can't find anything in the textbook which explains this in detail... </w:t>
      </w:r>
    </w:p>
    <w:p w:rsidR="000F0D2D" w:rsidRPr="000F0D2D" w:rsidRDefault="000F0D2D" w:rsidP="000F0D2D">
      <w:pPr>
        <w:numPr>
          <w:ilvl w:val="3"/>
          <w:numId w:val="33"/>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Contributing factors in each crisis?</w:t>
      </w:r>
    </w:p>
    <w:p w:rsidR="000F0D2D" w:rsidRPr="000F0D2D" w:rsidRDefault="000F0D2D" w:rsidP="000F0D2D">
      <w:pPr>
        <w:numPr>
          <w:ilvl w:val="4"/>
          <w:numId w:val="33"/>
        </w:numPr>
        <w:spacing w:after="0" w:line="240" w:lineRule="auto"/>
        <w:ind w:left="220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A fixed or pegged exchange rate system that overvalued the local currency</w:t>
      </w:r>
    </w:p>
    <w:p w:rsidR="000F0D2D" w:rsidRPr="000F0D2D" w:rsidRDefault="000F0D2D" w:rsidP="000F0D2D">
      <w:pPr>
        <w:numPr>
          <w:ilvl w:val="4"/>
          <w:numId w:val="33"/>
        </w:numPr>
        <w:spacing w:after="0" w:line="240" w:lineRule="auto"/>
        <w:ind w:left="220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A large amount of foreign currency debt</w:t>
      </w:r>
    </w:p>
    <w:p w:rsidR="000F0D2D" w:rsidRPr="000F0D2D" w:rsidRDefault="000F0D2D" w:rsidP="000F0D2D">
      <w:pPr>
        <w:numPr>
          <w:ilvl w:val="3"/>
          <w:numId w:val="33"/>
        </w:numPr>
        <w:spacing w:after="0" w:line="240" w:lineRule="auto"/>
        <w:ind w:left="166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Consequences</w:t>
      </w:r>
    </w:p>
    <w:p w:rsidR="000F0D2D" w:rsidRPr="000F0D2D" w:rsidRDefault="000F0D2D" w:rsidP="000F0D2D">
      <w:pPr>
        <w:numPr>
          <w:ilvl w:val="4"/>
          <w:numId w:val="33"/>
        </w:numPr>
        <w:spacing w:after="0" w:line="240" w:lineRule="auto"/>
        <w:ind w:left="2206"/>
        <w:textAlignment w:val="center"/>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Negative short-term impact on local economy</w:t>
      </w:r>
    </w:p>
    <w:p w:rsidR="000F0D2D" w:rsidRPr="000F0D2D" w:rsidRDefault="000F0D2D" w:rsidP="000F0D2D">
      <w:pPr>
        <w:spacing w:after="0" w:line="240" w:lineRule="auto"/>
        <w:ind w:left="2206"/>
        <w:rPr>
          <w:rFonts w:ascii="Calibri" w:eastAsia="Times New Roman" w:hAnsi="Calibri" w:cs="Times New Roman"/>
          <w:color w:val="000000"/>
          <w:lang w:eastAsia="en-AU"/>
        </w:rPr>
      </w:pPr>
      <w:r w:rsidRPr="000F0D2D">
        <w:rPr>
          <w:rFonts w:ascii="Calibri" w:eastAsia="Times New Roman" w:hAnsi="Calibri" w:cs="Times New Roman"/>
          <w:color w:val="000000"/>
          <w:lang w:eastAsia="en-AU"/>
        </w:rPr>
        <w:t> </w:t>
      </w:r>
    </w:p>
    <w:p w:rsidR="000F0D2D" w:rsidRPr="000F0D2D" w:rsidRDefault="000F0D2D" w:rsidP="000F0D2D">
      <w:pPr>
        <w:spacing w:after="0" w:line="240" w:lineRule="auto"/>
        <w:ind w:left="46"/>
        <w:rPr>
          <w:rFonts w:ascii="Calibri" w:eastAsia="Times New Roman" w:hAnsi="Calibri" w:cs="Times New Roman"/>
          <w:color w:val="000000"/>
          <w:lang w:val="en-US" w:eastAsia="en-AU"/>
        </w:rPr>
      </w:pPr>
      <w:r w:rsidRPr="000F0D2D">
        <w:rPr>
          <w:rFonts w:ascii="Calibri" w:eastAsia="Times New Roman" w:hAnsi="Calibri" w:cs="Times New Roman"/>
          <w:b/>
          <w:bCs/>
          <w:color w:val="000000"/>
          <w:lang w:val="en-US" w:eastAsia="en-AU"/>
        </w:rPr>
        <w:t> </w:t>
      </w:r>
    </w:p>
    <w:p w:rsidR="000F0D2D" w:rsidRPr="000F0D2D" w:rsidRDefault="000F0D2D" w:rsidP="000F0D2D">
      <w:pPr>
        <w:spacing w:after="0" w:line="240" w:lineRule="auto"/>
        <w:ind w:left="46"/>
        <w:rPr>
          <w:rFonts w:ascii="Calibri" w:eastAsia="Times New Roman" w:hAnsi="Calibri" w:cs="Times New Roman"/>
          <w:color w:val="000000"/>
          <w:lang w:val="en-US" w:eastAsia="en-AU"/>
        </w:rPr>
      </w:pPr>
      <w:r w:rsidRPr="000F0D2D">
        <w:rPr>
          <w:rFonts w:ascii="Calibri" w:eastAsia="Times New Roman" w:hAnsi="Calibri" w:cs="Times New Roman"/>
          <w:color w:val="000000"/>
          <w:lang w:val="en-US" w:eastAsia="en-AU"/>
        </w:rPr>
        <w:t> </w:t>
      </w:r>
    </w:p>
    <w:p w:rsidR="000F0D2D" w:rsidRPr="000F0D2D" w:rsidRDefault="000F0D2D" w:rsidP="000F0D2D">
      <w:pPr>
        <w:spacing w:after="0" w:line="240" w:lineRule="auto"/>
        <w:ind w:left="46"/>
        <w:rPr>
          <w:rFonts w:ascii="Calibri" w:eastAsia="Times New Roman" w:hAnsi="Calibri" w:cs="Times New Roman"/>
          <w:color w:val="000000"/>
          <w:lang w:val="en-US" w:eastAsia="en-AU"/>
        </w:rPr>
      </w:pPr>
      <w:r w:rsidRPr="000F0D2D">
        <w:rPr>
          <w:rFonts w:ascii="Calibri" w:eastAsia="Times New Roman" w:hAnsi="Calibri" w:cs="Times New Roman"/>
          <w:b/>
          <w:bCs/>
          <w:color w:val="000000"/>
          <w:lang w:val="en-US" w:eastAsia="en-AU"/>
        </w:rPr>
        <w:t>True or False questions</w:t>
      </w:r>
    </w:p>
    <w:p w:rsidR="000F0D2D" w:rsidRPr="000F0D2D" w:rsidRDefault="000F0D2D" w:rsidP="000F0D2D">
      <w:pPr>
        <w:numPr>
          <w:ilvl w:val="1"/>
          <w:numId w:val="35"/>
        </w:numPr>
        <w:spacing w:after="0" w:line="240" w:lineRule="auto"/>
        <w:ind w:left="586"/>
        <w:textAlignment w:val="center"/>
        <w:rPr>
          <w:rFonts w:ascii="Calibri" w:eastAsia="Times New Roman" w:hAnsi="Calibri" w:cs="Times New Roman"/>
          <w:color w:val="000000"/>
          <w:lang w:val="en-US" w:eastAsia="en-AU"/>
        </w:rPr>
      </w:pPr>
      <w:r w:rsidRPr="000F0D2D">
        <w:rPr>
          <w:rFonts w:ascii="Calibri" w:eastAsia="Times New Roman" w:hAnsi="Calibri" w:cs="Times New Roman"/>
          <w:color w:val="000000"/>
          <w:lang w:val="en-US" w:eastAsia="en-AU"/>
        </w:rPr>
        <w:t>The exchange rate system in which a country allows the value of the currency to be determined by the market forces of supply and demand is known as a pegged exchange rate system.</w:t>
      </w:r>
    </w:p>
    <w:p w:rsidR="000F0D2D" w:rsidRPr="000F0D2D" w:rsidRDefault="000F0D2D" w:rsidP="000F0D2D">
      <w:pPr>
        <w:spacing w:after="0" w:line="240" w:lineRule="auto"/>
        <w:ind w:left="1126"/>
        <w:rPr>
          <w:rFonts w:ascii="Calibri" w:eastAsia="Times New Roman" w:hAnsi="Calibri" w:cs="Times New Roman"/>
          <w:color w:val="000000"/>
          <w:lang w:val="en-US" w:eastAsia="en-AU"/>
        </w:rPr>
      </w:pPr>
      <w:r w:rsidRPr="000F0D2D">
        <w:rPr>
          <w:rFonts w:ascii="Calibri" w:eastAsia="Times New Roman" w:hAnsi="Calibri" w:cs="Times New Roman"/>
          <w:b/>
          <w:bCs/>
          <w:color w:val="000000"/>
          <w:lang w:val="en-US" w:eastAsia="en-AU"/>
        </w:rPr>
        <w:t>False</w:t>
      </w:r>
      <w:r w:rsidRPr="000F0D2D">
        <w:rPr>
          <w:rFonts w:ascii="Calibri" w:eastAsia="Times New Roman" w:hAnsi="Calibri" w:cs="Times New Roman"/>
          <w:color w:val="000000"/>
          <w:lang w:val="en-US" w:eastAsia="en-AU"/>
        </w:rPr>
        <w:t xml:space="preserve">. An exchange rate system which allows currency to be determined entirely by the forces of supply and demand is known as a "floating currency". A Pegged exchange rate system have pegged or fixed values, relative to another currency (or basket of currencies). </w:t>
      </w:r>
    </w:p>
    <w:p w:rsidR="000F0D2D" w:rsidRPr="000F0D2D" w:rsidRDefault="000F0D2D" w:rsidP="000F0D2D">
      <w:pPr>
        <w:numPr>
          <w:ilvl w:val="1"/>
          <w:numId w:val="36"/>
        </w:numPr>
        <w:spacing w:after="0" w:line="240" w:lineRule="auto"/>
        <w:ind w:left="586"/>
        <w:textAlignment w:val="center"/>
        <w:rPr>
          <w:rFonts w:ascii="Calibri" w:eastAsia="Times New Roman" w:hAnsi="Calibri" w:cs="Times New Roman"/>
          <w:color w:val="000000"/>
          <w:lang w:val="en-US" w:eastAsia="en-AU"/>
        </w:rPr>
      </w:pPr>
      <w:r w:rsidRPr="000F0D2D">
        <w:rPr>
          <w:rFonts w:ascii="Calibri" w:eastAsia="Times New Roman" w:hAnsi="Calibri" w:cs="Times New Roman"/>
          <w:color w:val="000000"/>
          <w:lang w:val="en-US" w:eastAsia="en-AU"/>
        </w:rPr>
        <w:t>In the pegged exchange rate system, the currency has limited flexibility and the rate is kept within a fixed band.</w:t>
      </w:r>
    </w:p>
    <w:p w:rsidR="000F0D2D" w:rsidRPr="000F0D2D" w:rsidRDefault="000F0D2D" w:rsidP="000F0D2D">
      <w:pPr>
        <w:spacing w:after="0" w:line="240" w:lineRule="auto"/>
        <w:ind w:left="1126"/>
        <w:rPr>
          <w:rFonts w:ascii="Calibri" w:eastAsia="Times New Roman" w:hAnsi="Calibri" w:cs="Times New Roman"/>
          <w:color w:val="000000"/>
          <w:lang w:val="en-US" w:eastAsia="en-AU"/>
        </w:rPr>
      </w:pPr>
      <w:r w:rsidRPr="000F0D2D">
        <w:rPr>
          <w:rFonts w:ascii="Calibri" w:eastAsia="Times New Roman" w:hAnsi="Calibri" w:cs="Times New Roman"/>
          <w:b/>
          <w:bCs/>
          <w:color w:val="000000"/>
          <w:lang w:val="en-US" w:eastAsia="en-AU"/>
        </w:rPr>
        <w:t>False</w:t>
      </w:r>
      <w:r w:rsidRPr="000F0D2D">
        <w:rPr>
          <w:rFonts w:ascii="Calibri" w:eastAsia="Times New Roman" w:hAnsi="Calibri" w:cs="Times New Roman"/>
          <w:color w:val="000000"/>
          <w:lang w:val="en-US" w:eastAsia="en-AU"/>
        </w:rPr>
        <w:t xml:space="preserve">. A limiting of flexibility in the movement of the currency, keeping the rate within a "fixed band", would be a target zone system, rather than a pegged exchange rate system. </w:t>
      </w:r>
    </w:p>
    <w:p w:rsidR="000F0D2D" w:rsidRPr="000F0D2D" w:rsidRDefault="000F0D2D" w:rsidP="000F0D2D">
      <w:pPr>
        <w:numPr>
          <w:ilvl w:val="1"/>
          <w:numId w:val="37"/>
        </w:numPr>
        <w:spacing w:after="0" w:line="240" w:lineRule="auto"/>
        <w:ind w:left="586"/>
        <w:textAlignment w:val="center"/>
        <w:rPr>
          <w:rFonts w:ascii="Calibri" w:eastAsia="Times New Roman" w:hAnsi="Calibri" w:cs="Times New Roman"/>
          <w:color w:val="000000"/>
          <w:lang w:val="en-US" w:eastAsia="en-AU"/>
        </w:rPr>
      </w:pPr>
      <w:r w:rsidRPr="000F0D2D">
        <w:rPr>
          <w:rFonts w:ascii="Calibri" w:eastAsia="Times New Roman" w:hAnsi="Calibri" w:cs="Times New Roman"/>
          <w:color w:val="000000"/>
          <w:lang w:val="en-US" w:eastAsia="en-AU"/>
        </w:rPr>
        <w:t>Decreases in currency values within a floating rate system are called devaluations.</w:t>
      </w:r>
    </w:p>
    <w:p w:rsidR="000F0D2D" w:rsidRPr="000F0D2D" w:rsidRDefault="000F0D2D" w:rsidP="000F0D2D">
      <w:pPr>
        <w:spacing w:after="0" w:line="240" w:lineRule="auto"/>
        <w:ind w:left="1126"/>
        <w:rPr>
          <w:rFonts w:ascii="Calibri" w:eastAsia="Times New Roman" w:hAnsi="Calibri" w:cs="Times New Roman"/>
          <w:color w:val="000000"/>
          <w:lang w:val="en-US" w:eastAsia="en-AU"/>
        </w:rPr>
      </w:pPr>
      <w:r w:rsidRPr="000F0D2D">
        <w:rPr>
          <w:rFonts w:ascii="Calibri" w:eastAsia="Times New Roman" w:hAnsi="Calibri" w:cs="Times New Roman"/>
          <w:b/>
          <w:bCs/>
          <w:color w:val="000000"/>
          <w:lang w:val="en-US" w:eastAsia="en-AU"/>
        </w:rPr>
        <w:t>True</w:t>
      </w:r>
      <w:r w:rsidRPr="000F0D2D">
        <w:rPr>
          <w:rFonts w:ascii="Calibri" w:eastAsia="Times New Roman" w:hAnsi="Calibri" w:cs="Times New Roman"/>
          <w:color w:val="000000"/>
          <w:lang w:val="en-US" w:eastAsia="en-AU"/>
        </w:rPr>
        <w:t xml:space="preserve">. A decrease, or fall in the currency value is known as a devaluation. An increase, or rise is called a revaluation. </w:t>
      </w:r>
    </w:p>
    <w:p w:rsidR="000F0D2D" w:rsidRPr="000F0D2D" w:rsidRDefault="000F0D2D" w:rsidP="000F0D2D">
      <w:pPr>
        <w:spacing w:after="0" w:line="240" w:lineRule="auto"/>
        <w:ind w:left="1126"/>
        <w:rPr>
          <w:rFonts w:ascii="Calibri" w:eastAsia="Times New Roman" w:hAnsi="Calibri" w:cs="Times New Roman"/>
          <w:color w:val="000000"/>
          <w:lang w:val="en-US" w:eastAsia="en-AU"/>
        </w:rPr>
      </w:pPr>
      <w:r w:rsidRPr="000F0D2D">
        <w:rPr>
          <w:rFonts w:ascii="Calibri" w:eastAsia="Times New Roman" w:hAnsi="Calibri" w:cs="Times New Roman"/>
          <w:color w:val="000000"/>
          <w:lang w:val="en-US" w:eastAsia="en-AU"/>
        </w:rPr>
        <w:t>False - Depreciation</w:t>
      </w:r>
    </w:p>
    <w:p w:rsidR="000F0D2D" w:rsidRPr="000F0D2D" w:rsidRDefault="000F0D2D" w:rsidP="000F0D2D">
      <w:pPr>
        <w:numPr>
          <w:ilvl w:val="1"/>
          <w:numId w:val="38"/>
        </w:numPr>
        <w:spacing w:after="0" w:line="240" w:lineRule="auto"/>
        <w:ind w:left="586"/>
        <w:textAlignment w:val="center"/>
        <w:rPr>
          <w:rFonts w:ascii="Calibri" w:eastAsia="Times New Roman" w:hAnsi="Calibri" w:cs="Times New Roman"/>
          <w:color w:val="000000"/>
          <w:lang w:val="en-US" w:eastAsia="en-AU"/>
        </w:rPr>
      </w:pPr>
      <w:r w:rsidRPr="000F0D2D">
        <w:rPr>
          <w:rFonts w:ascii="Calibri" w:eastAsia="Times New Roman" w:hAnsi="Calibri" w:cs="Times New Roman"/>
          <w:color w:val="000000"/>
          <w:lang w:val="en-US" w:eastAsia="en-AU"/>
        </w:rPr>
        <w:t>IMF loans to troubled economies are unlikely to change the behaviors of investors, because investors can assess the risks of moral hazard for themselves.</w:t>
      </w:r>
    </w:p>
    <w:p w:rsidR="000F0D2D" w:rsidRPr="000F0D2D" w:rsidRDefault="000F0D2D" w:rsidP="000F0D2D">
      <w:pPr>
        <w:numPr>
          <w:ilvl w:val="2"/>
          <w:numId w:val="38"/>
        </w:numPr>
        <w:spacing w:after="0" w:line="240" w:lineRule="auto"/>
        <w:ind w:left="1126"/>
        <w:textAlignment w:val="center"/>
        <w:rPr>
          <w:rFonts w:ascii="Calibri" w:eastAsia="Times New Roman" w:hAnsi="Calibri" w:cs="Times New Roman"/>
          <w:color w:val="000000"/>
          <w:lang w:val="en-US" w:eastAsia="en-AU"/>
        </w:rPr>
      </w:pPr>
      <w:r w:rsidRPr="000F0D2D">
        <w:rPr>
          <w:rFonts w:ascii="Calibri" w:eastAsia="Times New Roman" w:hAnsi="Calibri" w:cs="Times New Roman"/>
          <w:color w:val="000000"/>
          <w:lang w:val="en-US" w:eastAsia="en-AU"/>
        </w:rPr>
        <w:t xml:space="preserve">Moral hazard - risky strategy or risky </w:t>
      </w:r>
      <w:proofErr w:type="spellStart"/>
      <w:r w:rsidRPr="000F0D2D">
        <w:rPr>
          <w:rFonts w:ascii="Calibri" w:eastAsia="Times New Roman" w:hAnsi="Calibri" w:cs="Times New Roman"/>
          <w:color w:val="000000"/>
          <w:lang w:val="en-US" w:eastAsia="en-AU"/>
        </w:rPr>
        <w:t>behaviour</w:t>
      </w:r>
      <w:proofErr w:type="spellEnd"/>
      <w:r w:rsidRPr="000F0D2D">
        <w:rPr>
          <w:rFonts w:ascii="Calibri" w:eastAsia="Times New Roman" w:hAnsi="Calibri" w:cs="Times New Roman"/>
          <w:color w:val="000000"/>
          <w:lang w:val="en-US" w:eastAsia="en-AU"/>
        </w:rPr>
        <w:t xml:space="preserve">. </w:t>
      </w:r>
    </w:p>
    <w:p w:rsidR="000F0D2D" w:rsidRPr="000F0D2D" w:rsidRDefault="000F0D2D" w:rsidP="000F0D2D">
      <w:pPr>
        <w:spacing w:after="0" w:line="240" w:lineRule="auto"/>
        <w:ind w:left="1126"/>
        <w:rPr>
          <w:rFonts w:ascii="Calibri" w:eastAsia="Times New Roman" w:hAnsi="Calibri" w:cs="Times New Roman"/>
          <w:color w:val="000000"/>
          <w:lang w:val="en-US" w:eastAsia="en-AU"/>
        </w:rPr>
      </w:pPr>
      <w:r w:rsidRPr="000F0D2D">
        <w:rPr>
          <w:rFonts w:ascii="Calibri" w:eastAsia="Times New Roman" w:hAnsi="Calibri" w:cs="Times New Roman"/>
          <w:color w:val="000000"/>
          <w:lang w:val="en-US" w:eastAsia="en-AU"/>
        </w:rPr>
        <w:t> </w:t>
      </w:r>
    </w:p>
    <w:p w:rsidR="000F0D2D" w:rsidRPr="000F0D2D" w:rsidRDefault="000F0D2D" w:rsidP="000F0D2D">
      <w:pPr>
        <w:numPr>
          <w:ilvl w:val="1"/>
          <w:numId w:val="39"/>
        </w:numPr>
        <w:spacing w:after="0" w:line="240" w:lineRule="auto"/>
        <w:ind w:left="586"/>
        <w:textAlignment w:val="center"/>
        <w:rPr>
          <w:rFonts w:ascii="Calibri" w:eastAsia="Times New Roman" w:hAnsi="Calibri" w:cs="Times New Roman"/>
          <w:color w:val="000000"/>
          <w:lang w:val="en-US" w:eastAsia="en-AU"/>
        </w:rPr>
      </w:pPr>
      <w:r w:rsidRPr="000F0D2D">
        <w:rPr>
          <w:rFonts w:ascii="Calibri" w:eastAsia="Times New Roman" w:hAnsi="Calibri" w:cs="Times New Roman"/>
          <w:color w:val="000000"/>
          <w:lang w:val="en-US" w:eastAsia="en-AU"/>
        </w:rPr>
        <w:t>Currency in circulation should be included in the asset section of a central bank balance sheet.</w:t>
      </w:r>
    </w:p>
    <w:p w:rsidR="000F0D2D" w:rsidRPr="000F0D2D" w:rsidRDefault="000F0D2D" w:rsidP="000F0D2D">
      <w:pPr>
        <w:spacing w:after="0" w:line="240" w:lineRule="auto"/>
        <w:ind w:left="1126"/>
        <w:rPr>
          <w:rFonts w:ascii="Calibri" w:eastAsia="Times New Roman" w:hAnsi="Calibri" w:cs="Times New Roman"/>
          <w:color w:val="000000"/>
          <w:lang w:val="en-US" w:eastAsia="en-AU"/>
        </w:rPr>
      </w:pPr>
      <w:r w:rsidRPr="000F0D2D">
        <w:rPr>
          <w:rFonts w:ascii="Calibri" w:eastAsia="Times New Roman" w:hAnsi="Calibri" w:cs="Times New Roman"/>
          <w:b/>
          <w:bCs/>
          <w:color w:val="000000"/>
          <w:lang w:val="en-US" w:eastAsia="en-AU"/>
        </w:rPr>
        <w:t>False</w:t>
      </w:r>
      <w:r w:rsidRPr="000F0D2D">
        <w:rPr>
          <w:rFonts w:ascii="Calibri" w:eastAsia="Times New Roman" w:hAnsi="Calibri" w:cs="Times New Roman"/>
          <w:color w:val="000000"/>
          <w:lang w:val="en-US" w:eastAsia="en-AU"/>
        </w:rPr>
        <w:t xml:space="preserve">. Currency in circulation, such as coins and bills used by the public, should be </w:t>
      </w:r>
      <w:proofErr w:type="spellStart"/>
      <w:r w:rsidRPr="000F0D2D">
        <w:rPr>
          <w:rFonts w:ascii="Calibri" w:eastAsia="Times New Roman" w:hAnsi="Calibri" w:cs="Times New Roman"/>
          <w:color w:val="000000"/>
          <w:lang w:val="en-US" w:eastAsia="en-AU"/>
        </w:rPr>
        <w:t>categorised</w:t>
      </w:r>
      <w:proofErr w:type="spellEnd"/>
      <w:r w:rsidRPr="000F0D2D">
        <w:rPr>
          <w:rFonts w:ascii="Calibri" w:eastAsia="Times New Roman" w:hAnsi="Calibri" w:cs="Times New Roman"/>
          <w:color w:val="000000"/>
          <w:lang w:val="en-US" w:eastAsia="en-AU"/>
        </w:rPr>
        <w:t xml:space="preserve"> under the liability section of the Central Bank's balance sheet. </w:t>
      </w:r>
    </w:p>
    <w:p w:rsidR="000F0D2D" w:rsidRPr="000F0D2D" w:rsidRDefault="000F0D2D" w:rsidP="000F0D2D">
      <w:pPr>
        <w:numPr>
          <w:ilvl w:val="1"/>
          <w:numId w:val="40"/>
        </w:numPr>
        <w:spacing w:after="0" w:line="240" w:lineRule="auto"/>
        <w:ind w:left="586"/>
        <w:textAlignment w:val="center"/>
        <w:rPr>
          <w:rFonts w:ascii="Calibri" w:eastAsia="Times New Roman" w:hAnsi="Calibri" w:cs="Times New Roman"/>
          <w:color w:val="000000"/>
          <w:lang w:val="en-US" w:eastAsia="en-AU"/>
        </w:rPr>
      </w:pPr>
      <w:r w:rsidRPr="000F0D2D">
        <w:rPr>
          <w:rFonts w:ascii="Calibri" w:eastAsia="Times New Roman" w:hAnsi="Calibri" w:cs="Times New Roman"/>
          <w:color w:val="000000"/>
          <w:lang w:val="en-US" w:eastAsia="en-AU"/>
        </w:rPr>
        <w:t xml:space="preserve">Official international reserves consist of the major components like gold reserves and foreign exchange reserves. </w:t>
      </w:r>
    </w:p>
    <w:p w:rsidR="000F0D2D" w:rsidRPr="000F0D2D" w:rsidRDefault="000F0D2D" w:rsidP="000F0D2D">
      <w:pPr>
        <w:spacing w:after="0" w:line="240" w:lineRule="auto"/>
        <w:ind w:left="1126"/>
        <w:rPr>
          <w:rFonts w:ascii="Calibri" w:eastAsia="Times New Roman" w:hAnsi="Calibri" w:cs="Times New Roman"/>
          <w:color w:val="000000"/>
          <w:lang w:val="en-US" w:eastAsia="en-AU"/>
        </w:rPr>
      </w:pPr>
      <w:r w:rsidRPr="000F0D2D">
        <w:rPr>
          <w:rFonts w:ascii="Calibri" w:eastAsia="Times New Roman" w:hAnsi="Calibri" w:cs="Times New Roman"/>
          <w:b/>
          <w:bCs/>
          <w:color w:val="000000"/>
          <w:lang w:val="en-US" w:eastAsia="en-AU"/>
        </w:rPr>
        <w:t>True</w:t>
      </w:r>
      <w:r w:rsidRPr="000F0D2D">
        <w:rPr>
          <w:rFonts w:ascii="Calibri" w:eastAsia="Times New Roman" w:hAnsi="Calibri" w:cs="Times New Roman"/>
          <w:color w:val="000000"/>
          <w:lang w:val="en-US" w:eastAsia="en-AU"/>
        </w:rPr>
        <w:t xml:space="preserve">. The three major components of the official international reserves on the central banks' balance sheet consists of foreign exchange reserves, gold reserves and IMF-related reserve assets. </w:t>
      </w:r>
    </w:p>
    <w:p w:rsidR="000F0D2D" w:rsidRPr="000F0D2D" w:rsidRDefault="000F0D2D" w:rsidP="000F0D2D">
      <w:pPr>
        <w:numPr>
          <w:ilvl w:val="1"/>
          <w:numId w:val="41"/>
        </w:numPr>
        <w:spacing w:after="0" w:line="240" w:lineRule="auto"/>
        <w:ind w:left="586"/>
        <w:textAlignment w:val="center"/>
        <w:rPr>
          <w:rFonts w:ascii="Calibri" w:eastAsia="Times New Roman" w:hAnsi="Calibri" w:cs="Times New Roman"/>
          <w:color w:val="000000"/>
          <w:lang w:val="en-US" w:eastAsia="en-AU"/>
        </w:rPr>
      </w:pPr>
      <w:r w:rsidRPr="000F0D2D">
        <w:rPr>
          <w:rFonts w:ascii="Calibri" w:eastAsia="Times New Roman" w:hAnsi="Calibri" w:cs="Times New Roman"/>
          <w:color w:val="000000"/>
          <w:lang w:val="en-US" w:eastAsia="en-AU"/>
        </w:rPr>
        <w:t xml:space="preserve">Capital control means the set of regulations pertaining to flows of capital into and out of a country. </w:t>
      </w:r>
    </w:p>
    <w:p w:rsidR="000F0D2D" w:rsidRPr="000F0D2D" w:rsidRDefault="000F0D2D" w:rsidP="000F0D2D">
      <w:pPr>
        <w:spacing w:after="0" w:line="240" w:lineRule="auto"/>
        <w:ind w:left="1126"/>
        <w:rPr>
          <w:rFonts w:ascii="Calibri" w:eastAsia="Times New Roman" w:hAnsi="Calibri" w:cs="Times New Roman"/>
          <w:color w:val="000000"/>
          <w:lang w:val="en-US" w:eastAsia="en-AU"/>
        </w:rPr>
      </w:pPr>
      <w:r w:rsidRPr="000F0D2D">
        <w:rPr>
          <w:rFonts w:ascii="Calibri" w:eastAsia="Times New Roman" w:hAnsi="Calibri" w:cs="Times New Roman"/>
          <w:b/>
          <w:bCs/>
          <w:color w:val="000000"/>
          <w:lang w:val="en-US" w:eastAsia="en-AU"/>
        </w:rPr>
        <w:t>True</w:t>
      </w:r>
      <w:r w:rsidRPr="000F0D2D">
        <w:rPr>
          <w:rFonts w:ascii="Calibri" w:eastAsia="Times New Roman" w:hAnsi="Calibri" w:cs="Times New Roman"/>
          <w:color w:val="000000"/>
          <w:lang w:val="en-US" w:eastAsia="en-AU"/>
        </w:rPr>
        <w:t xml:space="preserve">. </w:t>
      </w:r>
    </w:p>
    <w:p w:rsidR="000F0D2D" w:rsidRPr="000F0D2D" w:rsidRDefault="000F0D2D" w:rsidP="000F0D2D">
      <w:pPr>
        <w:numPr>
          <w:ilvl w:val="1"/>
          <w:numId w:val="42"/>
        </w:numPr>
        <w:spacing w:after="0" w:line="240" w:lineRule="auto"/>
        <w:ind w:left="586"/>
        <w:textAlignment w:val="center"/>
        <w:rPr>
          <w:rFonts w:ascii="Calibri" w:eastAsia="Times New Roman" w:hAnsi="Calibri" w:cs="Times New Roman"/>
          <w:color w:val="000000"/>
          <w:lang w:val="en-US" w:eastAsia="en-AU"/>
        </w:rPr>
      </w:pPr>
      <w:r w:rsidRPr="000F0D2D">
        <w:rPr>
          <w:rFonts w:ascii="Calibri" w:eastAsia="Times New Roman" w:hAnsi="Calibri" w:cs="Times New Roman"/>
          <w:color w:val="000000"/>
          <w:lang w:val="en-US" w:eastAsia="en-AU"/>
        </w:rPr>
        <w:t xml:space="preserve">If a central bank suddenly prints a large amount of new money, it may result in high inflation. </w:t>
      </w:r>
    </w:p>
    <w:p w:rsidR="000F0D2D" w:rsidRPr="000F0D2D" w:rsidRDefault="000F0D2D" w:rsidP="000F0D2D">
      <w:pPr>
        <w:spacing w:after="0" w:line="240" w:lineRule="auto"/>
        <w:ind w:left="1126"/>
        <w:rPr>
          <w:rFonts w:ascii="Calibri" w:eastAsia="Times New Roman" w:hAnsi="Calibri" w:cs="Times New Roman"/>
          <w:color w:val="000000"/>
          <w:lang w:val="en-US" w:eastAsia="en-AU"/>
        </w:rPr>
      </w:pPr>
      <w:r w:rsidRPr="000F0D2D">
        <w:rPr>
          <w:rFonts w:ascii="Calibri" w:eastAsia="Times New Roman" w:hAnsi="Calibri" w:cs="Times New Roman"/>
          <w:b/>
          <w:bCs/>
          <w:color w:val="000000"/>
          <w:lang w:val="en-US" w:eastAsia="en-AU"/>
        </w:rPr>
        <w:t>True</w:t>
      </w:r>
      <w:r w:rsidRPr="000F0D2D">
        <w:rPr>
          <w:rFonts w:ascii="Calibri" w:eastAsia="Times New Roman" w:hAnsi="Calibri" w:cs="Times New Roman"/>
          <w:color w:val="000000"/>
          <w:lang w:val="en-US" w:eastAsia="en-AU"/>
        </w:rPr>
        <w:t xml:space="preserve">. Increasing the money supply may simply increase the overall level of prices in the economy; increase in the money supply is unlikely to make people consume more or work harder, but will cause prices to rise as more money supports the real transactions. Whilst it may have effects on the economy in the short run, additional money growth is negligible in the long run (money neutrality). </w:t>
      </w:r>
    </w:p>
    <w:p w:rsidR="000F0D2D" w:rsidRPr="000F0D2D" w:rsidRDefault="000F0D2D" w:rsidP="000F0D2D">
      <w:pPr>
        <w:spacing w:after="0" w:line="240" w:lineRule="auto"/>
        <w:ind w:left="1126"/>
        <w:rPr>
          <w:rFonts w:ascii="Calibri" w:eastAsia="Times New Roman" w:hAnsi="Calibri" w:cs="Times New Roman"/>
          <w:color w:val="000000"/>
          <w:lang w:val="en-US" w:eastAsia="en-AU"/>
        </w:rPr>
      </w:pPr>
      <w:r w:rsidRPr="000F0D2D">
        <w:rPr>
          <w:rFonts w:ascii="Calibri" w:eastAsia="Times New Roman" w:hAnsi="Calibri" w:cs="Times New Roman"/>
          <w:color w:val="000000"/>
          <w:lang w:val="en-US" w:eastAsia="en-AU"/>
        </w:rPr>
        <w:t> </w:t>
      </w:r>
    </w:p>
    <w:p w:rsidR="000F0D2D" w:rsidRPr="000F0D2D" w:rsidRDefault="000F0D2D" w:rsidP="000F0D2D">
      <w:pPr>
        <w:spacing w:after="0" w:line="240" w:lineRule="auto"/>
        <w:ind w:left="1126"/>
        <w:rPr>
          <w:rFonts w:ascii="Calibri" w:eastAsia="Times New Roman" w:hAnsi="Calibri" w:cs="Times New Roman"/>
          <w:color w:val="000000"/>
          <w:lang w:val="en-US" w:eastAsia="en-AU"/>
        </w:rPr>
      </w:pPr>
      <w:r w:rsidRPr="000F0D2D">
        <w:rPr>
          <w:rFonts w:ascii="Calibri" w:eastAsia="Times New Roman" w:hAnsi="Calibri" w:cs="Times New Roman"/>
          <w:color w:val="000000"/>
          <w:lang w:val="en-US" w:eastAsia="en-AU"/>
        </w:rPr>
        <w:t> </w:t>
      </w:r>
    </w:p>
    <w:bookmarkEnd w:id="0"/>
    <w:p w:rsidR="00721FC5" w:rsidRPr="000F0D2D" w:rsidRDefault="00721FC5" w:rsidP="000F0D2D"/>
    <w:sectPr w:rsidR="00721FC5" w:rsidRPr="000F0D2D" w:rsidSect="00721F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FC30C5"/>
    <w:multiLevelType w:val="hybridMultilevel"/>
    <w:tmpl w:val="68B6A9C4"/>
    <w:lvl w:ilvl="0" w:tplc="2FCC2B8E">
      <w:start w:val="1"/>
      <w:numFmt w:val="bullet"/>
      <w:lvlText w:val=""/>
      <w:lvlJc w:val="left"/>
      <w:pPr>
        <w:tabs>
          <w:tab w:val="num" w:pos="720"/>
        </w:tabs>
        <w:ind w:left="720" w:hanging="360"/>
      </w:pPr>
      <w:rPr>
        <w:rFonts w:ascii="Symbol" w:hAnsi="Symbol" w:hint="default"/>
        <w:sz w:val="20"/>
      </w:rPr>
    </w:lvl>
    <w:lvl w:ilvl="1" w:tplc="761813AC">
      <w:start w:val="1"/>
      <w:numFmt w:val="bullet"/>
      <w:lvlText w:val="o"/>
      <w:lvlJc w:val="left"/>
      <w:pPr>
        <w:tabs>
          <w:tab w:val="num" w:pos="1440"/>
        </w:tabs>
        <w:ind w:left="1440" w:hanging="360"/>
      </w:pPr>
      <w:rPr>
        <w:rFonts w:ascii="Courier New" w:hAnsi="Courier New" w:hint="default"/>
        <w:sz w:val="20"/>
      </w:rPr>
    </w:lvl>
    <w:lvl w:ilvl="2" w:tplc="30F80B2C">
      <w:start w:val="1"/>
      <w:numFmt w:val="bullet"/>
      <w:lvlText w:val="o"/>
      <w:lvlJc w:val="left"/>
      <w:pPr>
        <w:tabs>
          <w:tab w:val="num" w:pos="2160"/>
        </w:tabs>
        <w:ind w:left="2160" w:hanging="360"/>
      </w:pPr>
      <w:rPr>
        <w:rFonts w:ascii="Courier New" w:hAnsi="Courier New" w:hint="default"/>
        <w:sz w:val="20"/>
      </w:rPr>
    </w:lvl>
    <w:lvl w:ilvl="3" w:tplc="D11CBD80" w:tentative="1">
      <w:start w:val="1"/>
      <w:numFmt w:val="bullet"/>
      <w:lvlText w:val=""/>
      <w:lvlJc w:val="left"/>
      <w:pPr>
        <w:tabs>
          <w:tab w:val="num" w:pos="2880"/>
        </w:tabs>
        <w:ind w:left="2880" w:hanging="360"/>
      </w:pPr>
      <w:rPr>
        <w:rFonts w:ascii="Symbol" w:hAnsi="Symbol" w:hint="default"/>
        <w:sz w:val="20"/>
      </w:rPr>
    </w:lvl>
    <w:lvl w:ilvl="4" w:tplc="5128D874" w:tentative="1">
      <w:start w:val="1"/>
      <w:numFmt w:val="bullet"/>
      <w:lvlText w:val=""/>
      <w:lvlJc w:val="left"/>
      <w:pPr>
        <w:tabs>
          <w:tab w:val="num" w:pos="3600"/>
        </w:tabs>
        <w:ind w:left="3600" w:hanging="360"/>
      </w:pPr>
      <w:rPr>
        <w:rFonts w:ascii="Wingdings" w:hAnsi="Wingdings" w:hint="default"/>
        <w:sz w:val="20"/>
      </w:rPr>
    </w:lvl>
    <w:lvl w:ilvl="5" w:tplc="58FACE88" w:tentative="1">
      <w:start w:val="1"/>
      <w:numFmt w:val="bullet"/>
      <w:lvlText w:val=""/>
      <w:lvlJc w:val="left"/>
      <w:pPr>
        <w:tabs>
          <w:tab w:val="num" w:pos="4320"/>
        </w:tabs>
        <w:ind w:left="4320" w:hanging="360"/>
      </w:pPr>
      <w:rPr>
        <w:rFonts w:ascii="Wingdings" w:hAnsi="Wingdings" w:hint="default"/>
        <w:sz w:val="20"/>
      </w:rPr>
    </w:lvl>
    <w:lvl w:ilvl="6" w:tplc="ECE6E418" w:tentative="1">
      <w:start w:val="1"/>
      <w:numFmt w:val="bullet"/>
      <w:lvlText w:val=""/>
      <w:lvlJc w:val="left"/>
      <w:pPr>
        <w:tabs>
          <w:tab w:val="num" w:pos="5040"/>
        </w:tabs>
        <w:ind w:left="5040" w:hanging="360"/>
      </w:pPr>
      <w:rPr>
        <w:rFonts w:ascii="Wingdings" w:hAnsi="Wingdings" w:hint="default"/>
        <w:sz w:val="20"/>
      </w:rPr>
    </w:lvl>
    <w:lvl w:ilvl="7" w:tplc="E828F010" w:tentative="1">
      <w:start w:val="1"/>
      <w:numFmt w:val="bullet"/>
      <w:lvlText w:val=""/>
      <w:lvlJc w:val="left"/>
      <w:pPr>
        <w:tabs>
          <w:tab w:val="num" w:pos="5760"/>
        </w:tabs>
        <w:ind w:left="5760" w:hanging="360"/>
      </w:pPr>
      <w:rPr>
        <w:rFonts w:ascii="Wingdings" w:hAnsi="Wingdings" w:hint="default"/>
        <w:sz w:val="20"/>
      </w:rPr>
    </w:lvl>
    <w:lvl w:ilvl="8" w:tplc="43708352" w:tentative="1">
      <w:start w:val="1"/>
      <w:numFmt w:val="bullet"/>
      <w:lvlText w:val=""/>
      <w:lvlJc w:val="left"/>
      <w:pPr>
        <w:tabs>
          <w:tab w:val="num" w:pos="6480"/>
        </w:tabs>
        <w:ind w:left="6480" w:hanging="360"/>
      </w:pPr>
      <w:rPr>
        <w:rFonts w:ascii="Wingdings" w:hAnsi="Wingdings" w:hint="default"/>
        <w:sz w:val="20"/>
      </w:rPr>
    </w:lvl>
  </w:abstractNum>
  <w:abstractNum w:abstractNumId="1">
    <w:nsid w:val="175C5341"/>
    <w:multiLevelType w:val="hybridMultilevel"/>
    <w:tmpl w:val="348EAC7E"/>
    <w:lvl w:ilvl="0" w:tplc="FB5A5ED4">
      <w:start w:val="1"/>
      <w:numFmt w:val="bullet"/>
      <w:lvlText w:val=""/>
      <w:lvlJc w:val="left"/>
      <w:pPr>
        <w:tabs>
          <w:tab w:val="num" w:pos="720"/>
        </w:tabs>
        <w:ind w:left="720" w:hanging="360"/>
      </w:pPr>
      <w:rPr>
        <w:rFonts w:ascii="Symbol" w:hAnsi="Symbol" w:hint="default"/>
        <w:sz w:val="20"/>
      </w:rPr>
    </w:lvl>
    <w:lvl w:ilvl="1" w:tplc="8A009F08">
      <w:start w:val="1"/>
      <w:numFmt w:val="decimal"/>
      <w:lvlText w:val="%2."/>
      <w:lvlJc w:val="left"/>
      <w:pPr>
        <w:tabs>
          <w:tab w:val="num" w:pos="1440"/>
        </w:tabs>
        <w:ind w:left="1440" w:hanging="360"/>
      </w:pPr>
    </w:lvl>
    <w:lvl w:ilvl="2" w:tplc="A162C55A" w:tentative="1">
      <w:numFmt w:val="bullet"/>
      <w:lvlText w:val="o"/>
      <w:lvlJc w:val="left"/>
      <w:pPr>
        <w:tabs>
          <w:tab w:val="num" w:pos="2160"/>
        </w:tabs>
        <w:ind w:left="2160" w:hanging="360"/>
      </w:pPr>
      <w:rPr>
        <w:rFonts w:ascii="Courier New" w:hAnsi="Courier New" w:hint="default"/>
        <w:sz w:val="20"/>
      </w:rPr>
    </w:lvl>
    <w:lvl w:ilvl="3" w:tplc="806670D2" w:tentative="1">
      <w:start w:val="1"/>
      <w:numFmt w:val="bullet"/>
      <w:lvlText w:val=""/>
      <w:lvlJc w:val="left"/>
      <w:pPr>
        <w:tabs>
          <w:tab w:val="num" w:pos="2880"/>
        </w:tabs>
        <w:ind w:left="2880" w:hanging="360"/>
      </w:pPr>
      <w:rPr>
        <w:rFonts w:ascii="Symbol" w:hAnsi="Symbol" w:hint="default"/>
        <w:sz w:val="20"/>
      </w:rPr>
    </w:lvl>
    <w:lvl w:ilvl="4" w:tplc="ABE2A568" w:tentative="1">
      <w:start w:val="1"/>
      <w:numFmt w:val="bullet"/>
      <w:lvlText w:val=""/>
      <w:lvlJc w:val="left"/>
      <w:pPr>
        <w:tabs>
          <w:tab w:val="num" w:pos="3600"/>
        </w:tabs>
        <w:ind w:left="3600" w:hanging="360"/>
      </w:pPr>
      <w:rPr>
        <w:rFonts w:ascii="Symbol" w:hAnsi="Symbol" w:hint="default"/>
        <w:sz w:val="20"/>
      </w:rPr>
    </w:lvl>
    <w:lvl w:ilvl="5" w:tplc="14D0EB7E" w:tentative="1">
      <w:start w:val="1"/>
      <w:numFmt w:val="bullet"/>
      <w:lvlText w:val=""/>
      <w:lvlJc w:val="left"/>
      <w:pPr>
        <w:tabs>
          <w:tab w:val="num" w:pos="4320"/>
        </w:tabs>
        <w:ind w:left="4320" w:hanging="360"/>
      </w:pPr>
      <w:rPr>
        <w:rFonts w:ascii="Wingdings" w:hAnsi="Wingdings" w:hint="default"/>
        <w:sz w:val="20"/>
      </w:rPr>
    </w:lvl>
    <w:lvl w:ilvl="6" w:tplc="C0E0044A" w:tentative="1">
      <w:start w:val="1"/>
      <w:numFmt w:val="bullet"/>
      <w:lvlText w:val=""/>
      <w:lvlJc w:val="left"/>
      <w:pPr>
        <w:tabs>
          <w:tab w:val="num" w:pos="5040"/>
        </w:tabs>
        <w:ind w:left="5040" w:hanging="360"/>
      </w:pPr>
      <w:rPr>
        <w:rFonts w:ascii="Wingdings" w:hAnsi="Wingdings" w:hint="default"/>
        <w:sz w:val="20"/>
      </w:rPr>
    </w:lvl>
    <w:lvl w:ilvl="7" w:tplc="082856FC" w:tentative="1">
      <w:start w:val="1"/>
      <w:numFmt w:val="bullet"/>
      <w:lvlText w:val=""/>
      <w:lvlJc w:val="left"/>
      <w:pPr>
        <w:tabs>
          <w:tab w:val="num" w:pos="5760"/>
        </w:tabs>
        <w:ind w:left="5760" w:hanging="360"/>
      </w:pPr>
      <w:rPr>
        <w:rFonts w:ascii="Wingdings" w:hAnsi="Wingdings" w:hint="default"/>
        <w:sz w:val="20"/>
      </w:rPr>
    </w:lvl>
    <w:lvl w:ilvl="8" w:tplc="531A7292" w:tentative="1">
      <w:start w:val="1"/>
      <w:numFmt w:val="bullet"/>
      <w:lvlText w:val=""/>
      <w:lvlJc w:val="left"/>
      <w:pPr>
        <w:tabs>
          <w:tab w:val="num" w:pos="6480"/>
        </w:tabs>
        <w:ind w:left="6480" w:hanging="360"/>
      </w:pPr>
      <w:rPr>
        <w:rFonts w:ascii="Wingdings" w:hAnsi="Wingdings" w:hint="default"/>
        <w:sz w:val="20"/>
      </w:rPr>
    </w:lvl>
  </w:abstractNum>
  <w:abstractNum w:abstractNumId="2">
    <w:nsid w:val="1C435F41"/>
    <w:multiLevelType w:val="hybridMultilevel"/>
    <w:tmpl w:val="3A46D78A"/>
    <w:lvl w:ilvl="0" w:tplc="4FCCDB96">
      <w:start w:val="1"/>
      <w:numFmt w:val="bullet"/>
      <w:lvlText w:val=""/>
      <w:lvlJc w:val="left"/>
      <w:pPr>
        <w:tabs>
          <w:tab w:val="num" w:pos="720"/>
        </w:tabs>
        <w:ind w:left="720" w:hanging="360"/>
      </w:pPr>
      <w:rPr>
        <w:rFonts w:ascii="Symbol" w:hAnsi="Symbol" w:hint="default"/>
        <w:sz w:val="20"/>
      </w:rPr>
    </w:lvl>
    <w:lvl w:ilvl="1" w:tplc="8AE05FB4">
      <w:start w:val="1"/>
      <w:numFmt w:val="bullet"/>
      <w:lvlText w:val="o"/>
      <w:lvlJc w:val="left"/>
      <w:pPr>
        <w:tabs>
          <w:tab w:val="num" w:pos="1440"/>
        </w:tabs>
        <w:ind w:left="1440" w:hanging="360"/>
      </w:pPr>
      <w:rPr>
        <w:rFonts w:ascii="Courier New" w:hAnsi="Courier New" w:hint="default"/>
        <w:sz w:val="20"/>
      </w:rPr>
    </w:lvl>
    <w:lvl w:ilvl="2" w:tplc="D040CD10">
      <w:start w:val="1"/>
      <w:numFmt w:val="bullet"/>
      <w:lvlText w:val=""/>
      <w:lvlJc w:val="left"/>
      <w:pPr>
        <w:tabs>
          <w:tab w:val="num" w:pos="2160"/>
        </w:tabs>
        <w:ind w:left="2160" w:hanging="360"/>
      </w:pPr>
      <w:rPr>
        <w:rFonts w:ascii="Symbol" w:hAnsi="Symbol" w:hint="default"/>
        <w:sz w:val="20"/>
      </w:rPr>
    </w:lvl>
    <w:lvl w:ilvl="3" w:tplc="80FA73DE">
      <w:start w:val="1"/>
      <w:numFmt w:val="bullet"/>
      <w:lvlText w:val=""/>
      <w:lvlJc w:val="left"/>
      <w:pPr>
        <w:tabs>
          <w:tab w:val="num" w:pos="2880"/>
        </w:tabs>
        <w:ind w:left="2880" w:hanging="360"/>
      </w:pPr>
      <w:rPr>
        <w:rFonts w:ascii="Symbol" w:hAnsi="Symbol" w:hint="default"/>
        <w:sz w:val="20"/>
      </w:rPr>
    </w:lvl>
    <w:lvl w:ilvl="4" w:tplc="AF0A8D12">
      <w:start w:val="1"/>
      <w:numFmt w:val="bullet"/>
      <w:lvlText w:val=""/>
      <w:lvlJc w:val="left"/>
      <w:pPr>
        <w:tabs>
          <w:tab w:val="num" w:pos="3600"/>
        </w:tabs>
        <w:ind w:left="3600" w:hanging="360"/>
      </w:pPr>
      <w:rPr>
        <w:rFonts w:ascii="Symbol" w:hAnsi="Symbol" w:hint="default"/>
        <w:sz w:val="20"/>
      </w:rPr>
    </w:lvl>
    <w:lvl w:ilvl="5" w:tplc="81B0E00E" w:tentative="1">
      <w:start w:val="1"/>
      <w:numFmt w:val="bullet"/>
      <w:lvlText w:val=""/>
      <w:lvlJc w:val="left"/>
      <w:pPr>
        <w:tabs>
          <w:tab w:val="num" w:pos="4320"/>
        </w:tabs>
        <w:ind w:left="4320" w:hanging="360"/>
      </w:pPr>
      <w:rPr>
        <w:rFonts w:ascii="Wingdings" w:hAnsi="Wingdings" w:hint="default"/>
        <w:sz w:val="20"/>
      </w:rPr>
    </w:lvl>
    <w:lvl w:ilvl="6" w:tplc="2DB24D48" w:tentative="1">
      <w:start w:val="1"/>
      <w:numFmt w:val="bullet"/>
      <w:lvlText w:val=""/>
      <w:lvlJc w:val="left"/>
      <w:pPr>
        <w:tabs>
          <w:tab w:val="num" w:pos="5040"/>
        </w:tabs>
        <w:ind w:left="5040" w:hanging="360"/>
      </w:pPr>
      <w:rPr>
        <w:rFonts w:ascii="Wingdings" w:hAnsi="Wingdings" w:hint="default"/>
        <w:sz w:val="20"/>
      </w:rPr>
    </w:lvl>
    <w:lvl w:ilvl="7" w:tplc="36CCB686" w:tentative="1">
      <w:start w:val="1"/>
      <w:numFmt w:val="bullet"/>
      <w:lvlText w:val=""/>
      <w:lvlJc w:val="left"/>
      <w:pPr>
        <w:tabs>
          <w:tab w:val="num" w:pos="5760"/>
        </w:tabs>
        <w:ind w:left="5760" w:hanging="360"/>
      </w:pPr>
      <w:rPr>
        <w:rFonts w:ascii="Wingdings" w:hAnsi="Wingdings" w:hint="default"/>
        <w:sz w:val="20"/>
      </w:rPr>
    </w:lvl>
    <w:lvl w:ilvl="8" w:tplc="C9E6219C" w:tentative="1">
      <w:start w:val="1"/>
      <w:numFmt w:val="bullet"/>
      <w:lvlText w:val=""/>
      <w:lvlJc w:val="left"/>
      <w:pPr>
        <w:tabs>
          <w:tab w:val="num" w:pos="6480"/>
        </w:tabs>
        <w:ind w:left="6480" w:hanging="360"/>
      </w:pPr>
      <w:rPr>
        <w:rFonts w:ascii="Wingdings" w:hAnsi="Wingdings" w:hint="default"/>
        <w:sz w:val="20"/>
      </w:rPr>
    </w:lvl>
  </w:abstractNum>
  <w:abstractNum w:abstractNumId="3">
    <w:nsid w:val="1F1051F5"/>
    <w:multiLevelType w:val="hybridMultilevel"/>
    <w:tmpl w:val="D2B0320E"/>
    <w:lvl w:ilvl="0" w:tplc="A0E4B83A">
      <w:start w:val="1"/>
      <w:numFmt w:val="bullet"/>
      <w:lvlText w:val=""/>
      <w:lvlJc w:val="left"/>
      <w:pPr>
        <w:tabs>
          <w:tab w:val="num" w:pos="720"/>
        </w:tabs>
        <w:ind w:left="720" w:hanging="360"/>
      </w:pPr>
      <w:rPr>
        <w:rFonts w:ascii="Symbol" w:hAnsi="Symbol" w:hint="default"/>
        <w:sz w:val="20"/>
      </w:rPr>
    </w:lvl>
    <w:lvl w:ilvl="1" w:tplc="0ACA48FA">
      <w:start w:val="1"/>
      <w:numFmt w:val="decimal"/>
      <w:lvlText w:val="%2."/>
      <w:lvlJc w:val="left"/>
      <w:pPr>
        <w:tabs>
          <w:tab w:val="num" w:pos="1440"/>
        </w:tabs>
        <w:ind w:left="1440" w:hanging="360"/>
      </w:pPr>
    </w:lvl>
    <w:lvl w:ilvl="2" w:tplc="0302E37C">
      <w:start w:val="1"/>
      <w:numFmt w:val="bullet"/>
      <w:lvlText w:val="o"/>
      <w:lvlJc w:val="left"/>
      <w:pPr>
        <w:tabs>
          <w:tab w:val="num" w:pos="2160"/>
        </w:tabs>
        <w:ind w:left="2160" w:hanging="360"/>
      </w:pPr>
      <w:rPr>
        <w:rFonts w:ascii="Courier New" w:hAnsi="Courier New" w:hint="default"/>
        <w:sz w:val="20"/>
      </w:rPr>
    </w:lvl>
    <w:lvl w:ilvl="3" w:tplc="89D65EA6">
      <w:start w:val="1"/>
      <w:numFmt w:val="bullet"/>
      <w:lvlText w:val=""/>
      <w:lvlJc w:val="left"/>
      <w:pPr>
        <w:tabs>
          <w:tab w:val="num" w:pos="2880"/>
        </w:tabs>
        <w:ind w:left="2880" w:hanging="360"/>
      </w:pPr>
      <w:rPr>
        <w:rFonts w:ascii="Symbol" w:hAnsi="Symbol" w:hint="default"/>
        <w:sz w:val="20"/>
      </w:rPr>
    </w:lvl>
    <w:lvl w:ilvl="4" w:tplc="5FAA8CD2" w:tentative="1">
      <w:start w:val="1"/>
      <w:numFmt w:val="bullet"/>
      <w:lvlText w:val=""/>
      <w:lvlJc w:val="left"/>
      <w:pPr>
        <w:tabs>
          <w:tab w:val="num" w:pos="3600"/>
        </w:tabs>
        <w:ind w:left="3600" w:hanging="360"/>
      </w:pPr>
      <w:rPr>
        <w:rFonts w:ascii="Wingdings" w:hAnsi="Wingdings" w:hint="default"/>
        <w:sz w:val="20"/>
      </w:rPr>
    </w:lvl>
    <w:lvl w:ilvl="5" w:tplc="DABA920C" w:tentative="1">
      <w:start w:val="1"/>
      <w:numFmt w:val="bullet"/>
      <w:lvlText w:val=""/>
      <w:lvlJc w:val="left"/>
      <w:pPr>
        <w:tabs>
          <w:tab w:val="num" w:pos="4320"/>
        </w:tabs>
        <w:ind w:left="4320" w:hanging="360"/>
      </w:pPr>
      <w:rPr>
        <w:rFonts w:ascii="Wingdings" w:hAnsi="Wingdings" w:hint="default"/>
        <w:sz w:val="20"/>
      </w:rPr>
    </w:lvl>
    <w:lvl w:ilvl="6" w:tplc="650E44D4" w:tentative="1">
      <w:start w:val="1"/>
      <w:numFmt w:val="bullet"/>
      <w:lvlText w:val=""/>
      <w:lvlJc w:val="left"/>
      <w:pPr>
        <w:tabs>
          <w:tab w:val="num" w:pos="5040"/>
        </w:tabs>
        <w:ind w:left="5040" w:hanging="360"/>
      </w:pPr>
      <w:rPr>
        <w:rFonts w:ascii="Wingdings" w:hAnsi="Wingdings" w:hint="default"/>
        <w:sz w:val="20"/>
      </w:rPr>
    </w:lvl>
    <w:lvl w:ilvl="7" w:tplc="D7EAACEC" w:tentative="1">
      <w:start w:val="1"/>
      <w:numFmt w:val="bullet"/>
      <w:lvlText w:val=""/>
      <w:lvlJc w:val="left"/>
      <w:pPr>
        <w:tabs>
          <w:tab w:val="num" w:pos="5760"/>
        </w:tabs>
        <w:ind w:left="5760" w:hanging="360"/>
      </w:pPr>
      <w:rPr>
        <w:rFonts w:ascii="Wingdings" w:hAnsi="Wingdings" w:hint="default"/>
        <w:sz w:val="20"/>
      </w:rPr>
    </w:lvl>
    <w:lvl w:ilvl="8" w:tplc="4BDA5A62" w:tentative="1">
      <w:start w:val="1"/>
      <w:numFmt w:val="bullet"/>
      <w:lvlText w:val=""/>
      <w:lvlJc w:val="left"/>
      <w:pPr>
        <w:tabs>
          <w:tab w:val="num" w:pos="6480"/>
        </w:tabs>
        <w:ind w:left="6480" w:hanging="360"/>
      </w:pPr>
      <w:rPr>
        <w:rFonts w:ascii="Wingdings" w:hAnsi="Wingdings" w:hint="default"/>
        <w:sz w:val="20"/>
      </w:rPr>
    </w:lvl>
  </w:abstractNum>
  <w:abstractNum w:abstractNumId="4">
    <w:nsid w:val="31EE2F71"/>
    <w:multiLevelType w:val="hybridMultilevel"/>
    <w:tmpl w:val="6A1C1F1E"/>
    <w:lvl w:ilvl="0" w:tplc="27A08434">
      <w:start w:val="1"/>
      <w:numFmt w:val="bullet"/>
      <w:lvlText w:val=""/>
      <w:lvlJc w:val="left"/>
      <w:pPr>
        <w:tabs>
          <w:tab w:val="num" w:pos="720"/>
        </w:tabs>
        <w:ind w:left="720" w:hanging="360"/>
      </w:pPr>
      <w:rPr>
        <w:rFonts w:ascii="Symbol" w:hAnsi="Symbol" w:hint="default"/>
        <w:sz w:val="20"/>
      </w:rPr>
    </w:lvl>
    <w:lvl w:ilvl="1" w:tplc="3056C748">
      <w:start w:val="1"/>
      <w:numFmt w:val="bullet"/>
      <w:lvlText w:val=""/>
      <w:lvlJc w:val="left"/>
      <w:pPr>
        <w:tabs>
          <w:tab w:val="num" w:pos="1440"/>
        </w:tabs>
        <w:ind w:left="1440" w:hanging="360"/>
      </w:pPr>
      <w:rPr>
        <w:rFonts w:ascii="Symbol" w:hAnsi="Symbol" w:hint="default"/>
        <w:sz w:val="20"/>
      </w:rPr>
    </w:lvl>
    <w:lvl w:ilvl="2" w:tplc="9C806E24">
      <w:numFmt w:val="bullet"/>
      <w:lvlText w:val="o"/>
      <w:lvlJc w:val="left"/>
      <w:pPr>
        <w:tabs>
          <w:tab w:val="num" w:pos="2160"/>
        </w:tabs>
        <w:ind w:left="2160" w:hanging="360"/>
      </w:pPr>
      <w:rPr>
        <w:rFonts w:ascii="Courier New" w:hAnsi="Courier New" w:hint="default"/>
        <w:sz w:val="20"/>
      </w:rPr>
    </w:lvl>
    <w:lvl w:ilvl="3" w:tplc="E81E584E" w:tentative="1">
      <w:start w:val="1"/>
      <w:numFmt w:val="bullet"/>
      <w:lvlText w:val=""/>
      <w:lvlJc w:val="left"/>
      <w:pPr>
        <w:tabs>
          <w:tab w:val="num" w:pos="2880"/>
        </w:tabs>
        <w:ind w:left="2880" w:hanging="360"/>
      </w:pPr>
      <w:rPr>
        <w:rFonts w:ascii="Symbol" w:hAnsi="Symbol" w:hint="default"/>
        <w:sz w:val="20"/>
      </w:rPr>
    </w:lvl>
    <w:lvl w:ilvl="4" w:tplc="12D6ECE0" w:tentative="1">
      <w:start w:val="1"/>
      <w:numFmt w:val="bullet"/>
      <w:lvlText w:val=""/>
      <w:lvlJc w:val="left"/>
      <w:pPr>
        <w:tabs>
          <w:tab w:val="num" w:pos="3600"/>
        </w:tabs>
        <w:ind w:left="3600" w:hanging="360"/>
      </w:pPr>
      <w:rPr>
        <w:rFonts w:ascii="Symbol" w:hAnsi="Symbol" w:hint="default"/>
        <w:sz w:val="20"/>
      </w:rPr>
    </w:lvl>
    <w:lvl w:ilvl="5" w:tplc="E3AE3D58" w:tentative="1">
      <w:start w:val="1"/>
      <w:numFmt w:val="bullet"/>
      <w:lvlText w:val=""/>
      <w:lvlJc w:val="left"/>
      <w:pPr>
        <w:tabs>
          <w:tab w:val="num" w:pos="4320"/>
        </w:tabs>
        <w:ind w:left="4320" w:hanging="360"/>
      </w:pPr>
      <w:rPr>
        <w:rFonts w:ascii="Wingdings" w:hAnsi="Wingdings" w:hint="default"/>
        <w:sz w:val="20"/>
      </w:rPr>
    </w:lvl>
    <w:lvl w:ilvl="6" w:tplc="E6D64D80" w:tentative="1">
      <w:start w:val="1"/>
      <w:numFmt w:val="bullet"/>
      <w:lvlText w:val=""/>
      <w:lvlJc w:val="left"/>
      <w:pPr>
        <w:tabs>
          <w:tab w:val="num" w:pos="5040"/>
        </w:tabs>
        <w:ind w:left="5040" w:hanging="360"/>
      </w:pPr>
      <w:rPr>
        <w:rFonts w:ascii="Wingdings" w:hAnsi="Wingdings" w:hint="default"/>
        <w:sz w:val="20"/>
      </w:rPr>
    </w:lvl>
    <w:lvl w:ilvl="7" w:tplc="77AA159C" w:tentative="1">
      <w:start w:val="1"/>
      <w:numFmt w:val="bullet"/>
      <w:lvlText w:val=""/>
      <w:lvlJc w:val="left"/>
      <w:pPr>
        <w:tabs>
          <w:tab w:val="num" w:pos="5760"/>
        </w:tabs>
        <w:ind w:left="5760" w:hanging="360"/>
      </w:pPr>
      <w:rPr>
        <w:rFonts w:ascii="Wingdings" w:hAnsi="Wingdings" w:hint="default"/>
        <w:sz w:val="20"/>
      </w:rPr>
    </w:lvl>
    <w:lvl w:ilvl="8" w:tplc="6FD4B42E" w:tentative="1">
      <w:start w:val="1"/>
      <w:numFmt w:val="bullet"/>
      <w:lvlText w:val=""/>
      <w:lvlJc w:val="left"/>
      <w:pPr>
        <w:tabs>
          <w:tab w:val="num" w:pos="6480"/>
        </w:tabs>
        <w:ind w:left="6480" w:hanging="360"/>
      </w:pPr>
      <w:rPr>
        <w:rFonts w:ascii="Wingdings" w:hAnsi="Wingdings" w:hint="default"/>
        <w:sz w:val="20"/>
      </w:rPr>
    </w:lvl>
  </w:abstractNum>
  <w:abstractNum w:abstractNumId="5">
    <w:nsid w:val="3EB578A4"/>
    <w:multiLevelType w:val="hybridMultilevel"/>
    <w:tmpl w:val="12AEE54A"/>
    <w:lvl w:ilvl="0" w:tplc="E0A246B2">
      <w:start w:val="1"/>
      <w:numFmt w:val="bullet"/>
      <w:lvlText w:val=""/>
      <w:lvlJc w:val="left"/>
      <w:pPr>
        <w:tabs>
          <w:tab w:val="num" w:pos="720"/>
        </w:tabs>
        <w:ind w:left="720" w:hanging="360"/>
      </w:pPr>
      <w:rPr>
        <w:rFonts w:ascii="Symbol" w:hAnsi="Symbol" w:hint="default"/>
        <w:sz w:val="20"/>
      </w:rPr>
    </w:lvl>
    <w:lvl w:ilvl="1" w:tplc="AE1CF7C4">
      <w:start w:val="1"/>
      <w:numFmt w:val="decimal"/>
      <w:lvlText w:val="%2."/>
      <w:lvlJc w:val="left"/>
      <w:pPr>
        <w:tabs>
          <w:tab w:val="num" w:pos="1440"/>
        </w:tabs>
        <w:ind w:left="1440" w:hanging="360"/>
      </w:pPr>
    </w:lvl>
    <w:lvl w:ilvl="2" w:tplc="E2A43D66">
      <w:start w:val="1"/>
      <w:numFmt w:val="bullet"/>
      <w:lvlText w:val="o"/>
      <w:lvlJc w:val="left"/>
      <w:pPr>
        <w:tabs>
          <w:tab w:val="num" w:pos="2160"/>
        </w:tabs>
        <w:ind w:left="2160" w:hanging="360"/>
      </w:pPr>
      <w:rPr>
        <w:rFonts w:ascii="Courier New" w:hAnsi="Courier New" w:hint="default"/>
        <w:sz w:val="20"/>
      </w:rPr>
    </w:lvl>
    <w:lvl w:ilvl="3" w:tplc="064041A4">
      <w:start w:val="1"/>
      <w:numFmt w:val="bullet"/>
      <w:lvlText w:val=""/>
      <w:lvlJc w:val="left"/>
      <w:pPr>
        <w:tabs>
          <w:tab w:val="num" w:pos="2880"/>
        </w:tabs>
        <w:ind w:left="2880" w:hanging="360"/>
      </w:pPr>
      <w:rPr>
        <w:rFonts w:ascii="Symbol" w:hAnsi="Symbol" w:hint="default"/>
        <w:sz w:val="20"/>
      </w:rPr>
    </w:lvl>
    <w:lvl w:ilvl="4" w:tplc="84E83D3E" w:tentative="1">
      <w:start w:val="1"/>
      <w:numFmt w:val="bullet"/>
      <w:lvlText w:val=""/>
      <w:lvlJc w:val="left"/>
      <w:pPr>
        <w:tabs>
          <w:tab w:val="num" w:pos="3600"/>
        </w:tabs>
        <w:ind w:left="3600" w:hanging="360"/>
      </w:pPr>
      <w:rPr>
        <w:rFonts w:ascii="Wingdings" w:hAnsi="Wingdings" w:hint="default"/>
        <w:sz w:val="20"/>
      </w:rPr>
    </w:lvl>
    <w:lvl w:ilvl="5" w:tplc="FA624594" w:tentative="1">
      <w:start w:val="1"/>
      <w:numFmt w:val="bullet"/>
      <w:lvlText w:val=""/>
      <w:lvlJc w:val="left"/>
      <w:pPr>
        <w:tabs>
          <w:tab w:val="num" w:pos="4320"/>
        </w:tabs>
        <w:ind w:left="4320" w:hanging="360"/>
      </w:pPr>
      <w:rPr>
        <w:rFonts w:ascii="Wingdings" w:hAnsi="Wingdings" w:hint="default"/>
        <w:sz w:val="20"/>
      </w:rPr>
    </w:lvl>
    <w:lvl w:ilvl="6" w:tplc="A93C013E" w:tentative="1">
      <w:start w:val="1"/>
      <w:numFmt w:val="bullet"/>
      <w:lvlText w:val=""/>
      <w:lvlJc w:val="left"/>
      <w:pPr>
        <w:tabs>
          <w:tab w:val="num" w:pos="5040"/>
        </w:tabs>
        <w:ind w:left="5040" w:hanging="360"/>
      </w:pPr>
      <w:rPr>
        <w:rFonts w:ascii="Wingdings" w:hAnsi="Wingdings" w:hint="default"/>
        <w:sz w:val="20"/>
      </w:rPr>
    </w:lvl>
    <w:lvl w:ilvl="7" w:tplc="FDC2ADF8" w:tentative="1">
      <w:start w:val="1"/>
      <w:numFmt w:val="bullet"/>
      <w:lvlText w:val=""/>
      <w:lvlJc w:val="left"/>
      <w:pPr>
        <w:tabs>
          <w:tab w:val="num" w:pos="5760"/>
        </w:tabs>
        <w:ind w:left="5760" w:hanging="360"/>
      </w:pPr>
      <w:rPr>
        <w:rFonts w:ascii="Wingdings" w:hAnsi="Wingdings" w:hint="default"/>
        <w:sz w:val="20"/>
      </w:rPr>
    </w:lvl>
    <w:lvl w:ilvl="8" w:tplc="896C9818" w:tentative="1">
      <w:start w:val="1"/>
      <w:numFmt w:val="bullet"/>
      <w:lvlText w:val=""/>
      <w:lvlJc w:val="left"/>
      <w:pPr>
        <w:tabs>
          <w:tab w:val="num" w:pos="6480"/>
        </w:tabs>
        <w:ind w:left="6480" w:hanging="360"/>
      </w:pPr>
      <w:rPr>
        <w:rFonts w:ascii="Wingdings" w:hAnsi="Wingdings" w:hint="default"/>
        <w:sz w:val="20"/>
      </w:rPr>
    </w:lvl>
  </w:abstractNum>
  <w:abstractNum w:abstractNumId="6">
    <w:nsid w:val="446E6FA4"/>
    <w:multiLevelType w:val="multilevel"/>
    <w:tmpl w:val="8DB261D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F6A4E6C"/>
    <w:multiLevelType w:val="hybridMultilevel"/>
    <w:tmpl w:val="BC244EA8"/>
    <w:lvl w:ilvl="0" w:tplc="E68E6E1E">
      <w:start w:val="1"/>
      <w:numFmt w:val="bullet"/>
      <w:lvlText w:val=""/>
      <w:lvlJc w:val="left"/>
      <w:pPr>
        <w:tabs>
          <w:tab w:val="num" w:pos="720"/>
        </w:tabs>
        <w:ind w:left="720" w:hanging="360"/>
      </w:pPr>
      <w:rPr>
        <w:rFonts w:ascii="Symbol" w:hAnsi="Symbol" w:hint="default"/>
        <w:sz w:val="20"/>
      </w:rPr>
    </w:lvl>
    <w:lvl w:ilvl="1" w:tplc="D80496FC">
      <w:start w:val="1"/>
      <w:numFmt w:val="decimal"/>
      <w:lvlText w:val="%2."/>
      <w:lvlJc w:val="left"/>
      <w:pPr>
        <w:tabs>
          <w:tab w:val="num" w:pos="1440"/>
        </w:tabs>
        <w:ind w:left="1440" w:hanging="360"/>
      </w:pPr>
    </w:lvl>
    <w:lvl w:ilvl="2" w:tplc="E25A37AA">
      <w:numFmt w:val="bullet"/>
      <w:lvlText w:val="o"/>
      <w:lvlJc w:val="left"/>
      <w:pPr>
        <w:tabs>
          <w:tab w:val="num" w:pos="2160"/>
        </w:tabs>
        <w:ind w:left="2160" w:hanging="360"/>
      </w:pPr>
      <w:rPr>
        <w:rFonts w:ascii="Courier New" w:hAnsi="Courier New" w:hint="default"/>
        <w:sz w:val="20"/>
      </w:rPr>
    </w:lvl>
    <w:lvl w:ilvl="3" w:tplc="FC8ABDCA" w:tentative="1">
      <w:start w:val="1"/>
      <w:numFmt w:val="bullet"/>
      <w:lvlText w:val=""/>
      <w:lvlJc w:val="left"/>
      <w:pPr>
        <w:tabs>
          <w:tab w:val="num" w:pos="2880"/>
        </w:tabs>
        <w:ind w:left="2880" w:hanging="360"/>
      </w:pPr>
      <w:rPr>
        <w:rFonts w:ascii="Symbol" w:hAnsi="Symbol" w:hint="default"/>
        <w:sz w:val="20"/>
      </w:rPr>
    </w:lvl>
    <w:lvl w:ilvl="4" w:tplc="9E3C105A" w:tentative="1">
      <w:start w:val="1"/>
      <w:numFmt w:val="bullet"/>
      <w:lvlText w:val=""/>
      <w:lvlJc w:val="left"/>
      <w:pPr>
        <w:tabs>
          <w:tab w:val="num" w:pos="3600"/>
        </w:tabs>
        <w:ind w:left="3600" w:hanging="360"/>
      </w:pPr>
      <w:rPr>
        <w:rFonts w:ascii="Symbol" w:hAnsi="Symbol" w:hint="default"/>
        <w:sz w:val="20"/>
      </w:rPr>
    </w:lvl>
    <w:lvl w:ilvl="5" w:tplc="AC001386" w:tentative="1">
      <w:start w:val="1"/>
      <w:numFmt w:val="bullet"/>
      <w:lvlText w:val=""/>
      <w:lvlJc w:val="left"/>
      <w:pPr>
        <w:tabs>
          <w:tab w:val="num" w:pos="4320"/>
        </w:tabs>
        <w:ind w:left="4320" w:hanging="360"/>
      </w:pPr>
      <w:rPr>
        <w:rFonts w:ascii="Wingdings" w:hAnsi="Wingdings" w:hint="default"/>
        <w:sz w:val="20"/>
      </w:rPr>
    </w:lvl>
    <w:lvl w:ilvl="6" w:tplc="6D001B5C" w:tentative="1">
      <w:start w:val="1"/>
      <w:numFmt w:val="bullet"/>
      <w:lvlText w:val=""/>
      <w:lvlJc w:val="left"/>
      <w:pPr>
        <w:tabs>
          <w:tab w:val="num" w:pos="5040"/>
        </w:tabs>
        <w:ind w:left="5040" w:hanging="360"/>
      </w:pPr>
      <w:rPr>
        <w:rFonts w:ascii="Wingdings" w:hAnsi="Wingdings" w:hint="default"/>
        <w:sz w:val="20"/>
      </w:rPr>
    </w:lvl>
    <w:lvl w:ilvl="7" w:tplc="0FF452BA" w:tentative="1">
      <w:start w:val="1"/>
      <w:numFmt w:val="bullet"/>
      <w:lvlText w:val=""/>
      <w:lvlJc w:val="left"/>
      <w:pPr>
        <w:tabs>
          <w:tab w:val="num" w:pos="5760"/>
        </w:tabs>
        <w:ind w:left="5760" w:hanging="360"/>
      </w:pPr>
      <w:rPr>
        <w:rFonts w:ascii="Wingdings" w:hAnsi="Wingdings" w:hint="default"/>
        <w:sz w:val="20"/>
      </w:rPr>
    </w:lvl>
    <w:lvl w:ilvl="8" w:tplc="0CF09B6E" w:tentative="1">
      <w:start w:val="1"/>
      <w:numFmt w:val="bullet"/>
      <w:lvlText w:val=""/>
      <w:lvlJc w:val="left"/>
      <w:pPr>
        <w:tabs>
          <w:tab w:val="num" w:pos="6480"/>
        </w:tabs>
        <w:ind w:left="6480" w:hanging="360"/>
      </w:pPr>
      <w:rPr>
        <w:rFonts w:ascii="Wingdings" w:hAnsi="Wingdings" w:hint="default"/>
        <w:sz w:val="20"/>
      </w:rPr>
    </w:lvl>
  </w:abstractNum>
  <w:abstractNum w:abstractNumId="8">
    <w:nsid w:val="671614AF"/>
    <w:multiLevelType w:val="hybridMultilevel"/>
    <w:tmpl w:val="4288C0FC"/>
    <w:lvl w:ilvl="0" w:tplc="37B4530C">
      <w:start w:val="1"/>
      <w:numFmt w:val="bullet"/>
      <w:lvlText w:val=""/>
      <w:lvlJc w:val="left"/>
      <w:pPr>
        <w:tabs>
          <w:tab w:val="num" w:pos="720"/>
        </w:tabs>
        <w:ind w:left="720" w:hanging="360"/>
      </w:pPr>
      <w:rPr>
        <w:rFonts w:ascii="Symbol" w:hAnsi="Symbol" w:hint="default"/>
        <w:sz w:val="20"/>
      </w:rPr>
    </w:lvl>
    <w:lvl w:ilvl="1" w:tplc="510EDF20">
      <w:start w:val="1"/>
      <w:numFmt w:val="bullet"/>
      <w:lvlText w:val="o"/>
      <w:lvlJc w:val="left"/>
      <w:pPr>
        <w:tabs>
          <w:tab w:val="num" w:pos="1440"/>
        </w:tabs>
        <w:ind w:left="1440" w:hanging="360"/>
      </w:pPr>
      <w:rPr>
        <w:rFonts w:ascii="Courier New" w:hAnsi="Courier New" w:hint="default"/>
        <w:sz w:val="20"/>
      </w:rPr>
    </w:lvl>
    <w:lvl w:ilvl="2" w:tplc="501C9644">
      <w:start w:val="1"/>
      <w:numFmt w:val="bullet"/>
      <w:lvlText w:val=""/>
      <w:lvlJc w:val="left"/>
      <w:pPr>
        <w:tabs>
          <w:tab w:val="num" w:pos="2160"/>
        </w:tabs>
        <w:ind w:left="2160" w:hanging="360"/>
      </w:pPr>
      <w:rPr>
        <w:rFonts w:ascii="Symbol" w:hAnsi="Symbol" w:hint="default"/>
        <w:sz w:val="20"/>
      </w:rPr>
    </w:lvl>
    <w:lvl w:ilvl="3" w:tplc="36188E6E">
      <w:start w:val="1"/>
      <w:numFmt w:val="bullet"/>
      <w:lvlText w:val=""/>
      <w:lvlJc w:val="left"/>
      <w:pPr>
        <w:tabs>
          <w:tab w:val="num" w:pos="2880"/>
        </w:tabs>
        <w:ind w:left="2880" w:hanging="360"/>
      </w:pPr>
      <w:rPr>
        <w:rFonts w:ascii="Symbol" w:hAnsi="Symbol" w:hint="default"/>
        <w:sz w:val="20"/>
      </w:rPr>
    </w:lvl>
    <w:lvl w:ilvl="4" w:tplc="A7FE28D6">
      <w:start w:val="1"/>
      <w:numFmt w:val="bullet"/>
      <w:lvlText w:val=""/>
      <w:lvlJc w:val="left"/>
      <w:pPr>
        <w:tabs>
          <w:tab w:val="num" w:pos="3600"/>
        </w:tabs>
        <w:ind w:left="3600" w:hanging="360"/>
      </w:pPr>
      <w:rPr>
        <w:rFonts w:ascii="Symbol" w:hAnsi="Symbol" w:hint="default"/>
        <w:sz w:val="20"/>
      </w:rPr>
    </w:lvl>
    <w:lvl w:ilvl="5" w:tplc="1C1478EE" w:tentative="1">
      <w:start w:val="1"/>
      <w:numFmt w:val="bullet"/>
      <w:lvlText w:val=""/>
      <w:lvlJc w:val="left"/>
      <w:pPr>
        <w:tabs>
          <w:tab w:val="num" w:pos="4320"/>
        </w:tabs>
        <w:ind w:left="4320" w:hanging="360"/>
      </w:pPr>
      <w:rPr>
        <w:rFonts w:ascii="Wingdings" w:hAnsi="Wingdings" w:hint="default"/>
        <w:sz w:val="20"/>
      </w:rPr>
    </w:lvl>
    <w:lvl w:ilvl="6" w:tplc="ADEA5E4E" w:tentative="1">
      <w:start w:val="1"/>
      <w:numFmt w:val="bullet"/>
      <w:lvlText w:val=""/>
      <w:lvlJc w:val="left"/>
      <w:pPr>
        <w:tabs>
          <w:tab w:val="num" w:pos="5040"/>
        </w:tabs>
        <w:ind w:left="5040" w:hanging="360"/>
      </w:pPr>
      <w:rPr>
        <w:rFonts w:ascii="Wingdings" w:hAnsi="Wingdings" w:hint="default"/>
        <w:sz w:val="20"/>
      </w:rPr>
    </w:lvl>
    <w:lvl w:ilvl="7" w:tplc="5A6EADAE" w:tentative="1">
      <w:start w:val="1"/>
      <w:numFmt w:val="bullet"/>
      <w:lvlText w:val=""/>
      <w:lvlJc w:val="left"/>
      <w:pPr>
        <w:tabs>
          <w:tab w:val="num" w:pos="5760"/>
        </w:tabs>
        <w:ind w:left="5760" w:hanging="360"/>
      </w:pPr>
      <w:rPr>
        <w:rFonts w:ascii="Wingdings" w:hAnsi="Wingdings" w:hint="default"/>
        <w:sz w:val="20"/>
      </w:rPr>
    </w:lvl>
    <w:lvl w:ilvl="8" w:tplc="59964428" w:tentative="1">
      <w:start w:val="1"/>
      <w:numFmt w:val="bullet"/>
      <w:lvlText w:val=""/>
      <w:lvlJc w:val="left"/>
      <w:pPr>
        <w:tabs>
          <w:tab w:val="num" w:pos="6480"/>
        </w:tabs>
        <w:ind w:left="6480" w:hanging="360"/>
      </w:pPr>
      <w:rPr>
        <w:rFonts w:ascii="Wingdings" w:hAnsi="Wingdings" w:hint="default"/>
        <w:sz w:val="20"/>
      </w:rPr>
    </w:lvl>
  </w:abstractNum>
  <w:abstractNum w:abstractNumId="9">
    <w:nsid w:val="6DB6290A"/>
    <w:multiLevelType w:val="hybridMultilevel"/>
    <w:tmpl w:val="6420AC50"/>
    <w:lvl w:ilvl="0" w:tplc="FC22648E">
      <w:start w:val="1"/>
      <w:numFmt w:val="bullet"/>
      <w:lvlText w:val=""/>
      <w:lvlJc w:val="left"/>
      <w:pPr>
        <w:tabs>
          <w:tab w:val="num" w:pos="720"/>
        </w:tabs>
        <w:ind w:left="720" w:hanging="360"/>
      </w:pPr>
      <w:rPr>
        <w:rFonts w:ascii="Symbol" w:hAnsi="Symbol" w:hint="default"/>
        <w:sz w:val="20"/>
      </w:rPr>
    </w:lvl>
    <w:lvl w:ilvl="1" w:tplc="319A5CEE">
      <w:start w:val="1"/>
      <w:numFmt w:val="bullet"/>
      <w:lvlText w:val="o"/>
      <w:lvlJc w:val="left"/>
      <w:pPr>
        <w:tabs>
          <w:tab w:val="num" w:pos="1440"/>
        </w:tabs>
        <w:ind w:left="1440" w:hanging="360"/>
      </w:pPr>
      <w:rPr>
        <w:rFonts w:ascii="Courier New" w:hAnsi="Courier New" w:hint="default"/>
        <w:sz w:val="20"/>
      </w:rPr>
    </w:lvl>
    <w:lvl w:ilvl="2" w:tplc="98FCA3FE">
      <w:start w:val="1"/>
      <w:numFmt w:val="bullet"/>
      <w:lvlText w:val="o"/>
      <w:lvlJc w:val="left"/>
      <w:pPr>
        <w:tabs>
          <w:tab w:val="num" w:pos="2160"/>
        </w:tabs>
        <w:ind w:left="2160" w:hanging="360"/>
      </w:pPr>
      <w:rPr>
        <w:rFonts w:ascii="Courier New" w:hAnsi="Courier New" w:hint="default"/>
        <w:sz w:val="20"/>
      </w:rPr>
    </w:lvl>
    <w:lvl w:ilvl="3" w:tplc="D2188556" w:tentative="1">
      <w:start w:val="1"/>
      <w:numFmt w:val="bullet"/>
      <w:lvlText w:val=""/>
      <w:lvlJc w:val="left"/>
      <w:pPr>
        <w:tabs>
          <w:tab w:val="num" w:pos="2880"/>
        </w:tabs>
        <w:ind w:left="2880" w:hanging="360"/>
      </w:pPr>
      <w:rPr>
        <w:rFonts w:ascii="Wingdings" w:hAnsi="Wingdings" w:hint="default"/>
        <w:sz w:val="20"/>
      </w:rPr>
    </w:lvl>
    <w:lvl w:ilvl="4" w:tplc="B568D79E" w:tentative="1">
      <w:start w:val="1"/>
      <w:numFmt w:val="bullet"/>
      <w:lvlText w:val=""/>
      <w:lvlJc w:val="left"/>
      <w:pPr>
        <w:tabs>
          <w:tab w:val="num" w:pos="3600"/>
        </w:tabs>
        <w:ind w:left="3600" w:hanging="360"/>
      </w:pPr>
      <w:rPr>
        <w:rFonts w:ascii="Wingdings" w:hAnsi="Wingdings" w:hint="default"/>
        <w:sz w:val="20"/>
      </w:rPr>
    </w:lvl>
    <w:lvl w:ilvl="5" w:tplc="8A02163C" w:tentative="1">
      <w:start w:val="1"/>
      <w:numFmt w:val="bullet"/>
      <w:lvlText w:val=""/>
      <w:lvlJc w:val="left"/>
      <w:pPr>
        <w:tabs>
          <w:tab w:val="num" w:pos="4320"/>
        </w:tabs>
        <w:ind w:left="4320" w:hanging="360"/>
      </w:pPr>
      <w:rPr>
        <w:rFonts w:ascii="Wingdings" w:hAnsi="Wingdings" w:hint="default"/>
        <w:sz w:val="20"/>
      </w:rPr>
    </w:lvl>
    <w:lvl w:ilvl="6" w:tplc="7BD2A294" w:tentative="1">
      <w:start w:val="1"/>
      <w:numFmt w:val="bullet"/>
      <w:lvlText w:val=""/>
      <w:lvlJc w:val="left"/>
      <w:pPr>
        <w:tabs>
          <w:tab w:val="num" w:pos="5040"/>
        </w:tabs>
        <w:ind w:left="5040" w:hanging="360"/>
      </w:pPr>
      <w:rPr>
        <w:rFonts w:ascii="Wingdings" w:hAnsi="Wingdings" w:hint="default"/>
        <w:sz w:val="20"/>
      </w:rPr>
    </w:lvl>
    <w:lvl w:ilvl="7" w:tplc="7C4AA914" w:tentative="1">
      <w:start w:val="1"/>
      <w:numFmt w:val="bullet"/>
      <w:lvlText w:val=""/>
      <w:lvlJc w:val="left"/>
      <w:pPr>
        <w:tabs>
          <w:tab w:val="num" w:pos="5760"/>
        </w:tabs>
        <w:ind w:left="5760" w:hanging="360"/>
      </w:pPr>
      <w:rPr>
        <w:rFonts w:ascii="Wingdings" w:hAnsi="Wingdings" w:hint="default"/>
        <w:sz w:val="20"/>
      </w:rPr>
    </w:lvl>
    <w:lvl w:ilvl="8" w:tplc="E5D0E044" w:tentative="1">
      <w:start w:val="1"/>
      <w:numFmt w:val="bullet"/>
      <w:lvlText w:val=""/>
      <w:lvlJc w:val="left"/>
      <w:pPr>
        <w:tabs>
          <w:tab w:val="num" w:pos="6480"/>
        </w:tabs>
        <w:ind w:left="6480" w:hanging="360"/>
      </w:pPr>
      <w:rPr>
        <w:rFonts w:ascii="Wingdings" w:hAnsi="Wingdings" w:hint="default"/>
        <w:sz w:val="20"/>
      </w:rPr>
    </w:lvl>
  </w:abstractNum>
  <w:abstractNum w:abstractNumId="10">
    <w:nsid w:val="7F5D72A2"/>
    <w:multiLevelType w:val="multilevel"/>
    <w:tmpl w:val="E6BC7EE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lvlOverride w:ilvl="0"/>
    <w:lvlOverride w:ilvl="1">
      <w:startOverride w:val="1"/>
    </w:lvlOverride>
  </w:num>
  <w:num w:numId="2">
    <w:abstractNumId w:val="6"/>
    <w:lvlOverride w:ilvl="0"/>
    <w:lvlOverride w:ilvl="1">
      <w:startOverride w:val="2"/>
    </w:lvlOverride>
  </w:num>
  <w:num w:numId="3">
    <w:abstractNumId w:val="6"/>
    <w:lvlOverride w:ilvl="0"/>
    <w:lvlOverride w:ilvl="1">
      <w:startOverride w:val="3"/>
    </w:lvlOverride>
  </w:num>
  <w:num w:numId="4">
    <w:abstractNumId w:val="6"/>
    <w:lvlOverride w:ilvl="0"/>
    <w:lvlOverride w:ilvl="1">
      <w:startOverride w:val="4"/>
    </w:lvlOverride>
  </w:num>
  <w:num w:numId="5">
    <w:abstractNumId w:val="9"/>
  </w:num>
  <w:num w:numId="6">
    <w:abstractNumId w:val="9"/>
    <w:lvlOverride w:ilvl="0"/>
    <w:lvlOverride w:ilvl="1">
      <w:startOverride w:val="5"/>
    </w:lvlOverride>
  </w:num>
  <w:num w:numId="7">
    <w:abstractNumId w:val="3"/>
    <w:lvlOverride w:ilvl="0"/>
    <w:lvlOverride w:ilvl="1">
      <w:startOverride w:val="6"/>
    </w:lvlOverride>
  </w:num>
  <w:num w:numId="8">
    <w:abstractNumId w:val="3"/>
    <w:lvlOverride w:ilvl="0"/>
    <w:lvlOverride w:ilvl="1">
      <w:startOverride w:val="7"/>
    </w:lvlOverride>
  </w:num>
  <w:num w:numId="9">
    <w:abstractNumId w:val="3"/>
    <w:lvlOverride w:ilvl="0"/>
    <w:lvlOverride w:ilvl="1">
      <w:startOverride w:val="8"/>
    </w:lvlOverride>
  </w:num>
  <w:num w:numId="10">
    <w:abstractNumId w:val="8"/>
  </w:num>
  <w:num w:numId="11">
    <w:abstractNumId w:val="8"/>
    <w:lvlOverride w:ilvl="0"/>
    <w:lvlOverride w:ilvl="1">
      <w:startOverride w:val="9"/>
    </w:lvlOverride>
  </w:num>
  <w:num w:numId="12">
    <w:abstractNumId w:val="8"/>
    <w:lvlOverride w:ilvl="0">
      <w:lvl w:ilvl="0" w:tplc="37B4530C">
        <w:numFmt w:val="decimal"/>
        <w:lvlText w:val=""/>
        <w:lvlJc w:val="left"/>
      </w:lvl>
    </w:lvlOverride>
    <w:lvlOverride w:ilvl="1">
      <w:lvl w:ilvl="1" w:tplc="510EDF20">
        <w:numFmt w:val="decimal"/>
        <w:lvlText w:val=""/>
        <w:lvlJc w:val="left"/>
      </w:lvl>
    </w:lvlOverride>
    <w:lvlOverride w:ilvl="2">
      <w:lvl w:ilvl="2" w:tplc="501C9644">
        <w:numFmt w:val="bullet"/>
        <w:lvlText w:val="o"/>
        <w:lvlJc w:val="left"/>
        <w:pPr>
          <w:tabs>
            <w:tab w:val="num" w:pos="2160"/>
          </w:tabs>
          <w:ind w:left="2160" w:hanging="360"/>
        </w:pPr>
        <w:rPr>
          <w:rFonts w:ascii="Courier New" w:hAnsi="Courier New" w:hint="default"/>
          <w:sz w:val="20"/>
        </w:rPr>
      </w:lvl>
    </w:lvlOverride>
  </w:num>
  <w:num w:numId="13">
    <w:abstractNumId w:val="8"/>
    <w:lvlOverride w:ilvl="0">
      <w:lvl w:ilvl="0" w:tplc="37B4530C">
        <w:numFmt w:val="decimal"/>
        <w:lvlText w:val=""/>
        <w:lvlJc w:val="left"/>
      </w:lvl>
    </w:lvlOverride>
    <w:lvlOverride w:ilvl="1">
      <w:startOverride w:val="10"/>
      <w:lvl w:ilvl="1" w:tplc="510EDF20">
        <w:start w:val="10"/>
        <w:numFmt w:val="decimal"/>
        <w:lvlText w:val=""/>
        <w:lvlJc w:val="left"/>
      </w:lvl>
    </w:lvlOverride>
    <w:lvlOverride w:ilvl="2">
      <w:lvl w:ilvl="2" w:tplc="501C9644">
        <w:numFmt w:val="bullet"/>
        <w:lvlText w:val="o"/>
        <w:lvlJc w:val="left"/>
        <w:pPr>
          <w:tabs>
            <w:tab w:val="num" w:pos="2160"/>
          </w:tabs>
          <w:ind w:left="2160" w:hanging="360"/>
        </w:pPr>
        <w:rPr>
          <w:rFonts w:ascii="Courier New" w:hAnsi="Courier New" w:hint="default"/>
          <w:sz w:val="20"/>
        </w:rPr>
      </w:lvl>
    </w:lvlOverride>
  </w:num>
  <w:num w:numId="14">
    <w:abstractNumId w:val="1"/>
    <w:lvlOverride w:ilvl="0"/>
    <w:lvlOverride w:ilvl="1">
      <w:startOverride w:val="1"/>
    </w:lvlOverride>
  </w:num>
  <w:num w:numId="15">
    <w:abstractNumId w:val="1"/>
    <w:lvlOverride w:ilvl="0"/>
    <w:lvlOverride w:ilvl="1">
      <w:startOverride w:val="2"/>
    </w:lvlOverride>
  </w:num>
  <w:num w:numId="16">
    <w:abstractNumId w:val="1"/>
    <w:lvlOverride w:ilvl="0"/>
    <w:lvlOverride w:ilvl="1">
      <w:startOverride w:val="3"/>
    </w:lvlOverride>
  </w:num>
  <w:num w:numId="17">
    <w:abstractNumId w:val="1"/>
    <w:lvlOverride w:ilvl="0"/>
    <w:lvlOverride w:ilvl="1">
      <w:startOverride w:val="4"/>
    </w:lvlOverride>
  </w:num>
  <w:num w:numId="18">
    <w:abstractNumId w:val="1"/>
    <w:lvlOverride w:ilvl="0"/>
    <w:lvlOverride w:ilvl="1">
      <w:startOverride w:val="5"/>
    </w:lvlOverride>
  </w:num>
  <w:num w:numId="19">
    <w:abstractNumId w:val="1"/>
    <w:lvlOverride w:ilvl="0"/>
    <w:lvlOverride w:ilvl="1">
      <w:startOverride w:val="6"/>
    </w:lvlOverride>
  </w:num>
  <w:num w:numId="20">
    <w:abstractNumId w:val="1"/>
    <w:lvlOverride w:ilvl="0"/>
    <w:lvlOverride w:ilvl="1">
      <w:startOverride w:val="7"/>
    </w:lvlOverride>
  </w:num>
  <w:num w:numId="21">
    <w:abstractNumId w:val="1"/>
    <w:lvlOverride w:ilvl="0"/>
    <w:lvlOverride w:ilvl="1">
      <w:startOverride w:val="8"/>
    </w:lvlOverride>
  </w:num>
  <w:num w:numId="22">
    <w:abstractNumId w:val="10"/>
    <w:lvlOverride w:ilvl="1">
      <w:startOverride w:val="1"/>
    </w:lvlOverride>
  </w:num>
  <w:num w:numId="23">
    <w:abstractNumId w:val="10"/>
    <w:lvlOverride w:ilvl="1">
      <w:startOverride w:val="2"/>
    </w:lvlOverride>
  </w:num>
  <w:num w:numId="24">
    <w:abstractNumId w:val="10"/>
    <w:lvlOverride w:ilvl="1">
      <w:startOverride w:val="3"/>
    </w:lvlOverride>
  </w:num>
  <w:num w:numId="25">
    <w:abstractNumId w:val="10"/>
    <w:lvlOverride w:ilvl="1">
      <w:startOverride w:val="4"/>
    </w:lvlOverride>
  </w:num>
  <w:num w:numId="26">
    <w:abstractNumId w:val="0"/>
  </w:num>
  <w:num w:numId="27">
    <w:abstractNumId w:val="0"/>
    <w:lvlOverride w:ilvl="1">
      <w:startOverride w:val="5"/>
    </w:lvlOverride>
  </w:num>
  <w:num w:numId="28">
    <w:abstractNumId w:val="5"/>
    <w:lvlOverride w:ilvl="1">
      <w:startOverride w:val="6"/>
    </w:lvlOverride>
  </w:num>
  <w:num w:numId="29">
    <w:abstractNumId w:val="5"/>
    <w:lvlOverride w:ilvl="1">
      <w:startOverride w:val="7"/>
    </w:lvlOverride>
  </w:num>
  <w:num w:numId="30">
    <w:abstractNumId w:val="5"/>
    <w:lvlOverride w:ilvl="1">
      <w:startOverride w:val="8"/>
    </w:lvlOverride>
  </w:num>
  <w:num w:numId="31">
    <w:abstractNumId w:val="2"/>
  </w:num>
  <w:num w:numId="32">
    <w:abstractNumId w:val="2"/>
    <w:lvlOverride w:ilvl="1">
      <w:startOverride w:val="9"/>
    </w:lvlOverride>
  </w:num>
  <w:num w:numId="33">
    <w:abstractNumId w:val="2"/>
    <w:lvlOverride w:ilvl="1">
      <w:lvl w:ilvl="1" w:tplc="8AE05FB4">
        <w:numFmt w:val="decimal"/>
        <w:lvlText w:val=""/>
        <w:lvlJc w:val="left"/>
      </w:lvl>
    </w:lvlOverride>
    <w:lvlOverride w:ilvl="2">
      <w:lvl w:ilvl="2" w:tplc="D040CD10">
        <w:numFmt w:val="bullet"/>
        <w:lvlText w:val="o"/>
        <w:lvlJc w:val="left"/>
        <w:pPr>
          <w:tabs>
            <w:tab w:val="num" w:pos="2160"/>
          </w:tabs>
          <w:ind w:left="2160" w:hanging="360"/>
        </w:pPr>
        <w:rPr>
          <w:rFonts w:ascii="Courier New" w:hAnsi="Courier New" w:hint="default"/>
          <w:sz w:val="20"/>
        </w:rPr>
      </w:lvl>
    </w:lvlOverride>
  </w:num>
  <w:num w:numId="34">
    <w:abstractNumId w:val="2"/>
    <w:lvlOverride w:ilvl="1">
      <w:startOverride w:val="10"/>
      <w:lvl w:ilvl="1" w:tplc="8AE05FB4">
        <w:start w:val="10"/>
        <w:numFmt w:val="decimal"/>
        <w:lvlText w:val=""/>
        <w:lvlJc w:val="left"/>
      </w:lvl>
    </w:lvlOverride>
    <w:lvlOverride w:ilvl="2">
      <w:lvl w:ilvl="2" w:tplc="D040CD10">
        <w:numFmt w:val="bullet"/>
        <w:lvlText w:val="o"/>
        <w:lvlJc w:val="left"/>
        <w:pPr>
          <w:tabs>
            <w:tab w:val="num" w:pos="2160"/>
          </w:tabs>
          <w:ind w:left="2160" w:hanging="360"/>
        </w:pPr>
        <w:rPr>
          <w:rFonts w:ascii="Courier New" w:hAnsi="Courier New" w:hint="default"/>
          <w:sz w:val="20"/>
        </w:rPr>
      </w:lvl>
    </w:lvlOverride>
  </w:num>
  <w:num w:numId="35">
    <w:abstractNumId w:val="7"/>
    <w:lvlOverride w:ilvl="1">
      <w:startOverride w:val="1"/>
    </w:lvlOverride>
  </w:num>
  <w:num w:numId="36">
    <w:abstractNumId w:val="7"/>
    <w:lvlOverride w:ilvl="1">
      <w:startOverride w:val="2"/>
    </w:lvlOverride>
  </w:num>
  <w:num w:numId="37">
    <w:abstractNumId w:val="7"/>
    <w:lvlOverride w:ilvl="1">
      <w:startOverride w:val="3"/>
    </w:lvlOverride>
  </w:num>
  <w:num w:numId="38">
    <w:abstractNumId w:val="7"/>
    <w:lvlOverride w:ilvl="1">
      <w:startOverride w:val="4"/>
    </w:lvlOverride>
  </w:num>
  <w:num w:numId="39">
    <w:abstractNumId w:val="7"/>
    <w:lvlOverride w:ilvl="1">
      <w:startOverride w:val="5"/>
    </w:lvlOverride>
  </w:num>
  <w:num w:numId="40">
    <w:abstractNumId w:val="7"/>
    <w:lvlOverride w:ilvl="1">
      <w:startOverride w:val="6"/>
    </w:lvlOverride>
  </w:num>
  <w:num w:numId="41">
    <w:abstractNumId w:val="7"/>
    <w:lvlOverride w:ilvl="1">
      <w:startOverride w:val="7"/>
    </w:lvlOverride>
  </w:num>
  <w:num w:numId="42">
    <w:abstractNumId w:val="7"/>
    <w:lvlOverride w:ilvl="1">
      <w:startOverride w:val="8"/>
    </w:lvlOverride>
  </w:num>
  <w:num w:numId="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2"/>
  </w:compat>
  <w:rsids>
    <w:rsidRoot w:val="00F06DF9"/>
    <w:rsid w:val="000173A5"/>
    <w:rsid w:val="00023213"/>
    <w:rsid w:val="00047CFE"/>
    <w:rsid w:val="00056E52"/>
    <w:rsid w:val="00062991"/>
    <w:rsid w:val="00072565"/>
    <w:rsid w:val="000A0E98"/>
    <w:rsid w:val="000A5299"/>
    <w:rsid w:val="000F0D2D"/>
    <w:rsid w:val="000F565B"/>
    <w:rsid w:val="00114A59"/>
    <w:rsid w:val="00121925"/>
    <w:rsid w:val="00124F33"/>
    <w:rsid w:val="00130CF3"/>
    <w:rsid w:val="00136209"/>
    <w:rsid w:val="0013764D"/>
    <w:rsid w:val="0015363D"/>
    <w:rsid w:val="001905B4"/>
    <w:rsid w:val="001A213A"/>
    <w:rsid w:val="001C6796"/>
    <w:rsid w:val="001D22AB"/>
    <w:rsid w:val="001E5487"/>
    <w:rsid w:val="001E61B6"/>
    <w:rsid w:val="00221BFF"/>
    <w:rsid w:val="00253E69"/>
    <w:rsid w:val="00260312"/>
    <w:rsid w:val="00271629"/>
    <w:rsid w:val="00277010"/>
    <w:rsid w:val="002862CC"/>
    <w:rsid w:val="00296E0C"/>
    <w:rsid w:val="002A3F74"/>
    <w:rsid w:val="002B04E0"/>
    <w:rsid w:val="002B5CC6"/>
    <w:rsid w:val="002F796F"/>
    <w:rsid w:val="002F7B35"/>
    <w:rsid w:val="00322D13"/>
    <w:rsid w:val="00323830"/>
    <w:rsid w:val="00344B58"/>
    <w:rsid w:val="0034584D"/>
    <w:rsid w:val="003501B1"/>
    <w:rsid w:val="003557AD"/>
    <w:rsid w:val="00370628"/>
    <w:rsid w:val="00372CC8"/>
    <w:rsid w:val="003913A2"/>
    <w:rsid w:val="003C6C34"/>
    <w:rsid w:val="003E1A09"/>
    <w:rsid w:val="003E75D4"/>
    <w:rsid w:val="003F54DD"/>
    <w:rsid w:val="004049C6"/>
    <w:rsid w:val="0040698B"/>
    <w:rsid w:val="0041324D"/>
    <w:rsid w:val="00430099"/>
    <w:rsid w:val="004565A6"/>
    <w:rsid w:val="0049074D"/>
    <w:rsid w:val="004939CE"/>
    <w:rsid w:val="004A2648"/>
    <w:rsid w:val="004B4A66"/>
    <w:rsid w:val="004D07AB"/>
    <w:rsid w:val="004D3FA3"/>
    <w:rsid w:val="004D6F74"/>
    <w:rsid w:val="005067E6"/>
    <w:rsid w:val="00523494"/>
    <w:rsid w:val="00524723"/>
    <w:rsid w:val="00533EBA"/>
    <w:rsid w:val="005349EE"/>
    <w:rsid w:val="00554D21"/>
    <w:rsid w:val="00560011"/>
    <w:rsid w:val="00581179"/>
    <w:rsid w:val="005A5C19"/>
    <w:rsid w:val="005B4415"/>
    <w:rsid w:val="006022E6"/>
    <w:rsid w:val="006113EE"/>
    <w:rsid w:val="00616271"/>
    <w:rsid w:val="00616A9B"/>
    <w:rsid w:val="00640639"/>
    <w:rsid w:val="006748FD"/>
    <w:rsid w:val="00674BA5"/>
    <w:rsid w:val="00677817"/>
    <w:rsid w:val="006817EE"/>
    <w:rsid w:val="0069138A"/>
    <w:rsid w:val="00692414"/>
    <w:rsid w:val="006965E5"/>
    <w:rsid w:val="006C3ACB"/>
    <w:rsid w:val="006C4680"/>
    <w:rsid w:val="006C5FC5"/>
    <w:rsid w:val="006D4AF3"/>
    <w:rsid w:val="006F411D"/>
    <w:rsid w:val="006F53B5"/>
    <w:rsid w:val="00710536"/>
    <w:rsid w:val="00721FC5"/>
    <w:rsid w:val="00736507"/>
    <w:rsid w:val="00740282"/>
    <w:rsid w:val="007417C6"/>
    <w:rsid w:val="00754A04"/>
    <w:rsid w:val="00757A5B"/>
    <w:rsid w:val="00763FD3"/>
    <w:rsid w:val="007700EB"/>
    <w:rsid w:val="007928F9"/>
    <w:rsid w:val="007A0DB8"/>
    <w:rsid w:val="007D2D80"/>
    <w:rsid w:val="007E6611"/>
    <w:rsid w:val="00831E2D"/>
    <w:rsid w:val="0085317A"/>
    <w:rsid w:val="00857558"/>
    <w:rsid w:val="00865065"/>
    <w:rsid w:val="00866DFD"/>
    <w:rsid w:val="0087420B"/>
    <w:rsid w:val="00896E9C"/>
    <w:rsid w:val="008B0FCB"/>
    <w:rsid w:val="008B3393"/>
    <w:rsid w:val="008B49CE"/>
    <w:rsid w:val="008C09CD"/>
    <w:rsid w:val="008C5895"/>
    <w:rsid w:val="008D77F7"/>
    <w:rsid w:val="009153F8"/>
    <w:rsid w:val="00917113"/>
    <w:rsid w:val="00926A22"/>
    <w:rsid w:val="00943A9B"/>
    <w:rsid w:val="00981FCE"/>
    <w:rsid w:val="00982DBA"/>
    <w:rsid w:val="00984B9B"/>
    <w:rsid w:val="009922B8"/>
    <w:rsid w:val="009A05B7"/>
    <w:rsid w:val="009C474F"/>
    <w:rsid w:val="009D1B52"/>
    <w:rsid w:val="009F03BB"/>
    <w:rsid w:val="00A06B2E"/>
    <w:rsid w:val="00A130C8"/>
    <w:rsid w:val="00A1532C"/>
    <w:rsid w:val="00A226E7"/>
    <w:rsid w:val="00A37A79"/>
    <w:rsid w:val="00A454B1"/>
    <w:rsid w:val="00A46F15"/>
    <w:rsid w:val="00A62845"/>
    <w:rsid w:val="00A847D7"/>
    <w:rsid w:val="00A85F70"/>
    <w:rsid w:val="00A87122"/>
    <w:rsid w:val="00A95466"/>
    <w:rsid w:val="00AA48C1"/>
    <w:rsid w:val="00AA7581"/>
    <w:rsid w:val="00AB4A3D"/>
    <w:rsid w:val="00AB5393"/>
    <w:rsid w:val="00AC3108"/>
    <w:rsid w:val="00AC5850"/>
    <w:rsid w:val="00AC62DE"/>
    <w:rsid w:val="00AD1BA2"/>
    <w:rsid w:val="00AE480B"/>
    <w:rsid w:val="00B04BFC"/>
    <w:rsid w:val="00B217B5"/>
    <w:rsid w:val="00B267D7"/>
    <w:rsid w:val="00B67B77"/>
    <w:rsid w:val="00B94B4F"/>
    <w:rsid w:val="00BA46D8"/>
    <w:rsid w:val="00BB4068"/>
    <w:rsid w:val="00BC0831"/>
    <w:rsid w:val="00BC3164"/>
    <w:rsid w:val="00C01FB2"/>
    <w:rsid w:val="00C03EF3"/>
    <w:rsid w:val="00C1437D"/>
    <w:rsid w:val="00C359B8"/>
    <w:rsid w:val="00C40803"/>
    <w:rsid w:val="00C47E54"/>
    <w:rsid w:val="00C558B6"/>
    <w:rsid w:val="00C91B5E"/>
    <w:rsid w:val="00CA0FC2"/>
    <w:rsid w:val="00CA4736"/>
    <w:rsid w:val="00CB54E3"/>
    <w:rsid w:val="00CC0C01"/>
    <w:rsid w:val="00CC76BF"/>
    <w:rsid w:val="00D0611A"/>
    <w:rsid w:val="00D13E34"/>
    <w:rsid w:val="00D323B4"/>
    <w:rsid w:val="00D47DCD"/>
    <w:rsid w:val="00D602DA"/>
    <w:rsid w:val="00D605AC"/>
    <w:rsid w:val="00D70EAF"/>
    <w:rsid w:val="00D76F6D"/>
    <w:rsid w:val="00D80027"/>
    <w:rsid w:val="00DA31DA"/>
    <w:rsid w:val="00DC0401"/>
    <w:rsid w:val="00DC247C"/>
    <w:rsid w:val="00DD4FED"/>
    <w:rsid w:val="00E00558"/>
    <w:rsid w:val="00E20808"/>
    <w:rsid w:val="00E2201B"/>
    <w:rsid w:val="00E23663"/>
    <w:rsid w:val="00E3585E"/>
    <w:rsid w:val="00E3797B"/>
    <w:rsid w:val="00E627E0"/>
    <w:rsid w:val="00E802A8"/>
    <w:rsid w:val="00EA7999"/>
    <w:rsid w:val="00EC26C6"/>
    <w:rsid w:val="00EF0851"/>
    <w:rsid w:val="00EF4DEF"/>
    <w:rsid w:val="00F04CDF"/>
    <w:rsid w:val="00F06DF9"/>
    <w:rsid w:val="00F07E24"/>
    <w:rsid w:val="00F212A8"/>
    <w:rsid w:val="00F5394B"/>
    <w:rsid w:val="00F57331"/>
    <w:rsid w:val="00F67E10"/>
    <w:rsid w:val="00F768C0"/>
    <w:rsid w:val="00F91106"/>
    <w:rsid w:val="00FA7322"/>
    <w:rsid w:val="00FB11CC"/>
    <w:rsid w:val="00FC512C"/>
    <w:rsid w:val="00FC6D0A"/>
    <w:rsid w:val="00FC78C7"/>
    <w:rsid w:val="00FE3FC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266FB0-4DBA-4680-BE4C-E9A202713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1F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06DF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ListParagraph">
    <w:name w:val="List Paragraph"/>
    <w:basedOn w:val="Normal"/>
    <w:uiPriority w:val="34"/>
    <w:qFormat/>
    <w:rsid w:val="00130C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8777255">
      <w:bodyDiv w:val="1"/>
      <w:marLeft w:val="0"/>
      <w:marRight w:val="0"/>
      <w:marTop w:val="0"/>
      <w:marBottom w:val="0"/>
      <w:divBdr>
        <w:top w:val="none" w:sz="0" w:space="0" w:color="auto"/>
        <w:left w:val="none" w:sz="0" w:space="0" w:color="auto"/>
        <w:bottom w:val="none" w:sz="0" w:space="0" w:color="auto"/>
        <w:right w:val="none" w:sz="0" w:space="0" w:color="auto"/>
      </w:divBdr>
      <w:divsChild>
        <w:div w:id="1333485922">
          <w:marLeft w:val="0"/>
          <w:marRight w:val="0"/>
          <w:marTop w:val="0"/>
          <w:marBottom w:val="0"/>
          <w:divBdr>
            <w:top w:val="none" w:sz="0" w:space="0" w:color="auto"/>
            <w:left w:val="none" w:sz="0" w:space="0" w:color="auto"/>
            <w:bottom w:val="none" w:sz="0" w:space="0" w:color="auto"/>
            <w:right w:val="none" w:sz="0" w:space="0" w:color="auto"/>
          </w:divBdr>
          <w:divsChild>
            <w:div w:id="1365446395">
              <w:marLeft w:val="0"/>
              <w:marRight w:val="0"/>
              <w:marTop w:val="0"/>
              <w:marBottom w:val="0"/>
              <w:divBdr>
                <w:top w:val="none" w:sz="0" w:space="0" w:color="auto"/>
                <w:left w:val="none" w:sz="0" w:space="0" w:color="auto"/>
                <w:bottom w:val="none" w:sz="0" w:space="0" w:color="auto"/>
                <w:right w:val="none" w:sz="0" w:space="0" w:color="auto"/>
              </w:divBdr>
              <w:divsChild>
                <w:div w:id="1739749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7318228">
      <w:bodyDiv w:val="1"/>
      <w:marLeft w:val="0"/>
      <w:marRight w:val="0"/>
      <w:marTop w:val="0"/>
      <w:marBottom w:val="0"/>
      <w:divBdr>
        <w:top w:val="none" w:sz="0" w:space="0" w:color="auto"/>
        <w:left w:val="none" w:sz="0" w:space="0" w:color="auto"/>
        <w:bottom w:val="none" w:sz="0" w:space="0" w:color="auto"/>
        <w:right w:val="none" w:sz="0" w:space="0" w:color="auto"/>
      </w:divBdr>
      <w:divsChild>
        <w:div w:id="1339582766">
          <w:marLeft w:val="0"/>
          <w:marRight w:val="0"/>
          <w:marTop w:val="0"/>
          <w:marBottom w:val="0"/>
          <w:divBdr>
            <w:top w:val="none" w:sz="0" w:space="0" w:color="auto"/>
            <w:left w:val="none" w:sz="0" w:space="0" w:color="auto"/>
            <w:bottom w:val="none" w:sz="0" w:space="0" w:color="auto"/>
            <w:right w:val="none" w:sz="0" w:space="0" w:color="auto"/>
          </w:divBdr>
          <w:divsChild>
            <w:div w:id="172183660">
              <w:marLeft w:val="0"/>
              <w:marRight w:val="0"/>
              <w:marTop w:val="0"/>
              <w:marBottom w:val="0"/>
              <w:divBdr>
                <w:top w:val="none" w:sz="0" w:space="0" w:color="auto"/>
                <w:left w:val="none" w:sz="0" w:space="0" w:color="auto"/>
                <w:bottom w:val="none" w:sz="0" w:space="0" w:color="auto"/>
                <w:right w:val="none" w:sz="0" w:space="0" w:color="auto"/>
              </w:divBdr>
              <w:divsChild>
                <w:div w:id="190417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2072</Words>
  <Characters>11815</Characters>
  <Application>Microsoft Office Word</Application>
  <DocSecurity>0</DocSecurity>
  <Lines>98</Lines>
  <Paragraphs>27</Paragraphs>
  <ScaleCrop>false</ScaleCrop>
  <Company>Grizli777</Company>
  <LinksUpToDate>false</LinksUpToDate>
  <CharactersWithSpaces>13860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Hansel</dc:creator>
  <cp:lastModifiedBy>Windows User</cp:lastModifiedBy>
  <cp:revision>3</cp:revision>
  <dcterms:created xsi:type="dcterms:W3CDTF">2013-08-14T01:14:00Z</dcterms:created>
  <dcterms:modified xsi:type="dcterms:W3CDTF">2021-02-08T09:04:00Z</dcterms:modified>
</cp:coreProperties>
</file>