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19071"/>
        <w:gridCol w:w="66"/>
        <w:gridCol w:w="66"/>
        <w:gridCol w:w="66"/>
      </w:tblGrid>
      <w:tr w:rsidR="00CB7ACE" w:rsidRPr="00CB7ACE" w:rsidTr="009F4C66">
        <w:tc>
          <w:tcPr>
            <w:tcW w:w="0" w:type="auto"/>
            <w:vMerge w:val="restart"/>
            <w:hideMark/>
          </w:tcPr>
          <w:p w:rsidR="00CB7ACE" w:rsidRPr="00CB7ACE" w:rsidRDefault="00CB7ACE" w:rsidP="009F4C6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B7ACE">
              <w:rPr>
                <w:rFonts w:ascii="inherit" w:eastAsia="Times New Roman" w:hAnsi="inherit" w:cs="Helvetica"/>
                <w:b/>
                <w:bCs/>
                <w:color w:val="444444"/>
                <w:sz w:val="23"/>
                <w:szCs w:val="23"/>
              </w:rPr>
              <w:t>Question 1</w:t>
            </w:r>
            <w:r w:rsidR="009F4C66">
              <w:rPr>
                <w:rFonts w:ascii="inherit" w:eastAsia="Times New Roman" w:hAnsi="inherit" w:cs="Helvetica"/>
                <w:b/>
                <w:bCs/>
                <w:color w:val="444444"/>
                <w:sz w:val="23"/>
                <w:szCs w:val="23"/>
              </w:rPr>
              <w:t>)</w:t>
            </w:r>
          </w:p>
        </w:tc>
        <w:tc>
          <w:tcPr>
            <w:tcW w:w="4932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At present, the first-line laboratory response to biological terrorism involves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9F4C66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6652"/>
            </w:tblGrid>
            <w:tr w:rsidR="00CB7ACE" w:rsidRPr="00CB7ACE" w:rsidTr="00CB7ACE">
              <w:tc>
                <w:tcPr>
                  <w:tcW w:w="825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6652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advanced laboratory techniques in clinical labs</w:t>
                  </w:r>
                </w:p>
              </w:tc>
            </w:tr>
            <w:tr w:rsidR="00CB7ACE" w:rsidRPr="00CB7ACE" w:rsidTr="00CB7ACE">
              <w:tc>
                <w:tcPr>
                  <w:tcW w:w="82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6652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rapid, handheld assays done by first responders</w:t>
                  </w:r>
                </w:p>
              </w:tc>
            </w:tr>
            <w:tr w:rsidR="00CB7ACE" w:rsidRPr="00CB7ACE" w:rsidTr="00CB7ACE">
              <w:tc>
                <w:tcPr>
                  <w:tcW w:w="82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6652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b/>
                      <w:szCs w:val="24"/>
                      <w:highlight w:val="yellow"/>
                      <w:bdr w:val="none" w:sz="0" w:space="0" w:color="auto" w:frame="1"/>
                    </w:rPr>
                    <w:t>a network of local, state, and federal public health laboratories</w:t>
                  </w:r>
                </w:p>
              </w:tc>
            </w:tr>
            <w:tr w:rsidR="00CB7ACE" w:rsidRPr="00CB7ACE" w:rsidTr="00CB7ACE">
              <w:tc>
                <w:tcPr>
                  <w:tcW w:w="82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6652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biosensors strategically placed in the environment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2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The Strategic National Stockpile is designed to supplement or resupply state and local public health agencies in the event of a national emergency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817"/>
              <w:gridCol w:w="484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True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False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3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color w:val="000000"/>
                <w:szCs w:val="24"/>
                <w:bdr w:val="none" w:sz="0" w:space="0" w:color="auto" w:frame="1"/>
              </w:rPr>
              <w:t>The initial emergency response to bioterrorism events and threats at the local level includes all of the following partners except</w:t>
            </w:r>
            <w:r w:rsidRPr="00CB7ACE">
              <w:rPr>
                <w:rFonts w:ascii="inherit" w:eastAsia="Times New Roman" w:hAnsi="inherit" w:cs="Helvetica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1771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police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fire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EMS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b/>
                      <w:szCs w:val="24"/>
                      <w:highlight w:val="yellow"/>
                      <w:bdr w:val="none" w:sz="0" w:space="0" w:color="auto" w:frame="1"/>
                    </w:rPr>
                    <w:t>National Guard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4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Hazard vulnerability analyses are calculated based on measures of each of the following concepts, except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1997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b/>
                      <w:szCs w:val="24"/>
                      <w:highlight w:val="yellow"/>
                      <w:bdr w:val="none" w:sz="0" w:space="0" w:color="auto" w:frame="1"/>
                    </w:rPr>
                    <w:t>geospatial metrics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risk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severity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probability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5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A disaster is an event of smaller magnitude than an emergency and is less likely to cause damage, loss of life, and deterioration of health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817"/>
              <w:gridCol w:w="481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True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False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6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The majority of local health departments collaborate with local hospitals in completing community health needs assessments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867"/>
              <w:gridCol w:w="484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True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False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7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The MAPP model supports the identification of strategic community health issues by the findings of four assessments: community health status assessment, a forces of change assessment (an environmental scan), a community themes and strengths assessment, and a local public health systems assessment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867"/>
              <w:gridCol w:w="484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b/>
                      <w:sz w:val="19"/>
                      <w:szCs w:val="19"/>
                      <w:highlight w:val="yellow"/>
                      <w:bdr w:val="none" w:sz="0" w:space="0" w:color="auto" w:frame="1"/>
                    </w:rPr>
                    <w:t>True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False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8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The concept that government is responsible for ensuring that standards are met in every community developed with the 1979 revision of the Model Standards is referred to as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3477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primary care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coordinated delivery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b/>
                      <w:szCs w:val="24"/>
                      <w:highlight w:val="yellow"/>
                      <w:bdr w:val="none" w:sz="0" w:space="0" w:color="auto" w:frame="1"/>
                    </w:rPr>
                    <w:t>governmental presence in health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eminent domain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9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All of the following are essential public health services that are components of the policy development core function except</w:t>
            </w: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005"/>
              <w:gridCol w:w="8024"/>
            </w:tblGrid>
            <w:tr w:rsidR="00CB7ACE" w:rsidRPr="00CB7ACE" w:rsidTr="00CB7ACE">
              <w:tc>
                <w:tcPr>
                  <w:tcW w:w="1005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8024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informing, educating, and empowering people about health issues</w:t>
                  </w:r>
                </w:p>
              </w:tc>
            </w:tr>
            <w:tr w:rsidR="00CB7ACE" w:rsidRPr="00CB7ACE" w:rsidTr="00CB7ACE">
              <w:tc>
                <w:tcPr>
                  <w:tcW w:w="100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8024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mobilizing community partnerships to identify and solve health problems</w:t>
                  </w:r>
                </w:p>
              </w:tc>
            </w:tr>
            <w:tr w:rsidR="00CB7ACE" w:rsidRPr="00CB7ACE" w:rsidTr="00CB7ACE">
              <w:tc>
                <w:tcPr>
                  <w:tcW w:w="100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8024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developing policies and plans that support individual and community health efforts</w:t>
                  </w:r>
                </w:p>
              </w:tc>
            </w:tr>
            <w:tr w:rsidR="00CB7ACE" w:rsidRPr="00CB7ACE" w:rsidTr="00CB7ACE">
              <w:tc>
                <w:tcPr>
                  <w:tcW w:w="1005" w:type="dxa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8024" w:type="dxa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b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b/>
                      <w:szCs w:val="24"/>
                      <w:highlight w:val="yellow"/>
                      <w:bdr w:val="none" w:sz="0" w:space="0" w:color="auto" w:frame="1"/>
                    </w:rPr>
                    <w:t>enforcing laws and regulations that protect health and ensure safety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B7ACE" w:rsidRPr="00CB7ACE" w:rsidRDefault="00CB7ACE" w:rsidP="00CB7ACE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444444"/>
          <w:sz w:val="23"/>
          <w:szCs w:val="23"/>
        </w:rPr>
      </w:pPr>
      <w:r w:rsidRPr="00CB7ACE">
        <w:rPr>
          <w:rFonts w:ascii="inherit" w:eastAsia="Times New Roman" w:hAnsi="inherit" w:cs="Helvetica"/>
          <w:b/>
          <w:bCs/>
          <w:color w:val="444444"/>
          <w:sz w:val="23"/>
          <w:szCs w:val="23"/>
        </w:rPr>
        <w:t>Question 10</w:t>
      </w:r>
    </w:p>
    <w:p w:rsidR="00CB7ACE" w:rsidRPr="00CB7ACE" w:rsidRDefault="00CB7ACE" w:rsidP="00CB7ACE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444444"/>
          <w:sz w:val="19"/>
          <w:szCs w:val="19"/>
        </w:rPr>
      </w:pPr>
      <w:bookmarkStart w:id="0" w:name="_GoBack"/>
      <w:bookmarkEnd w:id="0"/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CB7ACE" w:rsidRPr="00CB7ACE" w:rsidTr="00CB7ACE">
        <w:tc>
          <w:tcPr>
            <w:tcW w:w="0" w:type="auto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Helvetica"/>
                <w:color w:val="444444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 w:val="restar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 xml:space="preserve">According to a national survey of local health departments in 2013, approximately what percentage of local health jurisdictions had completed a community health improvement plan in the previous 3 </w:t>
            </w:r>
            <w:proofErr w:type="gramStart"/>
            <w:r w:rsidRPr="00CB7ACE">
              <w:rPr>
                <w:rFonts w:ascii="Times New Roman" w:eastAsia="Times New Roman" w:hAnsi="Times New Roman" w:cs="Times New Roman"/>
                <w:szCs w:val="24"/>
                <w:bdr w:val="none" w:sz="0" w:space="0" w:color="auto" w:frame="1"/>
              </w:rPr>
              <w:t>years</w:t>
            </w:r>
            <w:r w:rsidRPr="00CB7ACE">
              <w:rPr>
                <w:rFonts w:ascii="inherit" w:eastAsia="Times New Roman" w:hAnsi="inherit" w:cs="Times New Roman"/>
                <w:sz w:val="20"/>
                <w:szCs w:val="20"/>
              </w:rPr>
              <w:t> ?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B7ACE" w:rsidRPr="00CB7ACE" w:rsidTr="00CB7ACE">
        <w:tc>
          <w:tcPr>
            <w:tcW w:w="0" w:type="auto"/>
            <w:vMerge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07"/>
              <w:gridCol w:w="590"/>
            </w:tblGrid>
            <w:tr w:rsidR="00CB7ACE" w:rsidRPr="00CB7ACE"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CB7ACE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10%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30%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highlight w:val="yellow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highlight w:val="yellow"/>
                      <w:bdr w:val="none" w:sz="0" w:space="0" w:color="auto" w:frame="1"/>
                    </w:rPr>
                    <w:t>50%</w:t>
                  </w:r>
                </w:p>
              </w:tc>
            </w:tr>
            <w:tr w:rsidR="00CB7ACE" w:rsidRPr="00CB7ACE">
              <w:tc>
                <w:tcPr>
                  <w:tcW w:w="0" w:type="auto"/>
                  <w:vAlign w:val="center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CB7ACE" w:rsidRPr="00CB7ACE" w:rsidRDefault="00CB7ACE" w:rsidP="00CB7ACE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CB7ACE">
                    <w:rPr>
                      <w:rFonts w:ascii="Times New Roman" w:eastAsia="Times New Roman" w:hAnsi="Times New Roman" w:cs="Times New Roman"/>
                      <w:szCs w:val="24"/>
                      <w:bdr w:val="none" w:sz="0" w:space="0" w:color="auto" w:frame="1"/>
                    </w:rPr>
                    <w:t>70%</w:t>
                  </w:r>
                </w:p>
              </w:tc>
            </w:tr>
          </w:tbl>
          <w:p w:rsidR="00CB7ACE" w:rsidRPr="00CB7ACE" w:rsidRDefault="00CB7ACE" w:rsidP="00CB7ACE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CB7ACE" w:rsidRPr="00CB7ACE" w:rsidRDefault="00CB7ACE" w:rsidP="00CB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9131F" w:rsidRDefault="009F4C66"/>
    <w:sectPr w:rsidR="001913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264850"/>
    <w:multiLevelType w:val="multilevel"/>
    <w:tmpl w:val="E6BE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ACE"/>
    <w:rsid w:val="001D6E7F"/>
    <w:rsid w:val="00235183"/>
    <w:rsid w:val="00301469"/>
    <w:rsid w:val="003A165C"/>
    <w:rsid w:val="0080242B"/>
    <w:rsid w:val="009B7BDD"/>
    <w:rsid w:val="009F4C66"/>
    <w:rsid w:val="00A4329E"/>
    <w:rsid w:val="00CB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74492-6B84-4D9B-BC72-89C6F8F40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5183"/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CB7A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B7ACE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CB7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NormalWeb">
    <w:name w:val="Normal (Web)"/>
    <w:basedOn w:val="Normal"/>
    <w:uiPriority w:val="99"/>
    <w:semiHidden/>
    <w:unhideWhenUsed/>
    <w:rsid w:val="00CB7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label">
    <w:name w:val="label"/>
    <w:basedOn w:val="DefaultParagraphFont"/>
    <w:rsid w:val="00CB7ACE"/>
  </w:style>
  <w:style w:type="character" w:customStyle="1" w:styleId="answertextspan">
    <w:name w:val="answertextspan"/>
    <w:basedOn w:val="DefaultParagraphFont"/>
    <w:rsid w:val="00CB7ACE"/>
  </w:style>
  <w:style w:type="character" w:customStyle="1" w:styleId="apple-converted-space">
    <w:name w:val="apple-converted-space"/>
    <w:basedOn w:val="DefaultParagraphFont"/>
    <w:rsid w:val="00CB7A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0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8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2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9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53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9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9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3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40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76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66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7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0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38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62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2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7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8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8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48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2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77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1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0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5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4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32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0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0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7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50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8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5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64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7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64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1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37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0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5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9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10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0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0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5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43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9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44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28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6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12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31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78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83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PA forma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Houng</dc:creator>
  <cp:keywords/>
  <dc:description/>
  <cp:lastModifiedBy>Sonal</cp:lastModifiedBy>
  <cp:revision>2</cp:revision>
  <dcterms:created xsi:type="dcterms:W3CDTF">2017-11-19T22:13:00Z</dcterms:created>
  <dcterms:modified xsi:type="dcterms:W3CDTF">2021-02-06T05:05:00Z</dcterms:modified>
</cp:coreProperties>
</file>