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BCBA7" w14:textId="6B199028" w:rsidR="00A32CE3" w:rsidRPr="00267DA0" w:rsidRDefault="00A32CE3" w:rsidP="003A23BA">
      <w:pPr>
        <w:spacing w:after="0" w:line="480" w:lineRule="auto"/>
        <w:jc w:val="center"/>
        <w:rPr>
          <w:rFonts w:ascii="Times New Roman" w:hAnsi="Times New Roman" w:cs="Times New Roman"/>
          <w:sz w:val="24"/>
          <w:szCs w:val="24"/>
        </w:rPr>
      </w:pPr>
      <w:r w:rsidRPr="00267DA0">
        <w:rPr>
          <w:rFonts w:ascii="Times New Roman" w:hAnsi="Times New Roman" w:cs="Times New Roman"/>
          <w:sz w:val="24"/>
          <w:szCs w:val="24"/>
        </w:rPr>
        <w:t>Theories and Techniques</w:t>
      </w:r>
    </w:p>
    <w:p w14:paraId="2950B131" w14:textId="5E1DE877" w:rsidR="00A32CE3" w:rsidRPr="00267DA0" w:rsidRDefault="00A32CE3" w:rsidP="003A23BA">
      <w:pPr>
        <w:spacing w:after="0" w:line="480" w:lineRule="auto"/>
        <w:rPr>
          <w:rFonts w:ascii="Times New Roman" w:hAnsi="Times New Roman" w:cs="Times New Roman"/>
          <w:sz w:val="24"/>
          <w:szCs w:val="24"/>
        </w:rPr>
      </w:pPr>
      <w:r w:rsidRPr="00267DA0">
        <w:rPr>
          <w:rFonts w:ascii="Times New Roman" w:hAnsi="Times New Roman" w:cs="Times New Roman"/>
          <w:sz w:val="24"/>
          <w:szCs w:val="24"/>
        </w:rPr>
        <w:t>A. Explain the five steps of the theory of constraints (TOC) process. To what processes might the company in the case study apply TOC? Why would applying TOC to these processes be advantageous?</w:t>
      </w:r>
    </w:p>
    <w:p w14:paraId="5E3768AA" w14:textId="2257253D" w:rsidR="00857765" w:rsidRPr="00267DA0" w:rsidRDefault="00295050" w:rsidP="003A23BA">
      <w:pPr>
        <w:spacing w:after="0" w:line="480" w:lineRule="auto"/>
        <w:ind w:firstLine="720"/>
        <w:rPr>
          <w:rFonts w:ascii="Times New Roman" w:hAnsi="Times New Roman" w:cs="Times New Roman"/>
          <w:sz w:val="24"/>
          <w:szCs w:val="24"/>
        </w:rPr>
      </w:pPr>
      <w:r w:rsidRPr="00267DA0">
        <w:rPr>
          <w:rFonts w:ascii="Times New Roman" w:hAnsi="Times New Roman" w:cs="Times New Roman"/>
          <w:sz w:val="24"/>
          <w:szCs w:val="24"/>
        </w:rPr>
        <w:t>The Theory of Constraints (TOC) process is a five-step guideline that can be used to overcome physical and non-physical constraints that limit an organization’s ability to meet its objective</w:t>
      </w:r>
      <w:r w:rsidR="003D5C3A">
        <w:rPr>
          <w:rFonts w:ascii="Times New Roman" w:hAnsi="Times New Roman" w:cs="Times New Roman"/>
          <w:sz w:val="24"/>
          <w:szCs w:val="24"/>
        </w:rPr>
        <w:t xml:space="preserve"> (Heizer, Render &amp; Munson, 2016)</w:t>
      </w:r>
      <w:r w:rsidRPr="00267DA0">
        <w:rPr>
          <w:rFonts w:ascii="Times New Roman" w:hAnsi="Times New Roman" w:cs="Times New Roman"/>
          <w:sz w:val="24"/>
          <w:szCs w:val="24"/>
        </w:rPr>
        <w:t>. The five steps of the TOC process are: identification of constraints; c</w:t>
      </w:r>
      <w:r w:rsidR="00F3026E" w:rsidRPr="00267DA0">
        <w:rPr>
          <w:rFonts w:ascii="Times New Roman" w:hAnsi="Times New Roman" w:cs="Times New Roman"/>
          <w:sz w:val="24"/>
          <w:szCs w:val="24"/>
        </w:rPr>
        <w:t>reati</w:t>
      </w:r>
      <w:r w:rsidRPr="00267DA0">
        <w:rPr>
          <w:rFonts w:ascii="Times New Roman" w:hAnsi="Times New Roman" w:cs="Times New Roman"/>
          <w:sz w:val="24"/>
          <w:szCs w:val="24"/>
        </w:rPr>
        <w:t>on of</w:t>
      </w:r>
      <w:r w:rsidR="00F3026E" w:rsidRPr="00267DA0">
        <w:rPr>
          <w:rFonts w:ascii="Times New Roman" w:hAnsi="Times New Roman" w:cs="Times New Roman"/>
          <w:sz w:val="24"/>
          <w:szCs w:val="24"/>
        </w:rPr>
        <w:t xml:space="preserve"> a plan to resolve the constraints</w:t>
      </w:r>
      <w:r w:rsidRPr="00267DA0">
        <w:rPr>
          <w:rFonts w:ascii="Times New Roman" w:hAnsi="Times New Roman" w:cs="Times New Roman"/>
          <w:sz w:val="24"/>
          <w:szCs w:val="24"/>
        </w:rPr>
        <w:t>; r</w:t>
      </w:r>
      <w:r w:rsidR="00F3026E" w:rsidRPr="00267DA0">
        <w:rPr>
          <w:rFonts w:ascii="Times New Roman" w:hAnsi="Times New Roman" w:cs="Times New Roman"/>
          <w:sz w:val="24"/>
          <w:szCs w:val="24"/>
        </w:rPr>
        <w:t>edirect</w:t>
      </w:r>
      <w:r w:rsidRPr="00267DA0">
        <w:rPr>
          <w:rFonts w:ascii="Times New Roman" w:hAnsi="Times New Roman" w:cs="Times New Roman"/>
          <w:sz w:val="24"/>
          <w:szCs w:val="24"/>
        </w:rPr>
        <w:t>ion of</w:t>
      </w:r>
      <w:r w:rsidR="00F3026E" w:rsidRPr="00267DA0">
        <w:rPr>
          <w:rFonts w:ascii="Times New Roman" w:hAnsi="Times New Roman" w:cs="Times New Roman"/>
          <w:sz w:val="24"/>
          <w:szCs w:val="24"/>
        </w:rPr>
        <w:t xml:space="preserve"> resources to </w:t>
      </w:r>
      <w:r w:rsidR="005E4261" w:rsidRPr="00267DA0">
        <w:rPr>
          <w:rFonts w:ascii="Times New Roman" w:hAnsi="Times New Roman" w:cs="Times New Roman"/>
          <w:sz w:val="24"/>
          <w:szCs w:val="24"/>
        </w:rPr>
        <w:t>implemen</w:t>
      </w:r>
      <w:r w:rsidRPr="00267DA0">
        <w:rPr>
          <w:rFonts w:ascii="Times New Roman" w:hAnsi="Times New Roman" w:cs="Times New Roman"/>
          <w:sz w:val="24"/>
          <w:szCs w:val="24"/>
        </w:rPr>
        <w:t>t</w:t>
      </w:r>
      <w:r w:rsidR="005E4261" w:rsidRPr="00267DA0">
        <w:rPr>
          <w:rFonts w:ascii="Times New Roman" w:hAnsi="Times New Roman" w:cs="Times New Roman"/>
          <w:sz w:val="24"/>
          <w:szCs w:val="24"/>
        </w:rPr>
        <w:t xml:space="preserve"> the constraint resolution plan</w:t>
      </w:r>
      <w:r w:rsidRPr="00267DA0">
        <w:rPr>
          <w:rFonts w:ascii="Times New Roman" w:hAnsi="Times New Roman" w:cs="Times New Roman"/>
          <w:sz w:val="24"/>
          <w:szCs w:val="24"/>
        </w:rPr>
        <w:t>; m</w:t>
      </w:r>
      <w:r w:rsidR="00857765" w:rsidRPr="00267DA0">
        <w:rPr>
          <w:rFonts w:ascii="Times New Roman" w:hAnsi="Times New Roman" w:cs="Times New Roman"/>
          <w:sz w:val="24"/>
          <w:szCs w:val="24"/>
        </w:rPr>
        <w:t>itigat</w:t>
      </w:r>
      <w:r w:rsidRPr="00267DA0">
        <w:rPr>
          <w:rFonts w:ascii="Times New Roman" w:hAnsi="Times New Roman" w:cs="Times New Roman"/>
          <w:sz w:val="24"/>
          <w:szCs w:val="24"/>
        </w:rPr>
        <w:t>ion of</w:t>
      </w:r>
      <w:r w:rsidR="00857765" w:rsidRPr="00267DA0">
        <w:rPr>
          <w:rFonts w:ascii="Times New Roman" w:hAnsi="Times New Roman" w:cs="Times New Roman"/>
          <w:sz w:val="24"/>
          <w:szCs w:val="24"/>
        </w:rPr>
        <w:t xml:space="preserve"> the effects of the constraints by expanding organizational capabilities or offloading work</w:t>
      </w:r>
      <w:r w:rsidRPr="00267DA0">
        <w:rPr>
          <w:rFonts w:ascii="Times New Roman" w:hAnsi="Times New Roman" w:cs="Times New Roman"/>
          <w:sz w:val="24"/>
          <w:szCs w:val="24"/>
        </w:rPr>
        <w:t>; and repetition of</w:t>
      </w:r>
      <w:r w:rsidR="00857765" w:rsidRPr="00267DA0">
        <w:rPr>
          <w:rFonts w:ascii="Times New Roman" w:hAnsi="Times New Roman" w:cs="Times New Roman"/>
          <w:sz w:val="24"/>
          <w:szCs w:val="24"/>
        </w:rPr>
        <w:t xml:space="preserve"> the process once one set of constraints is overcome</w:t>
      </w:r>
      <w:r w:rsidR="003D5C3A">
        <w:rPr>
          <w:rFonts w:ascii="Times New Roman" w:hAnsi="Times New Roman" w:cs="Times New Roman"/>
          <w:sz w:val="24"/>
          <w:szCs w:val="24"/>
        </w:rPr>
        <w:t xml:space="preserve"> (Heizer et al., 2016)</w:t>
      </w:r>
      <w:r w:rsidR="009C42E4" w:rsidRPr="00267DA0">
        <w:rPr>
          <w:rFonts w:ascii="Times New Roman" w:hAnsi="Times New Roman" w:cs="Times New Roman"/>
          <w:sz w:val="24"/>
          <w:szCs w:val="24"/>
        </w:rPr>
        <w:t>.</w:t>
      </w:r>
    </w:p>
    <w:p w14:paraId="001BEF71" w14:textId="77777777" w:rsidR="003A23BA" w:rsidRDefault="004E5506" w:rsidP="003A23BA">
      <w:pPr>
        <w:spacing w:after="0" w:line="480" w:lineRule="auto"/>
        <w:ind w:firstLine="720"/>
        <w:rPr>
          <w:rFonts w:ascii="Times New Roman" w:hAnsi="Times New Roman" w:cs="Times New Roman"/>
          <w:sz w:val="24"/>
          <w:szCs w:val="24"/>
        </w:rPr>
      </w:pPr>
      <w:r w:rsidRPr="00267DA0">
        <w:rPr>
          <w:rFonts w:ascii="Times New Roman" w:hAnsi="Times New Roman" w:cs="Times New Roman"/>
          <w:sz w:val="24"/>
          <w:szCs w:val="24"/>
        </w:rPr>
        <w:t>The company can apply the TOC process at an organizational level and at a process level. At the organizational level, TOC can be used to identify the broad constraints that limit BYD’s ability to be a market leader in the</w:t>
      </w:r>
      <w:r w:rsidR="003A23BA">
        <w:rPr>
          <w:rFonts w:ascii="Times New Roman" w:hAnsi="Times New Roman" w:cs="Times New Roman"/>
          <w:sz w:val="24"/>
          <w:szCs w:val="24"/>
        </w:rPr>
        <w:t xml:space="preserve"> manufacture of</w:t>
      </w:r>
      <w:r w:rsidRPr="00267DA0">
        <w:rPr>
          <w:rFonts w:ascii="Times New Roman" w:hAnsi="Times New Roman" w:cs="Times New Roman"/>
          <w:sz w:val="24"/>
          <w:szCs w:val="24"/>
        </w:rPr>
        <w:t xml:space="preserve"> electric vehicle</w:t>
      </w:r>
      <w:r w:rsidR="003A23BA">
        <w:rPr>
          <w:rFonts w:ascii="Times New Roman" w:hAnsi="Times New Roman" w:cs="Times New Roman"/>
          <w:sz w:val="24"/>
          <w:szCs w:val="24"/>
        </w:rPr>
        <w:t>s</w:t>
      </w:r>
      <w:r w:rsidR="00681B9A" w:rsidRPr="00267DA0">
        <w:rPr>
          <w:rFonts w:ascii="Times New Roman" w:hAnsi="Times New Roman" w:cs="Times New Roman"/>
          <w:sz w:val="24"/>
          <w:szCs w:val="24"/>
        </w:rPr>
        <w:t xml:space="preserve">. The physical constraints that might be identified at this level are battery-related: cost of battery, short-term and long-term durability of the battery, affordability and proximity of consumers to charging stations. </w:t>
      </w:r>
      <w:r w:rsidR="00CB0E22" w:rsidRPr="00267DA0">
        <w:rPr>
          <w:rFonts w:ascii="Times New Roman" w:hAnsi="Times New Roman" w:cs="Times New Roman"/>
          <w:sz w:val="24"/>
          <w:szCs w:val="24"/>
        </w:rPr>
        <w:t>The subsequent TOC steps are best implemented at a process level. BYD can identify the</w:t>
      </w:r>
      <w:r w:rsidR="00262A47" w:rsidRPr="00267DA0">
        <w:rPr>
          <w:rFonts w:ascii="Times New Roman" w:hAnsi="Times New Roman" w:cs="Times New Roman"/>
          <w:sz w:val="24"/>
          <w:szCs w:val="24"/>
        </w:rPr>
        <w:t xml:space="preserve"> costliest</w:t>
      </w:r>
      <w:r w:rsidR="00CB0E22" w:rsidRPr="00267DA0">
        <w:rPr>
          <w:rFonts w:ascii="Times New Roman" w:hAnsi="Times New Roman" w:cs="Times New Roman"/>
          <w:sz w:val="24"/>
          <w:szCs w:val="24"/>
        </w:rPr>
        <w:t xml:space="preserve"> processes in the manufacture of car batteries and create a plan to reduce the process cost. The company will then commit resources to the implementation of the plan and improve organizational capabilities in the area. </w:t>
      </w:r>
    </w:p>
    <w:p w14:paraId="03BB7303" w14:textId="2EA6AF8C" w:rsidR="008F3701" w:rsidRPr="00267DA0" w:rsidRDefault="00681B9A" w:rsidP="003A23BA">
      <w:pPr>
        <w:spacing w:after="0" w:line="480" w:lineRule="auto"/>
        <w:ind w:firstLine="720"/>
        <w:rPr>
          <w:rFonts w:ascii="Times New Roman" w:hAnsi="Times New Roman" w:cs="Times New Roman"/>
          <w:sz w:val="24"/>
          <w:szCs w:val="24"/>
        </w:rPr>
      </w:pPr>
      <w:r w:rsidRPr="00267DA0">
        <w:rPr>
          <w:rFonts w:ascii="Times New Roman" w:hAnsi="Times New Roman" w:cs="Times New Roman"/>
          <w:sz w:val="24"/>
          <w:szCs w:val="24"/>
        </w:rPr>
        <w:t xml:space="preserve">While BYD currently uses environmentally friendly batteries, the solution of one of the aforementioned constraints such as battery cost could jeopardize the battery’s environmental friendliness; thus, the company should cycle through the five processes until all constraints are </w:t>
      </w:r>
      <w:r w:rsidRPr="00267DA0">
        <w:rPr>
          <w:rFonts w:ascii="Times New Roman" w:hAnsi="Times New Roman" w:cs="Times New Roman"/>
          <w:sz w:val="24"/>
          <w:szCs w:val="24"/>
        </w:rPr>
        <w:lastRenderedPageBreak/>
        <w:t>resolved. The TOC method allows the company to be familiar with all relevant constraints in its process and focus on the most pressing limitations. Further, using the TOC method, management can note the side effects of certain solutions and use a cost-benefit approach to determine whether the outcome justifies the costs.</w:t>
      </w:r>
      <w:r w:rsidR="003A23BA">
        <w:rPr>
          <w:rFonts w:ascii="Times New Roman" w:hAnsi="Times New Roman" w:cs="Times New Roman"/>
          <w:sz w:val="24"/>
          <w:szCs w:val="24"/>
        </w:rPr>
        <w:t xml:space="preserve"> If the cost arising from the side effect is deemed to high, management will halt the implementation of the solution and engineer a better solution to the constrain; thus, eliminating the cost of fixing the adversarial side effect.</w:t>
      </w:r>
    </w:p>
    <w:p w14:paraId="00CC6225" w14:textId="77777777" w:rsidR="00A32CE3" w:rsidRPr="00267DA0" w:rsidRDefault="00A32CE3" w:rsidP="003A23BA">
      <w:pPr>
        <w:spacing w:after="0" w:line="480" w:lineRule="auto"/>
        <w:rPr>
          <w:rFonts w:ascii="Times New Roman" w:hAnsi="Times New Roman" w:cs="Times New Roman"/>
          <w:sz w:val="24"/>
          <w:szCs w:val="24"/>
        </w:rPr>
      </w:pPr>
      <w:r w:rsidRPr="00267DA0">
        <w:rPr>
          <w:rFonts w:ascii="Times New Roman" w:hAnsi="Times New Roman" w:cs="Times New Roman"/>
          <w:sz w:val="24"/>
          <w:szCs w:val="24"/>
        </w:rPr>
        <w:t>B. Describe how total quality management (TQM) principles and tools can be used to improve quality in the latest line of products in the context of the case study.</w:t>
      </w:r>
    </w:p>
    <w:p w14:paraId="150CCD5C" w14:textId="22F32DFE" w:rsidR="00B42D9A" w:rsidRPr="00267DA0" w:rsidRDefault="00E3552D" w:rsidP="00786859">
      <w:pPr>
        <w:spacing w:after="0" w:line="480" w:lineRule="auto"/>
        <w:ind w:firstLine="720"/>
        <w:rPr>
          <w:rFonts w:ascii="Times New Roman" w:hAnsi="Times New Roman" w:cs="Times New Roman"/>
          <w:sz w:val="24"/>
          <w:szCs w:val="24"/>
        </w:rPr>
      </w:pPr>
      <w:r w:rsidRPr="00267DA0">
        <w:rPr>
          <w:rFonts w:ascii="Times New Roman" w:hAnsi="Times New Roman" w:cs="Times New Roman"/>
          <w:sz w:val="24"/>
          <w:szCs w:val="24"/>
        </w:rPr>
        <w:t>T</w:t>
      </w:r>
      <w:r w:rsidR="009C42E4" w:rsidRPr="00267DA0">
        <w:rPr>
          <w:rFonts w:ascii="Times New Roman" w:hAnsi="Times New Roman" w:cs="Times New Roman"/>
          <w:sz w:val="24"/>
          <w:szCs w:val="24"/>
        </w:rPr>
        <w:t xml:space="preserve">otal Quality Management (TQM) </w:t>
      </w:r>
      <w:r w:rsidRPr="00267DA0">
        <w:rPr>
          <w:rFonts w:ascii="Times New Roman" w:hAnsi="Times New Roman" w:cs="Times New Roman"/>
          <w:sz w:val="24"/>
          <w:szCs w:val="24"/>
        </w:rPr>
        <w:t>refers to a perpetual process of product improvement that encompasses the entire organization. BYD can use the plan-do-check-act principle that is central to the TQM philosophy</w:t>
      </w:r>
      <w:r w:rsidR="00786859">
        <w:rPr>
          <w:rFonts w:ascii="Times New Roman" w:hAnsi="Times New Roman" w:cs="Times New Roman"/>
          <w:sz w:val="24"/>
          <w:szCs w:val="24"/>
        </w:rPr>
        <w:t xml:space="preserve"> to ensure perpetual improvement of its ferrous lithium battery. A TQM tool that could be implemented to resolve the company’s cost problem is i</w:t>
      </w:r>
      <w:r w:rsidRPr="00267DA0">
        <w:rPr>
          <w:rFonts w:ascii="Times New Roman" w:hAnsi="Times New Roman" w:cs="Times New Roman"/>
          <w:sz w:val="24"/>
          <w:szCs w:val="24"/>
        </w:rPr>
        <w:t>nternal benchmarking of cost-effective departments</w:t>
      </w:r>
      <w:r w:rsidR="00786859">
        <w:rPr>
          <w:rFonts w:ascii="Times New Roman" w:hAnsi="Times New Roman" w:cs="Times New Roman"/>
          <w:sz w:val="24"/>
          <w:szCs w:val="24"/>
        </w:rPr>
        <w:t xml:space="preserve"> and implementation of the cost-cutting strategies to other departments</w:t>
      </w:r>
      <w:r w:rsidRPr="00267DA0">
        <w:rPr>
          <w:rFonts w:ascii="Times New Roman" w:hAnsi="Times New Roman" w:cs="Times New Roman"/>
          <w:sz w:val="24"/>
          <w:szCs w:val="24"/>
        </w:rPr>
        <w:t xml:space="preserve">. </w:t>
      </w:r>
      <w:r w:rsidR="00786859">
        <w:rPr>
          <w:rFonts w:ascii="Times New Roman" w:hAnsi="Times New Roman" w:cs="Times New Roman"/>
          <w:sz w:val="24"/>
          <w:szCs w:val="24"/>
        </w:rPr>
        <w:t>BYD would also benefit from</w:t>
      </w:r>
      <w:r w:rsidRPr="00267DA0">
        <w:rPr>
          <w:rFonts w:ascii="Times New Roman" w:hAnsi="Times New Roman" w:cs="Times New Roman"/>
          <w:sz w:val="24"/>
          <w:szCs w:val="24"/>
        </w:rPr>
        <w:t xml:space="preserve"> external benchmarking of companies</w:t>
      </w:r>
      <w:r w:rsidR="00786859">
        <w:rPr>
          <w:rFonts w:ascii="Times New Roman" w:hAnsi="Times New Roman" w:cs="Times New Roman"/>
          <w:sz w:val="24"/>
          <w:szCs w:val="24"/>
        </w:rPr>
        <w:t xml:space="preserve"> that </w:t>
      </w:r>
      <w:r w:rsidRPr="00267DA0">
        <w:rPr>
          <w:rFonts w:ascii="Times New Roman" w:hAnsi="Times New Roman" w:cs="Times New Roman"/>
          <w:sz w:val="24"/>
          <w:szCs w:val="24"/>
        </w:rPr>
        <w:t>surpass</w:t>
      </w:r>
      <w:r w:rsidR="00786859">
        <w:rPr>
          <w:rFonts w:ascii="Times New Roman" w:hAnsi="Times New Roman" w:cs="Times New Roman"/>
          <w:sz w:val="24"/>
          <w:szCs w:val="24"/>
        </w:rPr>
        <w:t xml:space="preserve"> it</w:t>
      </w:r>
      <w:r w:rsidRPr="00267DA0">
        <w:rPr>
          <w:rFonts w:ascii="Times New Roman" w:hAnsi="Times New Roman" w:cs="Times New Roman"/>
          <w:sz w:val="24"/>
          <w:szCs w:val="24"/>
        </w:rPr>
        <w:t xml:space="preserve"> in some critical aspect</w:t>
      </w:r>
      <w:r w:rsidR="00786859">
        <w:rPr>
          <w:rFonts w:ascii="Times New Roman" w:hAnsi="Times New Roman" w:cs="Times New Roman"/>
          <w:sz w:val="24"/>
          <w:szCs w:val="24"/>
        </w:rPr>
        <w:t xml:space="preserve"> of electric vehicle manufacture</w:t>
      </w:r>
      <w:r w:rsidRPr="00267DA0">
        <w:rPr>
          <w:rFonts w:ascii="Times New Roman" w:hAnsi="Times New Roman" w:cs="Times New Roman"/>
          <w:sz w:val="24"/>
          <w:szCs w:val="24"/>
        </w:rPr>
        <w:t xml:space="preserve"> such as </w:t>
      </w:r>
      <w:r w:rsidR="00786859">
        <w:rPr>
          <w:rFonts w:ascii="Times New Roman" w:hAnsi="Times New Roman" w:cs="Times New Roman"/>
          <w:sz w:val="24"/>
          <w:szCs w:val="24"/>
        </w:rPr>
        <w:t xml:space="preserve">Tesla’s </w:t>
      </w:r>
      <w:r w:rsidRPr="00267DA0">
        <w:rPr>
          <w:rFonts w:ascii="Times New Roman" w:hAnsi="Times New Roman" w:cs="Times New Roman"/>
          <w:sz w:val="24"/>
          <w:szCs w:val="24"/>
        </w:rPr>
        <w:t xml:space="preserve">provision of </w:t>
      </w:r>
      <w:r w:rsidR="00786859">
        <w:rPr>
          <w:rFonts w:ascii="Times New Roman" w:hAnsi="Times New Roman" w:cs="Times New Roman"/>
          <w:sz w:val="24"/>
          <w:szCs w:val="24"/>
        </w:rPr>
        <w:t xml:space="preserve">sufficient and conveniently placed superchargers for the users of its hybrid and electric vehicles. </w:t>
      </w:r>
      <w:r w:rsidR="002B12B4" w:rsidRPr="00267DA0">
        <w:rPr>
          <w:rFonts w:ascii="Times New Roman" w:hAnsi="Times New Roman" w:cs="Times New Roman"/>
          <w:sz w:val="24"/>
          <w:szCs w:val="24"/>
        </w:rPr>
        <w:t xml:space="preserve">TQM principles and tools should be used by all department managers in BYD. </w:t>
      </w:r>
      <w:r w:rsidR="00786859">
        <w:rPr>
          <w:rFonts w:ascii="Times New Roman" w:hAnsi="Times New Roman" w:cs="Times New Roman"/>
          <w:sz w:val="24"/>
          <w:szCs w:val="24"/>
        </w:rPr>
        <w:t>At the departmental level, managers and supervisors can</w:t>
      </w:r>
      <w:r w:rsidR="002B12B4" w:rsidRPr="00267DA0">
        <w:rPr>
          <w:rFonts w:ascii="Times New Roman" w:hAnsi="Times New Roman" w:cs="Times New Roman"/>
          <w:sz w:val="24"/>
          <w:szCs w:val="24"/>
        </w:rPr>
        <w:t xml:space="preserve"> use TQM tools such as cause-effect diagrams, flow charts, and statistical process control charts within Six-Sigma’s DMAIC paradigm</w:t>
      </w:r>
      <w:r w:rsidR="00786859">
        <w:rPr>
          <w:rFonts w:ascii="Times New Roman" w:hAnsi="Times New Roman" w:cs="Times New Roman"/>
          <w:sz w:val="24"/>
          <w:szCs w:val="24"/>
        </w:rPr>
        <w:t xml:space="preserve"> to identify problem areas in the manufacturing process and areas that can be improved for higher quality and cost-effective products.</w:t>
      </w:r>
    </w:p>
    <w:p w14:paraId="7CC4D1BD" w14:textId="5C2BBD4C" w:rsidR="00A32CE3" w:rsidRPr="00267DA0" w:rsidRDefault="00A32CE3" w:rsidP="003A23BA">
      <w:pPr>
        <w:spacing w:after="0" w:line="480" w:lineRule="auto"/>
        <w:jc w:val="center"/>
        <w:rPr>
          <w:rFonts w:ascii="Times New Roman" w:hAnsi="Times New Roman" w:cs="Times New Roman"/>
          <w:sz w:val="24"/>
          <w:szCs w:val="24"/>
        </w:rPr>
      </w:pPr>
      <w:r w:rsidRPr="00267DA0">
        <w:rPr>
          <w:rFonts w:ascii="Times New Roman" w:hAnsi="Times New Roman" w:cs="Times New Roman"/>
          <w:sz w:val="24"/>
          <w:szCs w:val="24"/>
        </w:rPr>
        <w:t>Data Analysis</w:t>
      </w:r>
    </w:p>
    <w:p w14:paraId="25AF2C9C" w14:textId="77777777" w:rsidR="00A32CE3" w:rsidRPr="00267DA0" w:rsidRDefault="00A32CE3" w:rsidP="003A23BA">
      <w:pPr>
        <w:spacing w:after="0" w:line="480" w:lineRule="auto"/>
        <w:rPr>
          <w:rFonts w:ascii="Times New Roman" w:hAnsi="Times New Roman" w:cs="Times New Roman"/>
          <w:sz w:val="24"/>
          <w:szCs w:val="24"/>
        </w:rPr>
      </w:pPr>
      <w:r w:rsidRPr="00267DA0">
        <w:rPr>
          <w:rFonts w:ascii="Times New Roman" w:hAnsi="Times New Roman" w:cs="Times New Roman"/>
          <w:sz w:val="24"/>
          <w:szCs w:val="24"/>
        </w:rPr>
        <w:lastRenderedPageBreak/>
        <w:t xml:space="preserve">A. Draw a cause-and-effect diagram that assesses why some of the company’s supply chain partners might have struggled to implement some of the company’s newly developed materials. Summarize your findings from the diagram. </w:t>
      </w:r>
    </w:p>
    <w:p w14:paraId="38E6C4A0" w14:textId="43F48B01" w:rsidR="006E53EB" w:rsidRPr="00267DA0" w:rsidRDefault="006A28E8" w:rsidP="003A23BA">
      <w:pPr>
        <w:spacing w:after="0" w:line="480" w:lineRule="auto"/>
        <w:rPr>
          <w:rFonts w:ascii="Times New Roman" w:hAnsi="Times New Roman" w:cs="Times New Roman"/>
          <w:sz w:val="24"/>
          <w:szCs w:val="24"/>
        </w:rPr>
      </w:pPr>
      <w:r w:rsidRPr="00267DA0">
        <w:rPr>
          <w:rFonts w:ascii="Times New Roman" w:hAnsi="Times New Roman" w:cs="Times New Roman"/>
          <w:noProof/>
          <w:sz w:val="24"/>
          <w:szCs w:val="24"/>
        </w:rPr>
        <w:drawing>
          <wp:inline distT="0" distB="0" distL="0" distR="0" wp14:anchorId="17858C18" wp14:editId="0072A9CA">
            <wp:extent cx="6629400" cy="3067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366).png"/>
                    <pic:cNvPicPr/>
                  </pic:nvPicPr>
                  <pic:blipFill rotWithShape="1">
                    <a:blip r:embed="rId4">
                      <a:extLst>
                        <a:ext uri="{28A0092B-C50C-407E-A947-70E740481C1C}">
                          <a14:useLocalDpi xmlns:a14="http://schemas.microsoft.com/office/drawing/2010/main" val="0"/>
                        </a:ext>
                      </a:extLst>
                    </a:blip>
                    <a:srcRect l="1602" t="37060" r="12339" b="11914"/>
                    <a:stretch/>
                  </pic:blipFill>
                  <pic:spPr bwMode="auto">
                    <a:xfrm>
                      <a:off x="0" y="0"/>
                      <a:ext cx="6629400" cy="3067050"/>
                    </a:xfrm>
                    <a:prstGeom prst="rect">
                      <a:avLst/>
                    </a:prstGeom>
                    <a:ln>
                      <a:noFill/>
                    </a:ln>
                    <a:extLst>
                      <a:ext uri="{53640926-AAD7-44D8-BBD7-CCE9431645EC}">
                        <a14:shadowObscured xmlns:a14="http://schemas.microsoft.com/office/drawing/2010/main"/>
                      </a:ext>
                    </a:extLst>
                  </pic:spPr>
                </pic:pic>
              </a:graphicData>
            </a:graphic>
          </wp:inline>
        </w:drawing>
      </w:r>
    </w:p>
    <w:p w14:paraId="285A9757" w14:textId="77777777" w:rsidR="007A254C" w:rsidRDefault="007A254C" w:rsidP="007A254C">
      <w:pPr>
        <w:spacing w:after="0" w:line="480" w:lineRule="auto"/>
        <w:ind w:firstLine="720"/>
        <w:rPr>
          <w:rFonts w:ascii="Times New Roman" w:hAnsi="Times New Roman" w:cs="Times New Roman"/>
          <w:sz w:val="24"/>
          <w:szCs w:val="24"/>
        </w:rPr>
      </w:pPr>
      <w:r w:rsidRPr="007A254C">
        <w:rPr>
          <w:rFonts w:ascii="Times New Roman" w:hAnsi="Times New Roman" w:cs="Times New Roman"/>
          <w:sz w:val="24"/>
          <w:szCs w:val="24"/>
        </w:rPr>
        <w:t xml:space="preserve">The four reasons for supply chain partners’ struggle in the implementation of BYD’s newly developed materials are incompatible processes, low skilled labor, material issues, and unclear usage guidelines. BYD is leading the industry in the development of new technology for Lithium ion batteries. Its supply chain partners might be struggling to implement BYD’s materials due to incompatible processes and technology. This could be due to the unavailability of capital to invest in costly technology. For capital rich supply chain partners, the absence of other customers using similar technology will discourage them from acquiring the technological advancements as they would be beholden to BYD for revenue to recoup the investment amount. </w:t>
      </w:r>
    </w:p>
    <w:p w14:paraId="350AD473" w14:textId="026360F8" w:rsidR="006E53EB" w:rsidRPr="00267DA0" w:rsidRDefault="007A254C" w:rsidP="00165DB1">
      <w:pPr>
        <w:spacing w:after="0" w:line="480" w:lineRule="auto"/>
        <w:ind w:firstLine="720"/>
        <w:rPr>
          <w:rFonts w:ascii="Times New Roman" w:hAnsi="Times New Roman" w:cs="Times New Roman"/>
          <w:sz w:val="24"/>
          <w:szCs w:val="24"/>
        </w:rPr>
      </w:pPr>
      <w:r w:rsidRPr="007A254C">
        <w:rPr>
          <w:rFonts w:ascii="Times New Roman" w:hAnsi="Times New Roman" w:cs="Times New Roman"/>
          <w:sz w:val="24"/>
          <w:szCs w:val="24"/>
        </w:rPr>
        <w:t xml:space="preserve">BYD is able to keep its costs low by employing unskilled labor. Its supply chain partners are also likely to rely on unskilled labor; hence, the lack of expertise to implement the new materials. </w:t>
      </w:r>
      <w:r>
        <w:rPr>
          <w:rFonts w:ascii="Times New Roman" w:hAnsi="Times New Roman" w:cs="Times New Roman"/>
          <w:sz w:val="24"/>
          <w:szCs w:val="24"/>
        </w:rPr>
        <w:t xml:space="preserve">In the same vein, supply chain partners could be keeping their training costs low to </w:t>
      </w:r>
      <w:r>
        <w:rPr>
          <w:rFonts w:ascii="Times New Roman" w:hAnsi="Times New Roman" w:cs="Times New Roman"/>
          <w:sz w:val="24"/>
          <w:szCs w:val="24"/>
        </w:rPr>
        <w:lastRenderedPageBreak/>
        <w:t xml:space="preserve">remain competitive making it difficult for workers to gain the technical know-how to implement the materials. </w:t>
      </w:r>
      <w:r w:rsidRPr="007A254C">
        <w:rPr>
          <w:rFonts w:ascii="Times New Roman" w:hAnsi="Times New Roman" w:cs="Times New Roman"/>
          <w:sz w:val="24"/>
          <w:szCs w:val="24"/>
        </w:rPr>
        <w:t>The materials could be of low quality and fragile requiring supply chain partners to go through a steep learning curve prior to material implementation to prevent wastage.</w:t>
      </w:r>
      <w:r>
        <w:rPr>
          <w:rFonts w:ascii="Times New Roman" w:hAnsi="Times New Roman" w:cs="Times New Roman"/>
          <w:sz w:val="24"/>
          <w:szCs w:val="24"/>
        </w:rPr>
        <w:t xml:space="preserve"> Supply chain partners could also be struggling due to the absence of clear usage guidelines from BYD and from internal supervisors</w:t>
      </w:r>
      <w:r w:rsidR="00165DB1">
        <w:rPr>
          <w:rFonts w:ascii="Times New Roman" w:hAnsi="Times New Roman" w:cs="Times New Roman"/>
          <w:sz w:val="24"/>
          <w:szCs w:val="24"/>
        </w:rPr>
        <w:t>.</w:t>
      </w:r>
    </w:p>
    <w:p w14:paraId="10CC4C3D" w14:textId="2C0B55DF" w:rsidR="00A32CE3" w:rsidRDefault="00A32CE3" w:rsidP="003A23BA">
      <w:pPr>
        <w:spacing w:after="0" w:line="480" w:lineRule="auto"/>
        <w:rPr>
          <w:rFonts w:ascii="Times New Roman" w:hAnsi="Times New Roman" w:cs="Times New Roman"/>
          <w:sz w:val="24"/>
          <w:szCs w:val="24"/>
        </w:rPr>
      </w:pPr>
      <w:r w:rsidRPr="00267DA0">
        <w:rPr>
          <w:rFonts w:ascii="Times New Roman" w:hAnsi="Times New Roman" w:cs="Times New Roman"/>
          <w:sz w:val="24"/>
          <w:szCs w:val="24"/>
        </w:rPr>
        <w:t xml:space="preserve">B. Draw a hypothetical process (time-function) map for producing a recently released (within the past two years) product manufactured by the company. As an operations manager, how will you use the value map? Be sure to include your process map within your case study analysis. </w:t>
      </w:r>
    </w:p>
    <w:p w14:paraId="49EA1331" w14:textId="1ED5583E" w:rsidR="00B044BE" w:rsidRDefault="00B044BE" w:rsidP="003A23BA">
      <w:pPr>
        <w:spacing w:after="0"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BAD8010" wp14:editId="20E57C11">
            <wp:extent cx="6433282" cy="3381375"/>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shot (368).png"/>
                    <pic:cNvPicPr/>
                  </pic:nvPicPr>
                  <pic:blipFill rotWithShape="1">
                    <a:blip r:embed="rId5">
                      <a:extLst>
                        <a:ext uri="{28A0092B-C50C-407E-A947-70E740481C1C}">
                          <a14:useLocalDpi xmlns:a14="http://schemas.microsoft.com/office/drawing/2010/main" val="0"/>
                        </a:ext>
                      </a:extLst>
                    </a:blip>
                    <a:srcRect l="22275" t="33067" r="18270" b="11346"/>
                    <a:stretch/>
                  </pic:blipFill>
                  <pic:spPr bwMode="auto">
                    <a:xfrm>
                      <a:off x="0" y="0"/>
                      <a:ext cx="6462798" cy="3396889"/>
                    </a:xfrm>
                    <a:prstGeom prst="rect">
                      <a:avLst/>
                    </a:prstGeom>
                    <a:ln>
                      <a:noFill/>
                    </a:ln>
                    <a:extLst>
                      <a:ext uri="{53640926-AAD7-44D8-BBD7-CCE9431645EC}">
                        <a14:shadowObscured xmlns:a14="http://schemas.microsoft.com/office/drawing/2010/main"/>
                      </a:ext>
                    </a:extLst>
                  </pic:spPr>
                </pic:pic>
              </a:graphicData>
            </a:graphic>
          </wp:inline>
        </w:drawing>
      </w:r>
    </w:p>
    <w:p w14:paraId="79A7019C" w14:textId="3103B8BF" w:rsidR="00B044BE" w:rsidRPr="00267DA0" w:rsidRDefault="00B044BE" w:rsidP="003A23BA">
      <w:pPr>
        <w:spacing w:after="0" w:line="480" w:lineRule="auto"/>
        <w:rPr>
          <w:rFonts w:ascii="Times New Roman" w:hAnsi="Times New Roman" w:cs="Times New Roman"/>
          <w:sz w:val="24"/>
          <w:szCs w:val="24"/>
        </w:rPr>
      </w:pPr>
      <w:r>
        <w:rPr>
          <w:rFonts w:ascii="Times New Roman" w:hAnsi="Times New Roman" w:cs="Times New Roman"/>
          <w:sz w:val="24"/>
          <w:szCs w:val="24"/>
        </w:rPr>
        <w:t>Source: Electric Automobile, madehow.com</w:t>
      </w:r>
    </w:p>
    <w:p w14:paraId="08957297" w14:textId="4FDDC0D6" w:rsidR="00A32CE3" w:rsidRPr="00267DA0" w:rsidRDefault="008E0FF0" w:rsidP="003A23BA">
      <w:pPr>
        <w:spacing w:after="0" w:line="480" w:lineRule="auto"/>
        <w:rPr>
          <w:rFonts w:ascii="Times New Roman" w:hAnsi="Times New Roman" w:cs="Times New Roman"/>
          <w:sz w:val="24"/>
          <w:szCs w:val="24"/>
        </w:rPr>
      </w:pPr>
      <w:r w:rsidRPr="00267DA0">
        <w:rPr>
          <w:rFonts w:ascii="Times New Roman" w:hAnsi="Times New Roman" w:cs="Times New Roman"/>
          <w:sz w:val="24"/>
          <w:szCs w:val="24"/>
        </w:rPr>
        <w:t xml:space="preserve">I would use the value map </w:t>
      </w:r>
      <w:r w:rsidR="000468E1" w:rsidRPr="00267DA0">
        <w:rPr>
          <w:rFonts w:ascii="Times New Roman" w:hAnsi="Times New Roman" w:cs="Times New Roman"/>
          <w:sz w:val="24"/>
          <w:szCs w:val="24"/>
        </w:rPr>
        <w:t xml:space="preserve">to identify the core value-addition areas in the manufacturing process. </w:t>
      </w:r>
    </w:p>
    <w:p w14:paraId="6859C7B2" w14:textId="77777777" w:rsidR="00A32CE3" w:rsidRPr="00267DA0" w:rsidRDefault="00A32CE3" w:rsidP="003A23BA">
      <w:pPr>
        <w:spacing w:after="0" w:line="480" w:lineRule="auto"/>
        <w:rPr>
          <w:rFonts w:ascii="Times New Roman" w:hAnsi="Times New Roman" w:cs="Times New Roman"/>
          <w:sz w:val="24"/>
          <w:szCs w:val="24"/>
        </w:rPr>
      </w:pPr>
      <w:r w:rsidRPr="00267DA0">
        <w:rPr>
          <w:rFonts w:ascii="Times New Roman" w:hAnsi="Times New Roman" w:cs="Times New Roman"/>
          <w:sz w:val="24"/>
          <w:szCs w:val="24"/>
        </w:rPr>
        <w:t>C. Considering the data and options below, determine where the company should locate its new manufacturing plant. Explain why this would be the favorable location.</w:t>
      </w:r>
    </w:p>
    <w:tbl>
      <w:tblPr>
        <w:tblStyle w:val="TableGrid"/>
        <w:tblW w:w="0" w:type="auto"/>
        <w:tblLook w:val="04A0" w:firstRow="1" w:lastRow="0" w:firstColumn="1" w:lastColumn="0" w:noHBand="0" w:noVBand="1"/>
      </w:tblPr>
      <w:tblGrid>
        <w:gridCol w:w="2254"/>
        <w:gridCol w:w="2254"/>
        <w:gridCol w:w="2254"/>
        <w:gridCol w:w="2254"/>
      </w:tblGrid>
      <w:tr w:rsidR="00A32CE3" w:rsidRPr="00267DA0" w14:paraId="2CEC4101" w14:textId="77777777" w:rsidTr="00A32CE3">
        <w:tc>
          <w:tcPr>
            <w:tcW w:w="2254" w:type="dxa"/>
            <w:tcBorders>
              <w:top w:val="single" w:sz="4" w:space="0" w:color="auto"/>
              <w:left w:val="single" w:sz="4" w:space="0" w:color="auto"/>
              <w:bottom w:val="single" w:sz="4" w:space="0" w:color="auto"/>
              <w:right w:val="single" w:sz="4" w:space="0" w:color="auto"/>
            </w:tcBorders>
            <w:hideMark/>
          </w:tcPr>
          <w:p w14:paraId="574EE462"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Factor</w:t>
            </w:r>
          </w:p>
        </w:tc>
        <w:tc>
          <w:tcPr>
            <w:tcW w:w="2254" w:type="dxa"/>
            <w:tcBorders>
              <w:top w:val="single" w:sz="4" w:space="0" w:color="auto"/>
              <w:left w:val="single" w:sz="4" w:space="0" w:color="auto"/>
              <w:bottom w:val="single" w:sz="4" w:space="0" w:color="auto"/>
              <w:right w:val="single" w:sz="4" w:space="0" w:color="auto"/>
            </w:tcBorders>
            <w:hideMark/>
          </w:tcPr>
          <w:p w14:paraId="089C72F3"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Weight</w:t>
            </w:r>
          </w:p>
        </w:tc>
        <w:tc>
          <w:tcPr>
            <w:tcW w:w="2254" w:type="dxa"/>
            <w:tcBorders>
              <w:top w:val="single" w:sz="4" w:space="0" w:color="auto"/>
              <w:left w:val="single" w:sz="4" w:space="0" w:color="auto"/>
              <w:bottom w:val="single" w:sz="4" w:space="0" w:color="auto"/>
              <w:right w:val="single" w:sz="4" w:space="0" w:color="auto"/>
            </w:tcBorders>
            <w:hideMark/>
          </w:tcPr>
          <w:p w14:paraId="74F2849A"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M</w:t>
            </w:r>
            <w:bookmarkStart w:id="0" w:name="_GoBack"/>
            <w:bookmarkEnd w:id="0"/>
            <w:r w:rsidRPr="00267DA0">
              <w:rPr>
                <w:rFonts w:ascii="Times New Roman" w:hAnsi="Times New Roman" w:cs="Times New Roman"/>
                <w:sz w:val="24"/>
                <w:szCs w:val="24"/>
              </w:rPr>
              <w:t>exico City</w:t>
            </w:r>
          </w:p>
        </w:tc>
        <w:tc>
          <w:tcPr>
            <w:tcW w:w="2254" w:type="dxa"/>
            <w:tcBorders>
              <w:top w:val="single" w:sz="4" w:space="0" w:color="auto"/>
              <w:left w:val="single" w:sz="4" w:space="0" w:color="auto"/>
              <w:bottom w:val="single" w:sz="4" w:space="0" w:color="auto"/>
              <w:right w:val="single" w:sz="4" w:space="0" w:color="auto"/>
            </w:tcBorders>
            <w:hideMark/>
          </w:tcPr>
          <w:p w14:paraId="16D60E38"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Columbia, SC</w:t>
            </w:r>
          </w:p>
        </w:tc>
      </w:tr>
      <w:tr w:rsidR="00A32CE3" w:rsidRPr="00267DA0" w14:paraId="30EDEA5C" w14:textId="77777777" w:rsidTr="00A32CE3">
        <w:tc>
          <w:tcPr>
            <w:tcW w:w="2254" w:type="dxa"/>
            <w:tcBorders>
              <w:top w:val="single" w:sz="4" w:space="0" w:color="auto"/>
              <w:left w:val="single" w:sz="4" w:space="0" w:color="auto"/>
              <w:bottom w:val="single" w:sz="4" w:space="0" w:color="auto"/>
              <w:right w:val="single" w:sz="4" w:space="0" w:color="auto"/>
            </w:tcBorders>
            <w:hideMark/>
          </w:tcPr>
          <w:p w14:paraId="7E8681DA"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lastRenderedPageBreak/>
              <w:t>Political Risk</w:t>
            </w:r>
          </w:p>
        </w:tc>
        <w:tc>
          <w:tcPr>
            <w:tcW w:w="2254" w:type="dxa"/>
            <w:tcBorders>
              <w:top w:val="single" w:sz="4" w:space="0" w:color="auto"/>
              <w:left w:val="single" w:sz="4" w:space="0" w:color="auto"/>
              <w:bottom w:val="single" w:sz="4" w:space="0" w:color="auto"/>
              <w:right w:val="single" w:sz="4" w:space="0" w:color="auto"/>
            </w:tcBorders>
            <w:hideMark/>
          </w:tcPr>
          <w:p w14:paraId="093074C5"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.25</w:t>
            </w:r>
          </w:p>
        </w:tc>
        <w:tc>
          <w:tcPr>
            <w:tcW w:w="2254" w:type="dxa"/>
            <w:tcBorders>
              <w:top w:val="single" w:sz="4" w:space="0" w:color="auto"/>
              <w:left w:val="single" w:sz="4" w:space="0" w:color="auto"/>
              <w:bottom w:val="single" w:sz="4" w:space="0" w:color="auto"/>
              <w:right w:val="single" w:sz="4" w:space="0" w:color="auto"/>
            </w:tcBorders>
            <w:hideMark/>
          </w:tcPr>
          <w:p w14:paraId="22FC64B0"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70</w:t>
            </w:r>
          </w:p>
        </w:tc>
        <w:tc>
          <w:tcPr>
            <w:tcW w:w="2254" w:type="dxa"/>
            <w:tcBorders>
              <w:top w:val="single" w:sz="4" w:space="0" w:color="auto"/>
              <w:left w:val="single" w:sz="4" w:space="0" w:color="auto"/>
              <w:bottom w:val="single" w:sz="4" w:space="0" w:color="auto"/>
              <w:right w:val="single" w:sz="4" w:space="0" w:color="auto"/>
            </w:tcBorders>
            <w:hideMark/>
          </w:tcPr>
          <w:p w14:paraId="47AF737A"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80</w:t>
            </w:r>
          </w:p>
        </w:tc>
      </w:tr>
      <w:tr w:rsidR="00A32CE3" w:rsidRPr="00267DA0" w14:paraId="4A191A8A" w14:textId="77777777" w:rsidTr="00A32CE3">
        <w:tc>
          <w:tcPr>
            <w:tcW w:w="2254" w:type="dxa"/>
            <w:tcBorders>
              <w:top w:val="single" w:sz="4" w:space="0" w:color="auto"/>
              <w:left w:val="single" w:sz="4" w:space="0" w:color="auto"/>
              <w:bottom w:val="single" w:sz="4" w:space="0" w:color="auto"/>
              <w:right w:val="single" w:sz="4" w:space="0" w:color="auto"/>
            </w:tcBorders>
            <w:hideMark/>
          </w:tcPr>
          <w:p w14:paraId="32449980"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Transportation Costs</w:t>
            </w:r>
          </w:p>
        </w:tc>
        <w:tc>
          <w:tcPr>
            <w:tcW w:w="2254" w:type="dxa"/>
            <w:tcBorders>
              <w:top w:val="single" w:sz="4" w:space="0" w:color="auto"/>
              <w:left w:val="single" w:sz="4" w:space="0" w:color="auto"/>
              <w:bottom w:val="single" w:sz="4" w:space="0" w:color="auto"/>
              <w:right w:val="single" w:sz="4" w:space="0" w:color="auto"/>
            </w:tcBorders>
            <w:hideMark/>
          </w:tcPr>
          <w:p w14:paraId="0CC18152"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.20</w:t>
            </w:r>
          </w:p>
        </w:tc>
        <w:tc>
          <w:tcPr>
            <w:tcW w:w="2254" w:type="dxa"/>
            <w:tcBorders>
              <w:top w:val="single" w:sz="4" w:space="0" w:color="auto"/>
              <w:left w:val="single" w:sz="4" w:space="0" w:color="auto"/>
              <w:bottom w:val="single" w:sz="4" w:space="0" w:color="auto"/>
              <w:right w:val="single" w:sz="4" w:space="0" w:color="auto"/>
            </w:tcBorders>
            <w:hideMark/>
          </w:tcPr>
          <w:p w14:paraId="768AD4A4"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40</w:t>
            </w:r>
          </w:p>
        </w:tc>
        <w:tc>
          <w:tcPr>
            <w:tcW w:w="2254" w:type="dxa"/>
            <w:tcBorders>
              <w:top w:val="single" w:sz="4" w:space="0" w:color="auto"/>
              <w:left w:val="single" w:sz="4" w:space="0" w:color="auto"/>
              <w:bottom w:val="single" w:sz="4" w:space="0" w:color="auto"/>
              <w:right w:val="single" w:sz="4" w:space="0" w:color="auto"/>
            </w:tcBorders>
            <w:hideMark/>
          </w:tcPr>
          <w:p w14:paraId="470C9E13"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90</w:t>
            </w:r>
          </w:p>
        </w:tc>
      </w:tr>
      <w:tr w:rsidR="00A32CE3" w:rsidRPr="00267DA0" w14:paraId="3D7DAABC" w14:textId="77777777" w:rsidTr="00A32CE3">
        <w:tc>
          <w:tcPr>
            <w:tcW w:w="2254" w:type="dxa"/>
            <w:tcBorders>
              <w:top w:val="single" w:sz="4" w:space="0" w:color="auto"/>
              <w:left w:val="single" w:sz="4" w:space="0" w:color="auto"/>
              <w:bottom w:val="single" w:sz="4" w:space="0" w:color="auto"/>
              <w:right w:val="single" w:sz="4" w:space="0" w:color="auto"/>
            </w:tcBorders>
            <w:hideMark/>
          </w:tcPr>
          <w:p w14:paraId="401BFF97"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Labor Productivity</w:t>
            </w:r>
          </w:p>
        </w:tc>
        <w:tc>
          <w:tcPr>
            <w:tcW w:w="2254" w:type="dxa"/>
            <w:tcBorders>
              <w:top w:val="single" w:sz="4" w:space="0" w:color="auto"/>
              <w:left w:val="single" w:sz="4" w:space="0" w:color="auto"/>
              <w:bottom w:val="single" w:sz="4" w:space="0" w:color="auto"/>
              <w:right w:val="single" w:sz="4" w:space="0" w:color="auto"/>
            </w:tcBorders>
            <w:hideMark/>
          </w:tcPr>
          <w:p w14:paraId="0D292D6F"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.20</w:t>
            </w:r>
          </w:p>
        </w:tc>
        <w:tc>
          <w:tcPr>
            <w:tcW w:w="2254" w:type="dxa"/>
            <w:tcBorders>
              <w:top w:val="single" w:sz="4" w:space="0" w:color="auto"/>
              <w:left w:val="single" w:sz="4" w:space="0" w:color="auto"/>
              <w:bottom w:val="single" w:sz="4" w:space="0" w:color="auto"/>
              <w:right w:val="single" w:sz="4" w:space="0" w:color="auto"/>
            </w:tcBorders>
            <w:hideMark/>
          </w:tcPr>
          <w:p w14:paraId="7FC0AC2D"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85</w:t>
            </w:r>
          </w:p>
        </w:tc>
        <w:tc>
          <w:tcPr>
            <w:tcW w:w="2254" w:type="dxa"/>
            <w:tcBorders>
              <w:top w:val="single" w:sz="4" w:space="0" w:color="auto"/>
              <w:left w:val="single" w:sz="4" w:space="0" w:color="auto"/>
              <w:bottom w:val="single" w:sz="4" w:space="0" w:color="auto"/>
              <w:right w:val="single" w:sz="4" w:space="0" w:color="auto"/>
            </w:tcBorders>
            <w:hideMark/>
          </w:tcPr>
          <w:p w14:paraId="1D9A24AC"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75</w:t>
            </w:r>
          </w:p>
        </w:tc>
      </w:tr>
      <w:tr w:rsidR="00A32CE3" w:rsidRPr="00267DA0" w14:paraId="0B7165D3" w14:textId="77777777" w:rsidTr="00A32CE3">
        <w:tc>
          <w:tcPr>
            <w:tcW w:w="2254" w:type="dxa"/>
            <w:tcBorders>
              <w:top w:val="single" w:sz="4" w:space="0" w:color="auto"/>
              <w:left w:val="single" w:sz="4" w:space="0" w:color="auto"/>
              <w:bottom w:val="single" w:sz="4" w:space="0" w:color="auto"/>
              <w:right w:val="single" w:sz="4" w:space="0" w:color="auto"/>
            </w:tcBorders>
            <w:hideMark/>
          </w:tcPr>
          <w:p w14:paraId="190BB661"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Rental Costs</w:t>
            </w:r>
          </w:p>
        </w:tc>
        <w:tc>
          <w:tcPr>
            <w:tcW w:w="2254" w:type="dxa"/>
            <w:tcBorders>
              <w:top w:val="single" w:sz="4" w:space="0" w:color="auto"/>
              <w:left w:val="single" w:sz="4" w:space="0" w:color="auto"/>
              <w:bottom w:val="single" w:sz="4" w:space="0" w:color="auto"/>
              <w:right w:val="single" w:sz="4" w:space="0" w:color="auto"/>
            </w:tcBorders>
            <w:hideMark/>
          </w:tcPr>
          <w:p w14:paraId="71607709"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.15</w:t>
            </w:r>
          </w:p>
        </w:tc>
        <w:tc>
          <w:tcPr>
            <w:tcW w:w="2254" w:type="dxa"/>
            <w:tcBorders>
              <w:top w:val="single" w:sz="4" w:space="0" w:color="auto"/>
              <w:left w:val="single" w:sz="4" w:space="0" w:color="auto"/>
              <w:bottom w:val="single" w:sz="4" w:space="0" w:color="auto"/>
              <w:right w:val="single" w:sz="4" w:space="0" w:color="auto"/>
            </w:tcBorders>
            <w:hideMark/>
          </w:tcPr>
          <w:p w14:paraId="1CC37F45"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90</w:t>
            </w:r>
          </w:p>
        </w:tc>
        <w:tc>
          <w:tcPr>
            <w:tcW w:w="2254" w:type="dxa"/>
            <w:tcBorders>
              <w:top w:val="single" w:sz="4" w:space="0" w:color="auto"/>
              <w:left w:val="single" w:sz="4" w:space="0" w:color="auto"/>
              <w:bottom w:val="single" w:sz="4" w:space="0" w:color="auto"/>
              <w:right w:val="single" w:sz="4" w:space="0" w:color="auto"/>
            </w:tcBorders>
            <w:hideMark/>
          </w:tcPr>
          <w:p w14:paraId="12F63C3B"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55</w:t>
            </w:r>
          </w:p>
        </w:tc>
      </w:tr>
      <w:tr w:rsidR="00A32CE3" w:rsidRPr="00267DA0" w14:paraId="33F88918" w14:textId="77777777" w:rsidTr="00A32CE3">
        <w:tc>
          <w:tcPr>
            <w:tcW w:w="2254" w:type="dxa"/>
            <w:tcBorders>
              <w:top w:val="single" w:sz="4" w:space="0" w:color="auto"/>
              <w:left w:val="single" w:sz="4" w:space="0" w:color="auto"/>
              <w:bottom w:val="single" w:sz="4" w:space="0" w:color="auto"/>
              <w:right w:val="single" w:sz="4" w:space="0" w:color="auto"/>
            </w:tcBorders>
            <w:hideMark/>
          </w:tcPr>
          <w:p w14:paraId="185C0095"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Labor Costs</w:t>
            </w:r>
          </w:p>
        </w:tc>
        <w:tc>
          <w:tcPr>
            <w:tcW w:w="2254" w:type="dxa"/>
            <w:tcBorders>
              <w:top w:val="single" w:sz="4" w:space="0" w:color="auto"/>
              <w:left w:val="single" w:sz="4" w:space="0" w:color="auto"/>
              <w:bottom w:val="single" w:sz="4" w:space="0" w:color="auto"/>
              <w:right w:val="single" w:sz="4" w:space="0" w:color="auto"/>
            </w:tcBorders>
            <w:hideMark/>
          </w:tcPr>
          <w:p w14:paraId="1C8F1F0F"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.10</w:t>
            </w:r>
          </w:p>
        </w:tc>
        <w:tc>
          <w:tcPr>
            <w:tcW w:w="2254" w:type="dxa"/>
            <w:tcBorders>
              <w:top w:val="single" w:sz="4" w:space="0" w:color="auto"/>
              <w:left w:val="single" w:sz="4" w:space="0" w:color="auto"/>
              <w:bottom w:val="single" w:sz="4" w:space="0" w:color="auto"/>
              <w:right w:val="single" w:sz="4" w:space="0" w:color="auto"/>
            </w:tcBorders>
            <w:hideMark/>
          </w:tcPr>
          <w:p w14:paraId="39A74E81"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80</w:t>
            </w:r>
          </w:p>
        </w:tc>
        <w:tc>
          <w:tcPr>
            <w:tcW w:w="2254" w:type="dxa"/>
            <w:tcBorders>
              <w:top w:val="single" w:sz="4" w:space="0" w:color="auto"/>
              <w:left w:val="single" w:sz="4" w:space="0" w:color="auto"/>
              <w:bottom w:val="single" w:sz="4" w:space="0" w:color="auto"/>
              <w:right w:val="single" w:sz="4" w:space="0" w:color="auto"/>
            </w:tcBorders>
            <w:hideMark/>
          </w:tcPr>
          <w:p w14:paraId="627B6C59"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50</w:t>
            </w:r>
          </w:p>
        </w:tc>
      </w:tr>
      <w:tr w:rsidR="00A32CE3" w:rsidRPr="00267DA0" w14:paraId="45E14BA0" w14:textId="77777777" w:rsidTr="00A32CE3">
        <w:tc>
          <w:tcPr>
            <w:tcW w:w="2254" w:type="dxa"/>
            <w:tcBorders>
              <w:top w:val="single" w:sz="4" w:space="0" w:color="auto"/>
              <w:left w:val="single" w:sz="4" w:space="0" w:color="auto"/>
              <w:bottom w:val="single" w:sz="4" w:space="0" w:color="auto"/>
              <w:right w:val="single" w:sz="4" w:space="0" w:color="auto"/>
            </w:tcBorders>
            <w:hideMark/>
          </w:tcPr>
          <w:p w14:paraId="60B033BC"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Taxes</w:t>
            </w:r>
          </w:p>
        </w:tc>
        <w:tc>
          <w:tcPr>
            <w:tcW w:w="2254" w:type="dxa"/>
            <w:tcBorders>
              <w:top w:val="single" w:sz="4" w:space="0" w:color="auto"/>
              <w:left w:val="single" w:sz="4" w:space="0" w:color="auto"/>
              <w:bottom w:val="single" w:sz="4" w:space="0" w:color="auto"/>
              <w:right w:val="single" w:sz="4" w:space="0" w:color="auto"/>
            </w:tcBorders>
            <w:hideMark/>
          </w:tcPr>
          <w:p w14:paraId="62BDA137"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.10</w:t>
            </w:r>
          </w:p>
        </w:tc>
        <w:tc>
          <w:tcPr>
            <w:tcW w:w="2254" w:type="dxa"/>
            <w:tcBorders>
              <w:top w:val="single" w:sz="4" w:space="0" w:color="auto"/>
              <w:left w:val="single" w:sz="4" w:space="0" w:color="auto"/>
              <w:bottom w:val="single" w:sz="4" w:space="0" w:color="auto"/>
              <w:right w:val="single" w:sz="4" w:space="0" w:color="auto"/>
            </w:tcBorders>
            <w:hideMark/>
          </w:tcPr>
          <w:p w14:paraId="1FDEA6BB"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90</w:t>
            </w:r>
          </w:p>
        </w:tc>
        <w:tc>
          <w:tcPr>
            <w:tcW w:w="2254" w:type="dxa"/>
            <w:tcBorders>
              <w:top w:val="single" w:sz="4" w:space="0" w:color="auto"/>
              <w:left w:val="single" w:sz="4" w:space="0" w:color="auto"/>
              <w:bottom w:val="single" w:sz="4" w:space="0" w:color="auto"/>
              <w:right w:val="single" w:sz="4" w:space="0" w:color="auto"/>
            </w:tcBorders>
            <w:hideMark/>
          </w:tcPr>
          <w:p w14:paraId="3BAF0F0D" w14:textId="77777777" w:rsidR="00A32CE3" w:rsidRPr="00267DA0" w:rsidRDefault="00A32CE3" w:rsidP="003A23BA">
            <w:pPr>
              <w:spacing w:line="480" w:lineRule="auto"/>
              <w:rPr>
                <w:rFonts w:ascii="Times New Roman" w:hAnsi="Times New Roman" w:cs="Times New Roman"/>
                <w:sz w:val="24"/>
                <w:szCs w:val="24"/>
              </w:rPr>
            </w:pPr>
            <w:r w:rsidRPr="00267DA0">
              <w:rPr>
                <w:rFonts w:ascii="Times New Roman" w:hAnsi="Times New Roman" w:cs="Times New Roman"/>
                <w:sz w:val="24"/>
                <w:szCs w:val="24"/>
              </w:rPr>
              <w:t>50</w:t>
            </w:r>
          </w:p>
        </w:tc>
      </w:tr>
    </w:tbl>
    <w:p w14:paraId="6F1F1429" w14:textId="1AED5B9A" w:rsidR="00A32CE3" w:rsidRPr="00267DA0" w:rsidRDefault="00A32CE3" w:rsidP="003A23BA">
      <w:pPr>
        <w:spacing w:after="0" w:line="480" w:lineRule="auto"/>
        <w:rPr>
          <w:rFonts w:ascii="Times New Roman" w:hAnsi="Times New Roman" w:cs="Times New Roman"/>
          <w:sz w:val="24"/>
          <w:szCs w:val="24"/>
        </w:rPr>
      </w:pPr>
    </w:p>
    <w:p w14:paraId="3EDDB8C8" w14:textId="77777777" w:rsidR="007F3D92" w:rsidRPr="00267DA0" w:rsidRDefault="007F3D92" w:rsidP="003A23BA">
      <w:pPr>
        <w:spacing w:after="0" w:line="480" w:lineRule="auto"/>
        <w:rPr>
          <w:rFonts w:ascii="Times New Roman" w:hAnsi="Times New Roman" w:cs="Times New Roman"/>
          <w:sz w:val="24"/>
          <w:szCs w:val="24"/>
        </w:rPr>
      </w:pPr>
      <w:r w:rsidRPr="00267DA0">
        <w:rPr>
          <w:rFonts w:ascii="Times New Roman" w:hAnsi="Times New Roman" w:cs="Times New Roman"/>
          <w:sz w:val="24"/>
          <w:szCs w:val="24"/>
        </w:rPr>
        <w:t>From the sum of</w:t>
      </w:r>
      <w:r w:rsidR="00794AB4" w:rsidRPr="00267DA0">
        <w:rPr>
          <w:rFonts w:ascii="Times New Roman" w:hAnsi="Times New Roman" w:cs="Times New Roman"/>
          <w:sz w:val="24"/>
          <w:szCs w:val="24"/>
        </w:rPr>
        <w:t xml:space="preserve"> the product of the assigned weights and scores, Mexic</w:t>
      </w:r>
      <w:r w:rsidRPr="00267DA0">
        <w:rPr>
          <w:rFonts w:ascii="Times New Roman" w:hAnsi="Times New Roman" w:cs="Times New Roman"/>
          <w:sz w:val="24"/>
          <w:szCs w:val="24"/>
        </w:rPr>
        <w:t>o City has a higher weighted aggregate score (73) than Columbia (71.25). While Mexico City offers lesser benefits in two of the qualitative areas the company assigned the greatest weight (political risk and transportation costs), it offers much higher benefits in the labor productivity, rental costs, labor costs, and taxes compared to Columbia making it the better choice.</w:t>
      </w:r>
    </w:p>
    <w:p w14:paraId="0F046DFB" w14:textId="77777777" w:rsidR="003D5C3A" w:rsidRDefault="003D5C3A">
      <w:pPr>
        <w:rPr>
          <w:rFonts w:ascii="Times New Roman" w:hAnsi="Times New Roman" w:cs="Times New Roman"/>
          <w:sz w:val="24"/>
          <w:szCs w:val="24"/>
        </w:rPr>
      </w:pPr>
      <w:r>
        <w:rPr>
          <w:rFonts w:ascii="Times New Roman" w:hAnsi="Times New Roman" w:cs="Times New Roman"/>
          <w:sz w:val="24"/>
          <w:szCs w:val="24"/>
        </w:rPr>
        <w:br w:type="page"/>
      </w:r>
    </w:p>
    <w:p w14:paraId="144AA2C7" w14:textId="6464EDD2" w:rsidR="00E3242F" w:rsidRDefault="003B41BC" w:rsidP="003D5C3A">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14:paraId="75937E66" w14:textId="77777777" w:rsidR="007F73A4" w:rsidRPr="007F73A4" w:rsidRDefault="00FE32C3" w:rsidP="003A23BA">
      <w:pPr>
        <w:spacing w:after="0" w:line="480" w:lineRule="auto"/>
        <w:rPr>
          <w:rFonts w:ascii="Times New Roman" w:hAnsi="Times New Roman" w:cs="Times New Roman"/>
          <w:i/>
          <w:iCs/>
          <w:sz w:val="24"/>
          <w:szCs w:val="24"/>
        </w:rPr>
      </w:pPr>
      <w:r>
        <w:rPr>
          <w:rFonts w:ascii="Times New Roman" w:hAnsi="Times New Roman" w:cs="Times New Roman"/>
          <w:sz w:val="24"/>
          <w:szCs w:val="24"/>
        </w:rPr>
        <w:t xml:space="preserve">Heizer, J., Render, B., &amp; Munson, C. (2016). </w:t>
      </w:r>
      <w:r w:rsidR="005D09BB" w:rsidRPr="007F73A4">
        <w:rPr>
          <w:rFonts w:ascii="Times New Roman" w:hAnsi="Times New Roman" w:cs="Times New Roman"/>
          <w:i/>
          <w:iCs/>
          <w:sz w:val="24"/>
          <w:szCs w:val="24"/>
        </w:rPr>
        <w:t xml:space="preserve">Operations management: </w:t>
      </w:r>
      <w:r w:rsidR="007F73A4" w:rsidRPr="007F73A4">
        <w:rPr>
          <w:rFonts w:ascii="Times New Roman" w:hAnsi="Times New Roman" w:cs="Times New Roman"/>
          <w:i/>
          <w:iCs/>
          <w:sz w:val="24"/>
          <w:szCs w:val="24"/>
        </w:rPr>
        <w:t xml:space="preserve">Sustainability and supply </w:t>
      </w:r>
    </w:p>
    <w:p w14:paraId="4D3C8206" w14:textId="39CC8192" w:rsidR="00FE32C3" w:rsidRDefault="007F73A4" w:rsidP="007F73A4">
      <w:pPr>
        <w:spacing w:after="0" w:line="480" w:lineRule="auto"/>
        <w:ind w:left="720"/>
        <w:rPr>
          <w:rFonts w:ascii="Times New Roman" w:hAnsi="Times New Roman" w:cs="Times New Roman"/>
          <w:sz w:val="24"/>
          <w:szCs w:val="24"/>
        </w:rPr>
      </w:pPr>
      <w:r w:rsidRPr="007F73A4">
        <w:rPr>
          <w:rFonts w:ascii="Times New Roman" w:hAnsi="Times New Roman" w:cs="Times New Roman"/>
          <w:i/>
          <w:iCs/>
          <w:sz w:val="24"/>
          <w:szCs w:val="24"/>
        </w:rPr>
        <w:t>chain management.</w:t>
      </w:r>
      <w:r>
        <w:rPr>
          <w:rFonts w:ascii="Times New Roman" w:hAnsi="Times New Roman" w:cs="Times New Roman"/>
          <w:sz w:val="24"/>
          <w:szCs w:val="24"/>
        </w:rPr>
        <w:t xml:space="preserve"> Boston, MA: Pearson Learning</w:t>
      </w:r>
    </w:p>
    <w:p w14:paraId="6D84ECF8" w14:textId="21E0EEF9" w:rsidR="003B41BC" w:rsidRDefault="003B41BC" w:rsidP="003A23BA">
      <w:pPr>
        <w:spacing w:after="0" w:line="480" w:lineRule="auto"/>
        <w:rPr>
          <w:rFonts w:ascii="Times New Roman" w:hAnsi="Times New Roman" w:cs="Times New Roman"/>
          <w:sz w:val="24"/>
          <w:szCs w:val="24"/>
        </w:rPr>
      </w:pPr>
      <w:r>
        <w:rPr>
          <w:rFonts w:ascii="Times New Roman" w:hAnsi="Times New Roman" w:cs="Times New Roman"/>
          <w:sz w:val="24"/>
          <w:szCs w:val="24"/>
        </w:rPr>
        <w:t>How Products are Made (</w:t>
      </w:r>
      <w:proofErr w:type="spellStart"/>
      <w:r>
        <w:rPr>
          <w:rFonts w:ascii="Times New Roman" w:hAnsi="Times New Roman" w:cs="Times New Roman"/>
          <w:sz w:val="24"/>
          <w:szCs w:val="24"/>
        </w:rPr>
        <w:t>n.d</w:t>
      </w:r>
      <w:proofErr w:type="spellEnd"/>
      <w:r>
        <w:rPr>
          <w:rFonts w:ascii="Times New Roman" w:hAnsi="Times New Roman" w:cs="Times New Roman"/>
          <w:sz w:val="24"/>
          <w:szCs w:val="24"/>
        </w:rPr>
        <w:t xml:space="preserve">). </w:t>
      </w:r>
      <w:r w:rsidRPr="003B41BC">
        <w:rPr>
          <w:rFonts w:ascii="Times New Roman" w:hAnsi="Times New Roman" w:cs="Times New Roman"/>
          <w:i/>
          <w:iCs/>
          <w:sz w:val="24"/>
          <w:szCs w:val="24"/>
        </w:rPr>
        <w:t>Electric Automobiles</w:t>
      </w:r>
      <w:r>
        <w:rPr>
          <w:rFonts w:ascii="Times New Roman" w:hAnsi="Times New Roman" w:cs="Times New Roman"/>
          <w:sz w:val="24"/>
          <w:szCs w:val="24"/>
        </w:rPr>
        <w:t xml:space="preserve">. Retrieved from: </w:t>
      </w:r>
    </w:p>
    <w:p w14:paraId="100F5B08" w14:textId="5444C6A1" w:rsidR="003B41BC" w:rsidRPr="00267DA0" w:rsidRDefault="003B41BC" w:rsidP="003B41BC">
      <w:pPr>
        <w:spacing w:after="0" w:line="480" w:lineRule="auto"/>
        <w:ind w:left="720"/>
        <w:rPr>
          <w:rFonts w:ascii="Times New Roman" w:hAnsi="Times New Roman" w:cs="Times New Roman"/>
          <w:sz w:val="24"/>
          <w:szCs w:val="24"/>
        </w:rPr>
      </w:pPr>
      <w:r w:rsidRPr="003B41BC">
        <w:rPr>
          <w:rFonts w:ascii="Times New Roman" w:hAnsi="Times New Roman" w:cs="Times New Roman"/>
          <w:sz w:val="24"/>
          <w:szCs w:val="24"/>
        </w:rPr>
        <w:t>http://www.madehow.com/Volume-5/Electric-Automobile.html</w:t>
      </w:r>
    </w:p>
    <w:sectPr w:rsidR="003B41BC" w:rsidRPr="00267DA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CE3"/>
    <w:rsid w:val="00020A84"/>
    <w:rsid w:val="000468E1"/>
    <w:rsid w:val="000A79CF"/>
    <w:rsid w:val="00165DB1"/>
    <w:rsid w:val="00262A47"/>
    <w:rsid w:val="00267DA0"/>
    <w:rsid w:val="00295050"/>
    <w:rsid w:val="002B12B4"/>
    <w:rsid w:val="00311438"/>
    <w:rsid w:val="003A23BA"/>
    <w:rsid w:val="003B41BC"/>
    <w:rsid w:val="003D5C3A"/>
    <w:rsid w:val="004E5506"/>
    <w:rsid w:val="005D09BB"/>
    <w:rsid w:val="005E4261"/>
    <w:rsid w:val="005F7631"/>
    <w:rsid w:val="00675CE8"/>
    <w:rsid w:val="00681B9A"/>
    <w:rsid w:val="006A28E8"/>
    <w:rsid w:val="006E53EB"/>
    <w:rsid w:val="00786859"/>
    <w:rsid w:val="007923E9"/>
    <w:rsid w:val="00794AB4"/>
    <w:rsid w:val="007A254C"/>
    <w:rsid w:val="007F3D92"/>
    <w:rsid w:val="007F73A4"/>
    <w:rsid w:val="0083167A"/>
    <w:rsid w:val="00857765"/>
    <w:rsid w:val="008E0FF0"/>
    <w:rsid w:val="008F3701"/>
    <w:rsid w:val="009475FC"/>
    <w:rsid w:val="009C42E4"/>
    <w:rsid w:val="00A32CE3"/>
    <w:rsid w:val="00AD540C"/>
    <w:rsid w:val="00B044BE"/>
    <w:rsid w:val="00B26C50"/>
    <w:rsid w:val="00B42D9A"/>
    <w:rsid w:val="00CB0E22"/>
    <w:rsid w:val="00D60679"/>
    <w:rsid w:val="00E07733"/>
    <w:rsid w:val="00E3242F"/>
    <w:rsid w:val="00E3552D"/>
    <w:rsid w:val="00E4021E"/>
    <w:rsid w:val="00E774CE"/>
    <w:rsid w:val="00F3026E"/>
    <w:rsid w:val="00FE32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9CC48"/>
  <w15:chartTrackingRefBased/>
  <w15:docId w15:val="{1F7BBB02-98EB-431B-B2C9-13BA0AA2B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32C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5367670">
      <w:bodyDiv w:val="1"/>
      <w:marLeft w:val="0"/>
      <w:marRight w:val="0"/>
      <w:marTop w:val="0"/>
      <w:marBottom w:val="0"/>
      <w:divBdr>
        <w:top w:val="none" w:sz="0" w:space="0" w:color="auto"/>
        <w:left w:val="none" w:sz="0" w:space="0" w:color="auto"/>
        <w:bottom w:val="none" w:sz="0" w:space="0" w:color="auto"/>
        <w:right w:val="none" w:sz="0" w:space="0" w:color="auto"/>
      </w:divBdr>
    </w:div>
    <w:div w:id="912162049">
      <w:bodyDiv w:val="1"/>
      <w:marLeft w:val="0"/>
      <w:marRight w:val="0"/>
      <w:marTop w:val="0"/>
      <w:marBottom w:val="0"/>
      <w:divBdr>
        <w:top w:val="none" w:sz="0" w:space="0" w:color="auto"/>
        <w:left w:val="none" w:sz="0" w:space="0" w:color="auto"/>
        <w:bottom w:val="none" w:sz="0" w:space="0" w:color="auto"/>
        <w:right w:val="none" w:sz="0" w:space="0" w:color="auto"/>
      </w:divBdr>
    </w:div>
    <w:div w:id="1291860388">
      <w:bodyDiv w:val="1"/>
      <w:marLeft w:val="0"/>
      <w:marRight w:val="0"/>
      <w:marTop w:val="0"/>
      <w:marBottom w:val="0"/>
      <w:divBdr>
        <w:top w:val="none" w:sz="0" w:space="0" w:color="auto"/>
        <w:left w:val="none" w:sz="0" w:space="0" w:color="auto"/>
        <w:bottom w:val="none" w:sz="0" w:space="0" w:color="auto"/>
        <w:right w:val="none" w:sz="0" w:space="0" w:color="auto"/>
      </w:divBdr>
    </w:div>
    <w:div w:id="1497962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6</Pages>
  <Words>1033</Words>
  <Characters>5891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41</cp:revision>
  <dcterms:created xsi:type="dcterms:W3CDTF">2021-02-03T07:43:00Z</dcterms:created>
  <dcterms:modified xsi:type="dcterms:W3CDTF">2021-02-03T14:18:00Z</dcterms:modified>
</cp:coreProperties>
</file>