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F0E" w:rsidRPr="00344F0E" w:rsidRDefault="00344F0E" w:rsidP="00344F0E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344F0E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1</w:t>
      </w:r>
    </w:p>
    <w:p w:rsidR="00344F0E" w:rsidRPr="00344F0E" w:rsidRDefault="00344F0E" w:rsidP="00344F0E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344F0E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344F0E" w:rsidRPr="00344F0E" w:rsidTr="00344F0E">
        <w:tc>
          <w:tcPr>
            <w:tcW w:w="0" w:type="auto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 w:val="restart"/>
            <w:hideMark/>
          </w:tcPr>
          <w:p w:rsidR="00344F0E" w:rsidRPr="00344F0E" w:rsidRDefault="00344F0E" w:rsidP="00344F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A price searcher</w:t>
            </w: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373"/>
              <w:gridCol w:w="7201"/>
            </w:tblGrid>
            <w:tr w:rsidR="00344F0E" w:rsidRPr="00344F0E"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val="en-US"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val="en-US" w:eastAsia="es-MX"/>
                    </w:rPr>
                    <w:t>is a seller that has the ability to control to some degree the price of the product it sells.</w:t>
                  </w:r>
                </w:p>
              </w:tc>
            </w:tr>
          </w:tbl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val="en-US"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</w:tbl>
    <w:p w:rsidR="00344F0E" w:rsidRPr="00344F0E" w:rsidRDefault="00344F0E" w:rsidP="00344F0E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344F0E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2</w:t>
      </w:r>
    </w:p>
    <w:p w:rsidR="00344F0E" w:rsidRPr="00344F0E" w:rsidRDefault="00344F0E" w:rsidP="00344F0E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344F0E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344F0E" w:rsidRPr="00344F0E" w:rsidTr="00344F0E">
        <w:tc>
          <w:tcPr>
            <w:tcW w:w="0" w:type="auto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 w:val="restart"/>
            <w:hideMark/>
          </w:tcPr>
          <w:p w:rsidR="00344F0E" w:rsidRPr="00344F0E" w:rsidRDefault="00344F0E" w:rsidP="00344F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en-US" w:eastAsia="es-MX"/>
              </w:rPr>
            </w:pPr>
            <w:r w:rsidRPr="00344F0E">
              <w:rPr>
                <w:rFonts w:ascii="inherit" w:eastAsia="Times New Roman" w:hAnsi="inherit" w:cs="Times New Roman"/>
                <w:sz w:val="24"/>
                <w:szCs w:val="24"/>
                <w:lang w:val="en-US" w:eastAsia="es-MX"/>
              </w:rPr>
              <w:t>If a monopolist wishes to sell an additional unit of the good, then</w:t>
            </w: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val="en-US"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2017"/>
            </w:tblGrid>
            <w:tr w:rsidR="00344F0E" w:rsidRPr="00344F0E"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it must lower price.</w:t>
                  </w:r>
                </w:p>
              </w:tc>
            </w:tr>
          </w:tbl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344F0E" w:rsidRPr="00344F0E" w:rsidRDefault="00344F0E" w:rsidP="00344F0E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344F0E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3</w:t>
      </w:r>
    </w:p>
    <w:p w:rsidR="00344F0E" w:rsidRPr="00344F0E" w:rsidRDefault="00344F0E" w:rsidP="00344F0E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344F0E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344F0E" w:rsidRPr="00344F0E" w:rsidTr="00344F0E">
        <w:tc>
          <w:tcPr>
            <w:tcW w:w="0" w:type="auto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 w:val="restart"/>
            <w:hideMark/>
          </w:tcPr>
          <w:p w:rsidR="00344F0E" w:rsidRPr="00344F0E" w:rsidRDefault="00344F0E" w:rsidP="00344F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A monopolist can sell 16,000 units at a price of $100 per unit. Lowering price by $1 raises the quantity demanded by 500 units. What is the change in total revenue resulting from this price change?</w:t>
            </w: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930"/>
            </w:tblGrid>
            <w:tr w:rsidR="00344F0E" w:rsidRPr="00344F0E"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$33,500</w:t>
                  </w:r>
                </w:p>
              </w:tc>
            </w:tr>
          </w:tbl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344F0E" w:rsidRPr="00344F0E" w:rsidRDefault="00344F0E" w:rsidP="00344F0E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344F0E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4</w:t>
      </w:r>
    </w:p>
    <w:p w:rsidR="00344F0E" w:rsidRPr="00344F0E" w:rsidRDefault="00344F0E" w:rsidP="00344F0E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344F0E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344F0E" w:rsidRPr="00344F0E" w:rsidTr="00344F0E">
        <w:tc>
          <w:tcPr>
            <w:tcW w:w="0" w:type="auto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 w:val="restart"/>
            <w:hideMark/>
          </w:tcPr>
          <w:p w:rsidR="00344F0E" w:rsidRPr="00344F0E" w:rsidRDefault="00344F0E" w:rsidP="00344F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The economist who estimated the deadweight loss of monopoly in the manufacturing sector is</w:t>
            </w: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1923"/>
            </w:tblGrid>
            <w:tr w:rsidR="00344F0E" w:rsidRPr="00344F0E"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Arnold Harberger.</w:t>
                  </w:r>
                </w:p>
              </w:tc>
            </w:tr>
          </w:tbl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344F0E" w:rsidRPr="00344F0E" w:rsidRDefault="00344F0E" w:rsidP="00344F0E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344F0E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5</w:t>
      </w:r>
    </w:p>
    <w:p w:rsidR="00344F0E" w:rsidRPr="00344F0E" w:rsidRDefault="00344F0E" w:rsidP="00344F0E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344F0E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344F0E" w:rsidRPr="00344F0E" w:rsidTr="00344F0E">
        <w:tc>
          <w:tcPr>
            <w:tcW w:w="0" w:type="auto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 w:val="restart"/>
            <w:hideMark/>
          </w:tcPr>
          <w:p w:rsidR="00344F0E" w:rsidRPr="00344F0E" w:rsidRDefault="00344F0E" w:rsidP="00344F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For a firm that perfectly price discriminates,</w:t>
            </w: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3096"/>
            </w:tblGrid>
            <w:tr w:rsidR="00344F0E" w:rsidRPr="00344F0E"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price equals marginal revenue.</w:t>
                  </w:r>
                </w:p>
              </w:tc>
            </w:tr>
          </w:tbl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344F0E" w:rsidRPr="00344F0E" w:rsidRDefault="00344F0E" w:rsidP="00344F0E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344F0E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6</w:t>
      </w:r>
    </w:p>
    <w:p w:rsidR="00344F0E" w:rsidRPr="00344F0E" w:rsidRDefault="00344F0E" w:rsidP="00344F0E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344F0E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344F0E" w:rsidRPr="00344F0E" w:rsidTr="00344F0E">
        <w:tc>
          <w:tcPr>
            <w:tcW w:w="0" w:type="auto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 w:val="restart"/>
            <w:hideMark/>
          </w:tcPr>
          <w:p w:rsidR="00344F0E" w:rsidRPr="00344F0E" w:rsidRDefault="00344F0E" w:rsidP="00344F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As long as the demand curve lies above the marginal revenue curve for a monopolist, it will charge a price for its product that is</w:t>
            </w: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2143"/>
            </w:tblGrid>
            <w:tr w:rsidR="00344F0E" w:rsidRPr="00344F0E"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above marginal cost.</w:t>
                  </w:r>
                </w:p>
              </w:tc>
            </w:tr>
          </w:tbl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344F0E" w:rsidRPr="00344F0E" w:rsidRDefault="00344F0E" w:rsidP="00344F0E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344F0E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7</w:t>
      </w:r>
    </w:p>
    <w:p w:rsidR="00344F0E" w:rsidRPr="00344F0E" w:rsidRDefault="00344F0E" w:rsidP="00344F0E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344F0E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344F0E" w:rsidRPr="00344F0E" w:rsidTr="00344F0E">
        <w:tc>
          <w:tcPr>
            <w:tcW w:w="0" w:type="auto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 w:val="restart"/>
            <w:hideMark/>
          </w:tcPr>
          <w:p w:rsidR="00344F0E" w:rsidRPr="00344F0E" w:rsidRDefault="00344F0E" w:rsidP="00344F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The demand curve facing a monopolist is always</w:t>
            </w: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3929"/>
            </w:tblGrid>
            <w:tr w:rsidR="00344F0E" w:rsidRPr="00344F0E"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the same as the industry demand curve.</w:t>
                  </w:r>
                </w:p>
              </w:tc>
            </w:tr>
          </w:tbl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344F0E" w:rsidRPr="00344F0E" w:rsidRDefault="00344F0E" w:rsidP="00344F0E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344F0E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8</w:t>
      </w:r>
    </w:p>
    <w:p w:rsidR="00344F0E" w:rsidRPr="00344F0E" w:rsidRDefault="00344F0E" w:rsidP="00344F0E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344F0E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344F0E" w:rsidRPr="00344F0E" w:rsidTr="00344F0E">
        <w:tc>
          <w:tcPr>
            <w:tcW w:w="0" w:type="auto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 w:val="restart"/>
            <w:hideMark/>
          </w:tcPr>
          <w:p w:rsidR="00344F0E" w:rsidRPr="00344F0E" w:rsidRDefault="00344F0E" w:rsidP="00344F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Which of the following is </w:t>
            </w:r>
            <w:r w:rsidRPr="00344F0E">
              <w:rPr>
                <w:rFonts w:ascii="inherit" w:eastAsia="Times New Roman" w:hAnsi="inherit" w:cs="Times New Roman"/>
                <w:i/>
                <w:iCs/>
                <w:sz w:val="24"/>
                <w:szCs w:val="24"/>
                <w:lang w:eastAsia="es-MX"/>
              </w:rPr>
              <w:t>false</w:t>
            </w: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?</w:t>
            </w: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1"/>
              <w:gridCol w:w="7093"/>
            </w:tblGrid>
            <w:tr w:rsidR="00344F0E" w:rsidRPr="00344F0E"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For a monopolist, the law of diminishing marginal returns does not hold.</w:t>
                  </w:r>
                </w:p>
              </w:tc>
            </w:tr>
          </w:tbl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344F0E" w:rsidRPr="00344F0E" w:rsidRDefault="00344F0E" w:rsidP="00344F0E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344F0E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9</w:t>
      </w:r>
    </w:p>
    <w:p w:rsidR="00344F0E" w:rsidRPr="00344F0E" w:rsidRDefault="00344F0E" w:rsidP="00344F0E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344F0E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lastRenderedPageBreak/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344F0E" w:rsidRPr="00344F0E" w:rsidTr="00344F0E">
        <w:tc>
          <w:tcPr>
            <w:tcW w:w="0" w:type="auto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 w:val="restart"/>
            <w:hideMark/>
          </w:tcPr>
          <w:p w:rsidR="00344F0E" w:rsidRPr="00344F0E" w:rsidRDefault="00344F0E" w:rsidP="00344F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Your school pays one rate for the first one million kilowatts of electricity and a lower rate for any power it uses over one million kilowatts. What is occurring here?</w:t>
            </w: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3522"/>
            </w:tblGrid>
            <w:tr w:rsidR="00344F0E" w:rsidRPr="00344F0E"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second-degree price discrimination</w:t>
                  </w:r>
                </w:p>
              </w:tc>
            </w:tr>
          </w:tbl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344F0E" w:rsidRPr="00344F0E" w:rsidRDefault="00344F0E" w:rsidP="00344F0E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344F0E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10</w:t>
      </w:r>
    </w:p>
    <w:p w:rsidR="00344F0E" w:rsidRPr="00344F0E" w:rsidRDefault="00344F0E" w:rsidP="00344F0E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344F0E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344F0E" w:rsidRPr="00344F0E" w:rsidTr="00344F0E">
        <w:tc>
          <w:tcPr>
            <w:tcW w:w="0" w:type="auto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 w:val="restart"/>
            <w:hideMark/>
          </w:tcPr>
          <w:p w:rsidR="00344F0E" w:rsidRPr="00344F0E" w:rsidRDefault="00344F0E" w:rsidP="00344F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Which of the following is</w:t>
            </w:r>
            <w:r w:rsidRPr="00344F0E">
              <w:rPr>
                <w:rFonts w:ascii="inherit" w:eastAsia="Times New Roman" w:hAnsi="inherit" w:cs="Times New Roman"/>
                <w:i/>
                <w:iCs/>
                <w:sz w:val="24"/>
                <w:szCs w:val="24"/>
                <w:lang w:eastAsia="es-MX"/>
              </w:rPr>
              <w:t> not </w:t>
            </w: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a legal barrier to entry?</w:t>
            </w: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1976"/>
            </w:tblGrid>
            <w:tr w:rsidR="00344F0E" w:rsidRPr="00344F0E"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economies of scale</w:t>
                  </w:r>
                </w:p>
              </w:tc>
            </w:tr>
          </w:tbl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344F0E" w:rsidRPr="00344F0E" w:rsidRDefault="00344F0E" w:rsidP="00344F0E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344F0E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11</w:t>
      </w:r>
    </w:p>
    <w:p w:rsidR="00344F0E" w:rsidRPr="00344F0E" w:rsidRDefault="00344F0E" w:rsidP="00344F0E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344F0E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344F0E" w:rsidRPr="00344F0E" w:rsidTr="00344F0E">
        <w:tc>
          <w:tcPr>
            <w:tcW w:w="0" w:type="auto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 w:val="restart"/>
            <w:hideMark/>
          </w:tcPr>
          <w:p w:rsidR="00344F0E" w:rsidRPr="00344F0E" w:rsidRDefault="00344F0E" w:rsidP="00344F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If a single-price monopolist and a perfectly price-discriminating monopolist face the same demand and cost curves, then</w:t>
            </w: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222"/>
              <w:gridCol w:w="7352"/>
            </w:tblGrid>
            <w:tr w:rsidR="00344F0E" w:rsidRPr="00344F0E"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the single-price monopolist will not attain resource-allocative efficiency, but the discriminating monopolist will.</w:t>
                  </w:r>
                </w:p>
              </w:tc>
            </w:tr>
          </w:tbl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344F0E" w:rsidRPr="00344F0E" w:rsidRDefault="00344F0E" w:rsidP="00344F0E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344F0E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12</w:t>
      </w:r>
    </w:p>
    <w:p w:rsidR="00344F0E" w:rsidRPr="00344F0E" w:rsidRDefault="00344F0E" w:rsidP="00344F0E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344F0E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344F0E" w:rsidRPr="00344F0E" w:rsidTr="00344F0E">
        <w:tc>
          <w:tcPr>
            <w:tcW w:w="0" w:type="auto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 w:val="restart"/>
            <w:hideMark/>
          </w:tcPr>
          <w:p w:rsidR="00344F0E" w:rsidRPr="00344F0E" w:rsidRDefault="00344F0E" w:rsidP="00344F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Which of the following is the best example of a monopoly?</w:t>
            </w: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2077"/>
            </w:tblGrid>
            <w:tr w:rsidR="00344F0E" w:rsidRPr="00344F0E"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a local public utility</w:t>
                  </w:r>
                </w:p>
              </w:tc>
            </w:tr>
          </w:tbl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344F0E" w:rsidRPr="00344F0E" w:rsidRDefault="00344F0E" w:rsidP="00344F0E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344F0E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13</w:t>
      </w:r>
    </w:p>
    <w:p w:rsidR="00344F0E" w:rsidRPr="00344F0E" w:rsidRDefault="00344F0E" w:rsidP="00344F0E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344F0E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344F0E" w:rsidRPr="00344F0E" w:rsidTr="00344F0E">
        <w:tc>
          <w:tcPr>
            <w:tcW w:w="0" w:type="auto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 w:val="restart"/>
            <w:hideMark/>
          </w:tcPr>
          <w:p w:rsidR="00344F0E" w:rsidRPr="00344F0E" w:rsidRDefault="00344F0E" w:rsidP="00344F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Which of the following is </w:t>
            </w:r>
            <w:r w:rsidRPr="00344F0E">
              <w:rPr>
                <w:rFonts w:ascii="inherit" w:eastAsia="Times New Roman" w:hAnsi="inherit" w:cs="Times New Roman"/>
                <w:i/>
                <w:iCs/>
                <w:sz w:val="24"/>
                <w:szCs w:val="24"/>
                <w:lang w:eastAsia="es-MX"/>
              </w:rPr>
              <w:t>not</w:t>
            </w: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 an example of a legal barrier to entry?</w:t>
            </w: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3736"/>
            </w:tblGrid>
            <w:tr w:rsidR="00344F0E" w:rsidRPr="00344F0E"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exclusive ownership of raw materials</w:t>
                  </w:r>
                </w:p>
              </w:tc>
            </w:tr>
          </w:tbl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344F0E" w:rsidRPr="00344F0E" w:rsidRDefault="00344F0E" w:rsidP="00344F0E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344F0E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14</w:t>
      </w:r>
    </w:p>
    <w:p w:rsidR="00344F0E" w:rsidRPr="00344F0E" w:rsidRDefault="00344F0E" w:rsidP="00344F0E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344F0E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344F0E" w:rsidRPr="00344F0E" w:rsidTr="00344F0E">
        <w:tc>
          <w:tcPr>
            <w:tcW w:w="0" w:type="auto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 w:val="restart"/>
            <w:hideMark/>
          </w:tcPr>
          <w:p w:rsidR="00344F0E" w:rsidRPr="00344F0E" w:rsidRDefault="00344F0E" w:rsidP="00344F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Which of the following is </w:t>
            </w:r>
            <w:r w:rsidRPr="00344F0E">
              <w:rPr>
                <w:rFonts w:ascii="inherit" w:eastAsia="Times New Roman" w:hAnsi="inherit" w:cs="Times New Roman"/>
                <w:i/>
                <w:iCs/>
                <w:sz w:val="24"/>
                <w:szCs w:val="24"/>
                <w:lang w:eastAsia="es-MX"/>
              </w:rPr>
              <w:t>not</w:t>
            </w: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 an example of a legal barrier to entry?</w:t>
            </w: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1976"/>
            </w:tblGrid>
            <w:tr w:rsidR="00344F0E" w:rsidRPr="00344F0E"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economies of scale</w:t>
                  </w:r>
                </w:p>
              </w:tc>
            </w:tr>
          </w:tbl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344F0E" w:rsidRPr="00344F0E" w:rsidRDefault="00344F0E" w:rsidP="00344F0E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344F0E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15</w:t>
      </w:r>
    </w:p>
    <w:p w:rsidR="00344F0E" w:rsidRPr="00344F0E" w:rsidRDefault="00344F0E" w:rsidP="00344F0E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344F0E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344F0E" w:rsidRPr="00344F0E" w:rsidTr="00344F0E">
        <w:tc>
          <w:tcPr>
            <w:tcW w:w="0" w:type="auto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 w:val="restart"/>
            <w:hideMark/>
          </w:tcPr>
          <w:p w:rsidR="00344F0E" w:rsidRPr="00344F0E" w:rsidRDefault="00344F0E" w:rsidP="00344F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For the monopoly firm, its demand curve is</w:t>
            </w: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2643"/>
            </w:tblGrid>
            <w:tr w:rsidR="00344F0E" w:rsidRPr="00344F0E"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the market demand curve.</w:t>
                  </w:r>
                </w:p>
              </w:tc>
            </w:tr>
          </w:tbl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344F0E" w:rsidRPr="00344F0E" w:rsidRDefault="00344F0E" w:rsidP="00344F0E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344F0E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16</w:t>
      </w:r>
    </w:p>
    <w:p w:rsidR="00344F0E" w:rsidRPr="00344F0E" w:rsidRDefault="00344F0E" w:rsidP="00344F0E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344F0E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344F0E" w:rsidRPr="00344F0E" w:rsidTr="00344F0E">
        <w:tc>
          <w:tcPr>
            <w:tcW w:w="0" w:type="auto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 w:val="restart"/>
            <w:hideMark/>
          </w:tcPr>
          <w:p w:rsidR="00344F0E" w:rsidRPr="00344F0E" w:rsidRDefault="00344F0E" w:rsidP="00344F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Individuals who spend resources to influence public policy in a way that will redistribute income to themselves are</w:t>
            </w: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1377"/>
            </w:tblGrid>
            <w:tr w:rsidR="00344F0E" w:rsidRPr="00344F0E"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rent seeking.</w:t>
                  </w:r>
                </w:p>
              </w:tc>
            </w:tr>
          </w:tbl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344F0E" w:rsidRPr="00344F0E" w:rsidRDefault="00344F0E" w:rsidP="00344F0E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344F0E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17</w:t>
      </w:r>
    </w:p>
    <w:p w:rsidR="00344F0E" w:rsidRPr="00344F0E" w:rsidRDefault="00344F0E" w:rsidP="00344F0E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344F0E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344F0E" w:rsidRPr="00344F0E" w:rsidTr="00344F0E">
        <w:tc>
          <w:tcPr>
            <w:tcW w:w="0" w:type="auto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 w:val="restart"/>
            <w:hideMark/>
          </w:tcPr>
          <w:p w:rsidR="00344F0E" w:rsidRPr="00344F0E" w:rsidRDefault="00344F0E" w:rsidP="00344F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344F0E" w:rsidRPr="00344F0E" w:rsidRDefault="00344F0E" w:rsidP="00344F0E">
            <w:pPr>
              <w:spacing w:after="24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344F0E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es-MX"/>
              </w:rPr>
              <w:t>Exhibit 24-8</w:t>
            </w:r>
          </w:p>
          <w:tbl>
            <w:tblPr>
              <w:tblW w:w="2450" w:type="pct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00"/>
              <w:gridCol w:w="1384"/>
              <w:gridCol w:w="1509"/>
            </w:tblGrid>
            <w:tr w:rsidR="00344F0E" w:rsidRPr="00344F0E" w:rsidTr="00344F0E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b/>
                      <w:bCs/>
                      <w:sz w:val="20"/>
                      <w:szCs w:val="20"/>
                      <w:lang w:eastAsia="es-MX"/>
                    </w:rPr>
                    <w:lastRenderedPageBreak/>
                    <w:br/>
                    <w:t>Quantity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b/>
                      <w:bCs/>
                      <w:sz w:val="20"/>
                      <w:szCs w:val="20"/>
                      <w:lang w:eastAsia="es-MX"/>
                    </w:rPr>
                    <w:t>Total Revenue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b/>
                      <w:bCs/>
                      <w:sz w:val="20"/>
                      <w:szCs w:val="20"/>
                      <w:lang w:eastAsia="es-MX"/>
                    </w:rPr>
                    <w:br/>
                    <w:t>Total Cost</w:t>
                  </w:r>
                </w:p>
              </w:tc>
            </w:tr>
            <w:tr w:rsidR="00344F0E" w:rsidRPr="00344F0E" w:rsidTr="00344F0E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$200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$150</w:t>
                  </w:r>
                </w:p>
              </w:tc>
            </w:tr>
            <w:tr w:rsidR="00344F0E" w:rsidRPr="00344F0E" w:rsidTr="00344F0E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$270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$175</w:t>
                  </w:r>
                </w:p>
              </w:tc>
            </w:tr>
            <w:tr w:rsidR="00344F0E" w:rsidRPr="00344F0E" w:rsidTr="00344F0E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$328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$205</w:t>
                  </w:r>
                </w:p>
              </w:tc>
            </w:tr>
            <w:tr w:rsidR="00344F0E" w:rsidRPr="00344F0E" w:rsidTr="00344F0E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$375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$252</w:t>
                  </w:r>
                </w:p>
              </w:tc>
            </w:tr>
            <w:tr w:rsidR="00344F0E" w:rsidRPr="00344F0E" w:rsidTr="00344F0E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$390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$312</w:t>
                  </w:r>
                </w:p>
              </w:tc>
            </w:tr>
            <w:tr w:rsidR="00344F0E" w:rsidRPr="00344F0E" w:rsidTr="00344F0E">
              <w:trPr>
                <w:tblCellSpacing w:w="0" w:type="dxa"/>
              </w:trPr>
              <w:tc>
                <w:tcPr>
                  <w:tcW w:w="15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"/>
                      <w:szCs w:val="20"/>
                      <w:lang w:eastAsia="es-MX"/>
                    </w:rPr>
                  </w:pPr>
                </w:p>
              </w:tc>
              <w:tc>
                <w:tcPr>
                  <w:tcW w:w="16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"/>
                      <w:szCs w:val="20"/>
                      <w:lang w:eastAsia="es-MX"/>
                    </w:rPr>
                  </w:pPr>
                </w:p>
              </w:tc>
              <w:tc>
                <w:tcPr>
                  <w:tcW w:w="1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"/>
                      <w:szCs w:val="20"/>
                      <w:lang w:eastAsia="es-MX"/>
                    </w:rPr>
                  </w:pPr>
                </w:p>
              </w:tc>
            </w:tr>
          </w:tbl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br/>
            </w: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br/>
              <w:t>Refer to Exhibit 24-8. A profit-maximizing single-price monopolist will set the price at</w:t>
            </w: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1370"/>
            </w:tblGrid>
            <w:tr w:rsidR="00344F0E" w:rsidRPr="00344F0E"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$75 per unit.</w:t>
                  </w:r>
                </w:p>
              </w:tc>
            </w:tr>
          </w:tbl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344F0E" w:rsidRPr="00344F0E" w:rsidRDefault="00344F0E" w:rsidP="00344F0E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344F0E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18</w:t>
      </w:r>
    </w:p>
    <w:p w:rsidR="00344F0E" w:rsidRPr="00344F0E" w:rsidRDefault="00344F0E" w:rsidP="00344F0E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344F0E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344F0E" w:rsidRPr="00344F0E" w:rsidTr="00344F0E">
        <w:tc>
          <w:tcPr>
            <w:tcW w:w="0" w:type="auto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 w:val="restart"/>
            <w:hideMark/>
          </w:tcPr>
          <w:p w:rsidR="00344F0E" w:rsidRPr="00344F0E" w:rsidRDefault="00344F0E" w:rsidP="00344F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344F0E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es-MX"/>
              </w:rPr>
              <w:t>Exhibit 24-4</w:t>
            </w:r>
            <w:r w:rsidRPr="00344F0E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es-MX"/>
              </w:rPr>
              <w:br/>
            </w: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      </w:t>
            </w:r>
            <w:r w:rsidRPr="00344F0E">
              <w:rPr>
                <w:rFonts w:ascii="inherit" w:eastAsia="Times New Roman" w:hAnsi="inherit" w:cs="Times New Roman"/>
                <w:sz w:val="20"/>
                <w:szCs w:val="20"/>
                <w:bdr w:val="none" w:sz="0" w:space="0" w:color="auto" w:frame="1"/>
                <w:lang w:eastAsia="es-MX"/>
              </w:rPr>
              <w:t>     </w:t>
            </w: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 </w:t>
            </w:r>
            <w:r w:rsidRPr="00344F0E">
              <w:rPr>
                <w:rFonts w:ascii="inherit" w:eastAsia="Times New Roman" w:hAnsi="inherit" w:cs="Times New Roman"/>
                <w:sz w:val="20"/>
                <w:szCs w:val="20"/>
                <w:bdr w:val="none" w:sz="0" w:space="0" w:color="auto" w:frame="1"/>
                <w:lang w:eastAsia="es-MX"/>
              </w:rPr>
              <w:t>     </w:t>
            </w: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 </w:t>
            </w:r>
            <w:r w:rsidRPr="00344F0E">
              <w:rPr>
                <w:rFonts w:ascii="inherit" w:eastAsia="Times New Roman" w:hAnsi="inherit" w:cs="Times New Roman"/>
                <w:sz w:val="20"/>
                <w:szCs w:val="20"/>
                <w:bdr w:val="none" w:sz="0" w:space="0" w:color="auto" w:frame="1"/>
                <w:lang w:eastAsia="es-MX"/>
              </w:rPr>
              <w:t>     </w:t>
            </w: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 </w:t>
            </w:r>
            <w:r w:rsidRPr="00344F0E">
              <w:rPr>
                <w:rFonts w:ascii="inherit" w:eastAsia="Times New Roman" w:hAnsi="inherit" w:cs="Times New Roman"/>
                <w:sz w:val="20"/>
                <w:szCs w:val="20"/>
                <w:bdr w:val="none" w:sz="0" w:space="0" w:color="auto" w:frame="1"/>
                <w:lang w:eastAsia="es-MX"/>
              </w:rPr>
              <w:t>     </w:t>
            </w: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 </w:t>
            </w:r>
            <w:r w:rsidRPr="00344F0E">
              <w:rPr>
                <w:rFonts w:ascii="inherit" w:eastAsia="Times New Roman" w:hAnsi="inherit" w:cs="Times New Roman"/>
                <w:sz w:val="20"/>
                <w:szCs w:val="20"/>
                <w:bdr w:val="none" w:sz="0" w:space="0" w:color="auto" w:frame="1"/>
                <w:lang w:eastAsia="es-MX"/>
              </w:rPr>
              <w:t>     </w:t>
            </w: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 </w:t>
            </w:r>
            <w:r w:rsidRPr="00344F0E">
              <w:rPr>
                <w:rFonts w:ascii="inherit" w:eastAsia="Times New Roman" w:hAnsi="inherit" w:cs="Times New Roman"/>
                <w:sz w:val="20"/>
                <w:szCs w:val="20"/>
                <w:bdr w:val="none" w:sz="0" w:space="0" w:color="auto" w:frame="1"/>
                <w:lang w:eastAsia="es-MX"/>
              </w:rPr>
              <w:t>     </w:t>
            </w: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 </w:t>
            </w:r>
            <w:r w:rsidRPr="00344F0E">
              <w:rPr>
                <w:rFonts w:ascii="inherit" w:eastAsia="Times New Roman" w:hAnsi="inherit" w:cs="Times New Roman"/>
                <w:sz w:val="20"/>
                <w:szCs w:val="20"/>
                <w:bdr w:val="none" w:sz="0" w:space="0" w:color="auto" w:frame="1"/>
                <w:lang w:eastAsia="es-MX"/>
              </w:rPr>
              <w:t>     </w:t>
            </w: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 </w:t>
            </w:r>
            <w:r w:rsidRPr="00344F0E">
              <w:rPr>
                <w:rFonts w:ascii="inherit" w:eastAsia="Times New Roman" w:hAnsi="inherit" w:cs="Times New Roman"/>
                <w:sz w:val="20"/>
                <w:szCs w:val="20"/>
                <w:bdr w:val="none" w:sz="0" w:space="0" w:color="auto" w:frame="1"/>
                <w:lang w:eastAsia="es-MX"/>
              </w:rPr>
              <w:t>     </w:t>
            </w: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 </w:t>
            </w:r>
          </w:p>
          <w:tbl>
            <w:tblPr>
              <w:tblW w:w="4850" w:type="pct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80"/>
              <w:gridCol w:w="1162"/>
              <w:gridCol w:w="996"/>
              <w:gridCol w:w="1079"/>
              <w:gridCol w:w="996"/>
              <w:gridCol w:w="996"/>
              <w:gridCol w:w="996"/>
              <w:gridCol w:w="996"/>
            </w:tblGrid>
            <w:tr w:rsidR="00344F0E" w:rsidRPr="00344F0E" w:rsidTr="00344F0E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b/>
                      <w:bCs/>
                      <w:sz w:val="20"/>
                      <w:szCs w:val="20"/>
                      <w:bdr w:val="none" w:sz="0" w:space="0" w:color="auto" w:frame="1"/>
                      <w:lang w:eastAsia="es-MX"/>
                    </w:rPr>
                    <w:br/>
                  </w:r>
                  <w:r w:rsidRPr="00344F0E">
                    <w:rPr>
                      <w:rFonts w:ascii="inherit" w:eastAsia="Times New Roman" w:hAnsi="inherit" w:cs="Times New Roman"/>
                      <w:b/>
                      <w:bCs/>
                      <w:sz w:val="20"/>
                      <w:szCs w:val="20"/>
                      <w:bdr w:val="none" w:sz="0" w:space="0" w:color="auto" w:frame="1"/>
                      <w:lang w:eastAsia="es-MX"/>
                    </w:rPr>
                    <w:br/>
                    <w:t>Price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b/>
                      <w:bCs/>
                      <w:sz w:val="20"/>
                      <w:szCs w:val="20"/>
                      <w:bdr w:val="none" w:sz="0" w:space="0" w:color="auto" w:frame="1"/>
                      <w:lang w:eastAsia="es-MX"/>
                    </w:rPr>
                    <w:br/>
                    <w:t>Quantity</w:t>
                  </w:r>
                  <w:r w:rsidRPr="00344F0E">
                    <w:rPr>
                      <w:rFonts w:ascii="inherit" w:eastAsia="Times New Roman" w:hAnsi="inherit" w:cs="Times New Roman"/>
                      <w:b/>
                      <w:bCs/>
                      <w:sz w:val="20"/>
                      <w:szCs w:val="20"/>
                      <w:bdr w:val="none" w:sz="0" w:space="0" w:color="auto" w:frame="1"/>
                      <w:lang w:eastAsia="es-MX"/>
                    </w:rPr>
                    <w:br/>
                    <w:t>Demanded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b/>
                      <w:bCs/>
                      <w:sz w:val="20"/>
                      <w:szCs w:val="20"/>
                      <w:bdr w:val="none" w:sz="0" w:space="0" w:color="auto" w:frame="1"/>
                      <w:lang w:eastAsia="es-MX"/>
                    </w:rPr>
                    <w:br/>
                    <w:t>Fixed Cost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b/>
                      <w:bCs/>
                      <w:sz w:val="20"/>
                      <w:szCs w:val="20"/>
                      <w:bdr w:val="none" w:sz="0" w:space="0" w:color="auto" w:frame="1"/>
                      <w:lang w:eastAsia="es-MX"/>
                    </w:rPr>
                    <w:br/>
                    <w:t>Variable Cost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b/>
                      <w:bCs/>
                      <w:sz w:val="20"/>
                      <w:szCs w:val="20"/>
                      <w:bdr w:val="none" w:sz="0" w:space="0" w:color="auto" w:frame="1"/>
                      <w:lang w:eastAsia="es-MX"/>
                    </w:rPr>
                    <w:br/>
                    <w:t>Total Revenue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b/>
                      <w:bCs/>
                      <w:sz w:val="20"/>
                      <w:szCs w:val="20"/>
                      <w:bdr w:val="none" w:sz="0" w:space="0" w:color="auto" w:frame="1"/>
                      <w:lang w:eastAsia="es-MX"/>
                    </w:rPr>
                    <w:br/>
                  </w:r>
                  <w:r w:rsidRPr="00344F0E">
                    <w:rPr>
                      <w:rFonts w:ascii="inherit" w:eastAsia="Times New Roman" w:hAnsi="inherit" w:cs="Times New Roman"/>
                      <w:b/>
                      <w:bCs/>
                      <w:sz w:val="20"/>
                      <w:szCs w:val="20"/>
                      <w:bdr w:val="none" w:sz="0" w:space="0" w:color="auto" w:frame="1"/>
                      <w:lang w:eastAsia="es-MX"/>
                    </w:rPr>
                    <w:br/>
                    <w:t>Total Cost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b/>
                      <w:bCs/>
                      <w:sz w:val="20"/>
                      <w:szCs w:val="20"/>
                      <w:bdr w:val="none" w:sz="0" w:space="0" w:color="auto" w:frame="1"/>
                      <w:lang w:eastAsia="es-MX"/>
                    </w:rPr>
                    <w:br/>
                    <w:t>Marginal Revenue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b/>
                      <w:bCs/>
                      <w:sz w:val="20"/>
                      <w:szCs w:val="20"/>
                      <w:bdr w:val="none" w:sz="0" w:space="0" w:color="auto" w:frame="1"/>
                      <w:lang w:eastAsia="es-MX"/>
                    </w:rPr>
                    <w:br/>
                    <w:t>Marginal Cost</w:t>
                  </w:r>
                </w:p>
              </w:tc>
            </w:tr>
            <w:tr w:rsidR="00344F0E" w:rsidRPr="00344F0E" w:rsidTr="00344F0E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i/>
                      <w:iCs/>
                      <w:sz w:val="20"/>
                      <w:szCs w:val="20"/>
                      <w:lang w:eastAsia="es-MX"/>
                    </w:rPr>
                    <w:t>$</w:t>
                  </w: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100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$10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$0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(D)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(I)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 </w:t>
                  </w:r>
                </w:p>
              </w:tc>
            </w:tr>
            <w:tr w:rsidR="00344F0E" w:rsidRPr="00344F0E" w:rsidTr="00344F0E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  90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25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(E)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(J)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(N)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(S)</w:t>
                  </w:r>
                </w:p>
              </w:tc>
            </w:tr>
            <w:tr w:rsidR="00344F0E" w:rsidRPr="00344F0E" w:rsidTr="00344F0E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  80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(B)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65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(F)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(K)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(O)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(T)</w:t>
                  </w:r>
                </w:p>
              </w:tc>
            </w:tr>
            <w:tr w:rsidR="00344F0E" w:rsidRPr="00344F0E" w:rsidTr="00344F0E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  (A)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130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225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(L)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(P)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(U)</w:t>
                  </w:r>
                </w:p>
              </w:tc>
            </w:tr>
            <w:tr w:rsidR="00344F0E" w:rsidRPr="00344F0E" w:rsidTr="00344F0E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  60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(C)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(G)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220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(Q)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(V)</w:t>
                  </w:r>
                </w:p>
              </w:tc>
            </w:tr>
            <w:tr w:rsidR="00344F0E" w:rsidRPr="00344F0E" w:rsidTr="00344F0E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  50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310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(H)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(M)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(R)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(W)</w:t>
                  </w:r>
                </w:p>
              </w:tc>
            </w:tr>
            <w:tr w:rsidR="00344F0E" w:rsidRPr="00344F0E" w:rsidTr="00344F0E">
              <w:trPr>
                <w:tblCellSpacing w:w="0" w:type="dxa"/>
              </w:trPr>
              <w:tc>
                <w:tcPr>
                  <w:tcW w:w="6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"/>
                      <w:szCs w:val="20"/>
                      <w:lang w:eastAsia="es-MX"/>
                    </w:rPr>
                  </w:pPr>
                </w:p>
              </w:tc>
              <w:tc>
                <w:tcPr>
                  <w:tcW w:w="7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"/>
                      <w:szCs w:val="20"/>
                      <w:lang w:eastAsia="es-MX"/>
                    </w:rPr>
                  </w:pPr>
                </w:p>
              </w:tc>
              <w:tc>
                <w:tcPr>
                  <w:tcW w:w="6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"/>
                      <w:szCs w:val="20"/>
                      <w:lang w:eastAsia="es-MX"/>
                    </w:rPr>
                  </w:pPr>
                </w:p>
              </w:tc>
              <w:tc>
                <w:tcPr>
                  <w:tcW w:w="6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"/>
                      <w:szCs w:val="20"/>
                      <w:lang w:eastAsia="es-MX"/>
                    </w:rPr>
                  </w:pPr>
                </w:p>
              </w:tc>
              <w:tc>
                <w:tcPr>
                  <w:tcW w:w="6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"/>
                      <w:szCs w:val="20"/>
                      <w:lang w:eastAsia="es-MX"/>
                    </w:rPr>
                  </w:pPr>
                </w:p>
              </w:tc>
              <w:tc>
                <w:tcPr>
                  <w:tcW w:w="6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"/>
                      <w:szCs w:val="20"/>
                      <w:lang w:eastAsia="es-MX"/>
                    </w:rPr>
                  </w:pPr>
                </w:p>
              </w:tc>
              <w:tc>
                <w:tcPr>
                  <w:tcW w:w="6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"/>
                      <w:szCs w:val="20"/>
                      <w:lang w:eastAsia="es-MX"/>
                    </w:rPr>
                  </w:pPr>
                </w:p>
              </w:tc>
              <w:tc>
                <w:tcPr>
                  <w:tcW w:w="6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"/>
                      <w:szCs w:val="20"/>
                      <w:lang w:eastAsia="es-MX"/>
                    </w:rPr>
                  </w:pPr>
                </w:p>
              </w:tc>
            </w:tr>
          </w:tbl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br/>
            </w: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br/>
              <w:t>Refer to Exhibit 24-4. The profit-maximizing single-price monopolist's maximum profit is</w:t>
            </w: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690"/>
            </w:tblGrid>
            <w:tr w:rsidR="00344F0E" w:rsidRPr="00344F0E"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$110.</w:t>
                  </w:r>
                </w:p>
              </w:tc>
            </w:tr>
          </w:tbl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344F0E" w:rsidRPr="00344F0E" w:rsidRDefault="00344F0E" w:rsidP="00344F0E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344F0E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19</w:t>
      </w:r>
    </w:p>
    <w:p w:rsidR="00344F0E" w:rsidRPr="00344F0E" w:rsidRDefault="00344F0E" w:rsidP="00344F0E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344F0E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344F0E" w:rsidRPr="00344F0E" w:rsidTr="00344F0E">
        <w:tc>
          <w:tcPr>
            <w:tcW w:w="0" w:type="auto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 w:val="restart"/>
            <w:hideMark/>
          </w:tcPr>
          <w:p w:rsidR="00344F0E" w:rsidRPr="00344F0E" w:rsidRDefault="00344F0E" w:rsidP="00344F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344F0E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es-MX"/>
              </w:rPr>
              <w:t>Exhibit 24-1</w:t>
            </w:r>
            <w:r w:rsidRPr="00344F0E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es-MX"/>
              </w:rPr>
              <w:br/>
            </w: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br/>
            </w:r>
            <w:r>
              <w:rPr>
                <w:rFonts w:ascii="inherit" w:eastAsia="Times New Roman" w:hAnsi="inherit" w:cs="Times New Roman"/>
                <w:noProof/>
                <w:sz w:val="24"/>
                <w:szCs w:val="24"/>
                <w:lang w:eastAsia="es-MX"/>
              </w:rPr>
              <w:lastRenderedPageBreak/>
              <mc:AlternateContent>
                <mc:Choice Requires="wps">
                  <w:drawing>
                    <wp:inline distT="0" distB="0" distL="0" distR="0">
                      <wp:extent cx="2152650" cy="2428875"/>
                      <wp:effectExtent l="0" t="0" r="0" b="0"/>
                      <wp:docPr id="2" name="Rectangle 2" descr="nar001-1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152650" cy="24288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ctangle 2" o:spid="_x0000_s1026" alt="nar001-1.jpg" style="width:169.5pt;height:191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br/>
            </w:r>
            <w:r w:rsidRPr="00344F0E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br/>
              <w:t>Refer to Exhibit 24-1. If the product is produced under single-price monopoly, what do profits equal at the profit maximizing level of output?</w:t>
            </w: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1327"/>
            </w:tblGrid>
            <w:tr w:rsidR="00344F0E" w:rsidRPr="00344F0E"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area 0P</w:t>
                  </w: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  <w:vertAlign w:val="subscript"/>
                      <w:lang w:eastAsia="es-MX"/>
                    </w:rPr>
                    <w:t>1</w:t>
                  </w:r>
                  <w:r w:rsidRPr="00344F0E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BQ</w:t>
                  </w:r>
                  <w:r w:rsidRPr="00344F0E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  <w:vertAlign w:val="subscript"/>
                      <w:lang w:eastAsia="es-MX"/>
                    </w:rPr>
                    <w:t>1</w:t>
                  </w:r>
                </w:p>
              </w:tc>
            </w:tr>
          </w:tbl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344F0E" w:rsidRPr="00344F0E" w:rsidRDefault="00344F0E" w:rsidP="00344F0E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344F0E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20</w:t>
      </w:r>
    </w:p>
    <w:p w:rsidR="00344F0E" w:rsidRPr="00344F0E" w:rsidRDefault="00344F0E" w:rsidP="00344F0E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344F0E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344F0E" w:rsidRPr="00344F0E" w:rsidTr="00344F0E">
        <w:tc>
          <w:tcPr>
            <w:tcW w:w="0" w:type="auto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 w:val="restart"/>
            <w:hideMark/>
          </w:tcPr>
          <w:p w:rsidR="00344F0E" w:rsidRPr="00344F0E" w:rsidRDefault="00344F0E" w:rsidP="00344F0E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val="en-US" w:eastAsia="es-MX"/>
              </w:rPr>
            </w:pPr>
            <w:r w:rsidRPr="00344F0E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val="en-US" w:eastAsia="es-MX"/>
              </w:rPr>
              <w:t>Exhibit 24-6</w:t>
            </w:r>
            <w:r w:rsidRPr="00344F0E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val="en-US" w:eastAsia="es-MX"/>
              </w:rPr>
              <w:br/>
            </w:r>
            <w:r w:rsidRPr="00344F0E">
              <w:rPr>
                <w:rFonts w:ascii="inherit" w:eastAsia="Times New Roman" w:hAnsi="inherit" w:cs="Times New Roman"/>
                <w:sz w:val="24"/>
                <w:szCs w:val="24"/>
                <w:lang w:val="en-US" w:eastAsia="es-MX"/>
              </w:rPr>
              <w:br/>
            </w:r>
            <w:r>
              <w:rPr>
                <w:rFonts w:ascii="inherit" w:eastAsia="Times New Roman" w:hAnsi="inherit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2857500" cy="2400300"/>
                  <wp:effectExtent l="0" t="0" r="0" b="0"/>
                  <wp:docPr id="1" name="Picture 1" descr="nar006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nar006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40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44F0E">
              <w:rPr>
                <w:rFonts w:ascii="inherit" w:eastAsia="Times New Roman" w:hAnsi="inherit" w:cs="Times New Roman"/>
                <w:sz w:val="24"/>
                <w:szCs w:val="24"/>
                <w:lang w:val="en-US" w:eastAsia="es-MX"/>
              </w:rPr>
              <w:br/>
            </w:r>
            <w:r w:rsidRPr="00344F0E">
              <w:rPr>
                <w:rFonts w:ascii="inherit" w:eastAsia="Times New Roman" w:hAnsi="inherit" w:cs="Times New Roman"/>
                <w:sz w:val="24"/>
                <w:szCs w:val="24"/>
                <w:lang w:val="en-US" w:eastAsia="es-MX"/>
              </w:rPr>
              <w:br/>
              <w:t>Refer to Exhibit 24-6. The marginal revenue curve of a perfectly competitive firm producing X and selling it at the price P</w:t>
            </w:r>
            <w:r w:rsidRPr="00344F0E">
              <w:rPr>
                <w:rFonts w:ascii="inherit" w:eastAsia="Times New Roman" w:hAnsi="inherit" w:cs="Times New Roman"/>
                <w:sz w:val="20"/>
                <w:szCs w:val="20"/>
                <w:bdr w:val="none" w:sz="0" w:space="0" w:color="auto" w:frame="1"/>
                <w:vertAlign w:val="subscript"/>
                <w:lang w:val="en-US" w:eastAsia="es-MX"/>
              </w:rPr>
              <w:t>0</w:t>
            </w:r>
            <w:r w:rsidRPr="00344F0E">
              <w:rPr>
                <w:rFonts w:ascii="inherit" w:eastAsia="Times New Roman" w:hAnsi="inherit" w:cs="Times New Roman"/>
                <w:sz w:val="24"/>
                <w:szCs w:val="24"/>
                <w:lang w:val="en-US" w:eastAsia="es-MX"/>
              </w:rPr>
              <w:t> is represented by</w:t>
            </w: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344F0E" w:rsidRPr="00344F0E" w:rsidTr="00344F0E">
        <w:tc>
          <w:tcPr>
            <w:tcW w:w="0" w:type="auto"/>
            <w:vMerge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val="en-US"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384"/>
            </w:tblGrid>
            <w:tr w:rsidR="00344F0E" w:rsidRPr="00344F0E"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344F0E" w:rsidRPr="00344F0E" w:rsidRDefault="00344F0E" w:rsidP="00344F0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344F0E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D.</w:t>
                  </w:r>
                </w:p>
              </w:tc>
            </w:tr>
          </w:tbl>
          <w:p w:rsidR="00344F0E" w:rsidRPr="00344F0E" w:rsidRDefault="00344F0E" w:rsidP="00344F0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44F0E" w:rsidRPr="00344F0E" w:rsidRDefault="00344F0E" w:rsidP="00344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D43948" w:rsidRDefault="00344F0E">
      <w:bookmarkStart w:id="0" w:name="_GoBack"/>
      <w:bookmarkEnd w:id="0"/>
    </w:p>
    <w:sectPr w:rsidR="00D439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601B2E"/>
    <w:multiLevelType w:val="multilevel"/>
    <w:tmpl w:val="D96A3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F0E"/>
    <w:rsid w:val="00344F0E"/>
    <w:rsid w:val="00702207"/>
    <w:rsid w:val="00CF1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344F0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44F0E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paragraph" w:customStyle="1" w:styleId="taskbuttondiv">
    <w:name w:val="taskbuttondiv"/>
    <w:basedOn w:val="Normal"/>
    <w:rsid w:val="00344F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label">
    <w:name w:val="label"/>
    <w:basedOn w:val="DefaultParagraphFont"/>
    <w:rsid w:val="00344F0E"/>
  </w:style>
  <w:style w:type="character" w:customStyle="1" w:styleId="apple-converted-space">
    <w:name w:val="apple-converted-space"/>
    <w:basedOn w:val="DefaultParagraphFont"/>
    <w:rsid w:val="00344F0E"/>
  </w:style>
  <w:style w:type="paragraph" w:styleId="BalloonText">
    <w:name w:val="Balloon Text"/>
    <w:basedOn w:val="Normal"/>
    <w:link w:val="BalloonTextChar"/>
    <w:uiPriority w:val="99"/>
    <w:semiHidden/>
    <w:unhideWhenUsed/>
    <w:rsid w:val="00344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4F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344F0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44F0E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paragraph" w:customStyle="1" w:styleId="taskbuttondiv">
    <w:name w:val="taskbuttondiv"/>
    <w:basedOn w:val="Normal"/>
    <w:rsid w:val="00344F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label">
    <w:name w:val="label"/>
    <w:basedOn w:val="DefaultParagraphFont"/>
    <w:rsid w:val="00344F0E"/>
  </w:style>
  <w:style w:type="character" w:customStyle="1" w:styleId="apple-converted-space">
    <w:name w:val="apple-converted-space"/>
    <w:basedOn w:val="DefaultParagraphFont"/>
    <w:rsid w:val="00344F0E"/>
  </w:style>
  <w:style w:type="paragraph" w:styleId="BalloonText">
    <w:name w:val="Balloon Text"/>
    <w:basedOn w:val="Normal"/>
    <w:link w:val="BalloonTextChar"/>
    <w:uiPriority w:val="99"/>
    <w:semiHidden/>
    <w:unhideWhenUsed/>
    <w:rsid w:val="00344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4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101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79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4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25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68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60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3010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5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847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50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169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971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344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32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2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913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9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01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16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246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097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9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07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43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03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391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1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71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08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49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452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2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70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02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90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497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73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2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55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83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810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9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899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49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04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23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4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79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60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85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99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2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22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42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00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685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7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81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4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812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909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62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874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65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100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0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30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94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68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818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35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399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7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267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67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2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792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18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774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328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1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312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71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570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735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43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52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70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56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85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46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16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558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638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2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46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492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42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656</Words>
  <Characters>3609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Ethan Chavez</dc:creator>
  <cp:lastModifiedBy>Ethan Chavez</cp:lastModifiedBy>
  <cp:revision>1</cp:revision>
  <dcterms:created xsi:type="dcterms:W3CDTF">2015-04-26T22:13:00Z</dcterms:created>
  <dcterms:modified xsi:type="dcterms:W3CDTF">2015-04-26T22:14:00Z</dcterms:modified>
</cp:coreProperties>
</file>