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26A2" w:rsidRPr="003C26A2" w:rsidRDefault="003C26A2" w:rsidP="003C26A2">
      <w:pPr>
        <w:pStyle w:val="ListParagraph"/>
        <w:numPr>
          <w:ilvl w:val="0"/>
          <w:numId w:val="1"/>
        </w:numPr>
        <w:spacing w:after="0" w:line="240" w:lineRule="auto"/>
        <w:textAlignment w:val="baseline"/>
        <w:rPr>
          <w:rFonts w:ascii="Arial" w:eastAsia="Times New Roman" w:hAnsi="Arial" w:cs="Arial"/>
          <w:color w:val="6B6B6B"/>
          <w:sz w:val="20"/>
          <w:szCs w:val="20"/>
        </w:rPr>
      </w:pPr>
      <w:r w:rsidRPr="003C26A2">
        <w:rPr>
          <w:rFonts w:ascii="Arial" w:eastAsia="Times New Roman" w:hAnsi="Arial" w:cs="Arial"/>
          <w:color w:val="6B6B6B"/>
          <w:sz w:val="20"/>
          <w:szCs w:val="20"/>
        </w:rPr>
        <w:t>Under GASB standards, which of the following would be considered an example of an intangible asset?</w:t>
      </w:r>
    </w:p>
    <w:p w:rsidR="003C26A2" w:rsidRDefault="003C26A2" w:rsidP="003C26A2">
      <w:pPr>
        <w:ind w:firstLine="360"/>
        <w:rPr>
          <w:b/>
        </w:rPr>
      </w:pPr>
      <w:r>
        <w:rPr>
          <w:rFonts w:ascii="Arial" w:hAnsi="Arial" w:cs="Arial"/>
          <w:b/>
          <w:color w:val="333333"/>
          <w:sz w:val="20"/>
          <w:szCs w:val="20"/>
          <w:shd w:val="clear" w:color="auto" w:fill="FFFFFF"/>
        </w:rPr>
        <w:t xml:space="preserve">      </w:t>
      </w:r>
      <w:r w:rsidRPr="003C26A2">
        <w:rPr>
          <w:rFonts w:ascii="Arial" w:hAnsi="Arial" w:cs="Arial"/>
          <w:b/>
          <w:color w:val="333333"/>
          <w:sz w:val="20"/>
          <w:szCs w:val="20"/>
          <w:shd w:val="clear" w:color="auto" w:fill="FFFFFF"/>
        </w:rPr>
        <w:t>Water rights associated with the springs that supply the water to the lake.</w:t>
      </w:r>
    </w:p>
    <w:p w:rsidR="003C26A2" w:rsidRPr="003C26A2" w:rsidRDefault="003C26A2" w:rsidP="003C26A2">
      <w:pPr>
        <w:pStyle w:val="ListParagraph"/>
        <w:numPr>
          <w:ilvl w:val="0"/>
          <w:numId w:val="1"/>
        </w:numPr>
        <w:spacing w:after="0" w:line="240" w:lineRule="auto"/>
        <w:textAlignment w:val="baseline"/>
        <w:rPr>
          <w:rFonts w:ascii="Arial" w:eastAsia="Times New Roman" w:hAnsi="Arial" w:cs="Arial"/>
          <w:color w:val="6B6B6B"/>
          <w:sz w:val="20"/>
          <w:szCs w:val="20"/>
        </w:rPr>
      </w:pPr>
      <w:r w:rsidRPr="003C26A2">
        <w:rPr>
          <w:rFonts w:ascii="Arial" w:eastAsia="Times New Roman" w:hAnsi="Arial" w:cs="Arial"/>
          <w:color w:val="6B6B6B"/>
          <w:sz w:val="20"/>
          <w:szCs w:val="20"/>
        </w:rPr>
        <w:t>Two new copiers were purchased for use by the city clerk’s office using General Fund resources. The copiers cost $15,000 each; the city’s capitalization threshold is $5,000. Which of the following entries would be required to completely record this transaction?</w:t>
      </w:r>
    </w:p>
    <w:tbl>
      <w:tblPr>
        <w:tblW w:w="7800"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5460"/>
        <w:gridCol w:w="1170"/>
        <w:gridCol w:w="1170"/>
      </w:tblGrid>
      <w:tr w:rsidR="003C26A2" w:rsidRPr="003C26A2" w:rsidTr="003C26A2">
        <w:trPr>
          <w:tblCellSpacing w:w="0" w:type="dxa"/>
        </w:trPr>
        <w:tc>
          <w:tcPr>
            <w:tcW w:w="3500" w:type="pct"/>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jc w:val="center"/>
              <w:rPr>
                <w:rFonts w:ascii="Arial" w:eastAsia="Times New Roman" w:hAnsi="Arial" w:cs="Arial"/>
                <w:color w:val="333333"/>
                <w:sz w:val="20"/>
                <w:szCs w:val="20"/>
              </w:rPr>
            </w:pPr>
            <w:r w:rsidRPr="003C26A2">
              <w:rPr>
                <w:rFonts w:ascii="Arial" w:eastAsia="Times New Roman" w:hAnsi="Arial" w:cs="Arial"/>
                <w:b/>
                <w:bCs/>
                <w:i/>
                <w:iCs/>
                <w:color w:val="333333"/>
                <w:sz w:val="20"/>
                <w:szCs w:val="20"/>
              </w:rPr>
              <w:t>General Journal</w:t>
            </w:r>
          </w:p>
        </w:tc>
        <w:tc>
          <w:tcPr>
            <w:tcW w:w="750" w:type="pct"/>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jc w:val="center"/>
              <w:rPr>
                <w:rFonts w:ascii="Arial" w:eastAsia="Times New Roman" w:hAnsi="Arial" w:cs="Arial"/>
                <w:color w:val="333333"/>
                <w:sz w:val="20"/>
                <w:szCs w:val="20"/>
              </w:rPr>
            </w:pPr>
            <w:r w:rsidRPr="003C26A2">
              <w:rPr>
                <w:rFonts w:ascii="Arial" w:eastAsia="Times New Roman" w:hAnsi="Arial" w:cs="Arial"/>
                <w:b/>
                <w:bCs/>
                <w:i/>
                <w:iCs/>
                <w:color w:val="333333"/>
                <w:sz w:val="20"/>
                <w:szCs w:val="20"/>
              </w:rPr>
              <w:t>Debit</w:t>
            </w:r>
          </w:p>
        </w:tc>
        <w:tc>
          <w:tcPr>
            <w:tcW w:w="750" w:type="pct"/>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jc w:val="center"/>
              <w:rPr>
                <w:rFonts w:ascii="Arial" w:eastAsia="Times New Roman" w:hAnsi="Arial" w:cs="Arial"/>
                <w:color w:val="333333"/>
                <w:sz w:val="20"/>
                <w:szCs w:val="20"/>
              </w:rPr>
            </w:pPr>
            <w:r w:rsidRPr="003C26A2">
              <w:rPr>
                <w:rFonts w:ascii="Arial" w:eastAsia="Times New Roman" w:hAnsi="Arial" w:cs="Arial"/>
                <w:b/>
                <w:bCs/>
                <w:i/>
                <w:iCs/>
                <w:color w:val="333333"/>
                <w:sz w:val="20"/>
                <w:szCs w:val="20"/>
              </w:rPr>
              <w:t>Credit</w:t>
            </w:r>
          </w:p>
        </w:tc>
      </w:tr>
      <w:tr w:rsidR="003C26A2" w:rsidRPr="003C26A2" w:rsidTr="003C26A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rPr>
                <w:rFonts w:ascii="Arial" w:eastAsia="Times New Roman" w:hAnsi="Arial" w:cs="Arial"/>
                <w:color w:val="333333"/>
                <w:sz w:val="20"/>
                <w:szCs w:val="20"/>
              </w:rPr>
            </w:pPr>
            <w:r w:rsidRPr="003C26A2">
              <w:rPr>
                <w:rFonts w:ascii="Arial" w:eastAsia="Times New Roman" w:hAnsi="Arial" w:cs="Arial"/>
                <w:color w:val="333333"/>
                <w:sz w:val="20"/>
                <w:szCs w:val="20"/>
              </w:rPr>
              <w:t> </w:t>
            </w:r>
            <w:r w:rsidRPr="003C26A2">
              <w:rPr>
                <w:rFonts w:ascii="Arial" w:eastAsia="Times New Roman" w:hAnsi="Arial" w:cs="Arial"/>
                <w:i/>
                <w:iCs/>
                <w:color w:val="333333"/>
                <w:sz w:val="20"/>
                <w:szCs w:val="20"/>
              </w:rPr>
              <w:t> General Fund</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jc w:val="center"/>
              <w:rPr>
                <w:rFonts w:ascii="Arial" w:eastAsia="Times New Roman" w:hAnsi="Arial" w:cs="Arial"/>
                <w:color w:val="333333"/>
                <w:sz w:val="20"/>
                <w:szCs w:val="20"/>
              </w:rPr>
            </w:pPr>
            <w:r w:rsidRPr="003C26A2">
              <w:rPr>
                <w:rFonts w:ascii="Arial" w:eastAsia="Times New Roman" w:hAnsi="Arial" w:cs="Arial"/>
                <w:color w:val="333333"/>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jc w:val="center"/>
              <w:rPr>
                <w:rFonts w:ascii="Arial" w:eastAsia="Times New Roman" w:hAnsi="Arial" w:cs="Arial"/>
                <w:color w:val="333333"/>
                <w:sz w:val="20"/>
                <w:szCs w:val="20"/>
              </w:rPr>
            </w:pPr>
            <w:r w:rsidRPr="003C26A2">
              <w:rPr>
                <w:rFonts w:ascii="Arial" w:eastAsia="Times New Roman" w:hAnsi="Arial" w:cs="Arial"/>
                <w:color w:val="333333"/>
                <w:sz w:val="20"/>
                <w:szCs w:val="20"/>
              </w:rPr>
              <w:t> </w:t>
            </w:r>
          </w:p>
        </w:tc>
      </w:tr>
      <w:tr w:rsidR="003C26A2" w:rsidRPr="003C26A2" w:rsidTr="003C26A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rPr>
                <w:rFonts w:ascii="Arial" w:eastAsia="Times New Roman" w:hAnsi="Arial" w:cs="Arial"/>
                <w:color w:val="333333"/>
                <w:sz w:val="20"/>
                <w:szCs w:val="20"/>
              </w:rPr>
            </w:pPr>
            <w:r w:rsidRPr="003C26A2">
              <w:rPr>
                <w:rFonts w:ascii="Arial" w:eastAsia="Times New Roman" w:hAnsi="Arial" w:cs="Arial"/>
                <w:color w:val="333333"/>
                <w:sz w:val="20"/>
                <w:szCs w:val="20"/>
              </w:rPr>
              <w:t>    Expenditures</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jc w:val="right"/>
              <w:rPr>
                <w:rFonts w:ascii="Arial" w:eastAsia="Times New Roman" w:hAnsi="Arial" w:cs="Arial"/>
                <w:color w:val="333333"/>
                <w:sz w:val="20"/>
                <w:szCs w:val="20"/>
              </w:rPr>
            </w:pPr>
            <w:r w:rsidRPr="003C26A2">
              <w:rPr>
                <w:rFonts w:ascii="Arial" w:eastAsia="Times New Roman" w:hAnsi="Arial" w:cs="Arial"/>
                <w:color w:val="333333"/>
                <w:sz w:val="20"/>
                <w:szCs w:val="20"/>
              </w:rPr>
              <w:t>30,000 </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jc w:val="right"/>
              <w:rPr>
                <w:rFonts w:ascii="Arial" w:eastAsia="Times New Roman" w:hAnsi="Arial" w:cs="Arial"/>
                <w:color w:val="333333"/>
                <w:sz w:val="20"/>
                <w:szCs w:val="20"/>
              </w:rPr>
            </w:pPr>
            <w:r w:rsidRPr="003C26A2">
              <w:rPr>
                <w:rFonts w:ascii="Arial" w:eastAsia="Times New Roman" w:hAnsi="Arial" w:cs="Arial"/>
                <w:color w:val="333333"/>
                <w:sz w:val="20"/>
                <w:szCs w:val="20"/>
              </w:rPr>
              <w:t> </w:t>
            </w:r>
          </w:p>
        </w:tc>
      </w:tr>
      <w:tr w:rsidR="003C26A2" w:rsidRPr="003C26A2" w:rsidTr="003C26A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rPr>
                <w:rFonts w:ascii="Arial" w:eastAsia="Times New Roman" w:hAnsi="Arial" w:cs="Arial"/>
                <w:color w:val="333333"/>
                <w:sz w:val="20"/>
                <w:szCs w:val="20"/>
              </w:rPr>
            </w:pPr>
            <w:r w:rsidRPr="003C26A2">
              <w:rPr>
                <w:rFonts w:ascii="Arial" w:eastAsia="Times New Roman" w:hAnsi="Arial" w:cs="Arial"/>
                <w:color w:val="333333"/>
                <w:sz w:val="20"/>
                <w:szCs w:val="20"/>
              </w:rPr>
              <w:t>         Vouchers Payable</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jc w:val="right"/>
              <w:rPr>
                <w:rFonts w:ascii="Arial" w:eastAsia="Times New Roman" w:hAnsi="Arial" w:cs="Arial"/>
                <w:color w:val="333333"/>
                <w:sz w:val="20"/>
                <w:szCs w:val="20"/>
              </w:rPr>
            </w:pPr>
            <w:r w:rsidRPr="003C26A2">
              <w:rPr>
                <w:rFonts w:ascii="Arial" w:eastAsia="Times New Roman" w:hAnsi="Arial" w:cs="Arial"/>
                <w:color w:val="333333"/>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jc w:val="right"/>
              <w:rPr>
                <w:rFonts w:ascii="Arial" w:eastAsia="Times New Roman" w:hAnsi="Arial" w:cs="Arial"/>
                <w:color w:val="333333"/>
                <w:sz w:val="20"/>
                <w:szCs w:val="20"/>
              </w:rPr>
            </w:pPr>
            <w:r w:rsidRPr="003C26A2">
              <w:rPr>
                <w:rFonts w:ascii="Arial" w:eastAsia="Times New Roman" w:hAnsi="Arial" w:cs="Arial"/>
                <w:color w:val="333333"/>
                <w:sz w:val="20"/>
                <w:szCs w:val="20"/>
              </w:rPr>
              <w:t>30,000 </w:t>
            </w:r>
          </w:p>
        </w:tc>
      </w:tr>
      <w:tr w:rsidR="003C26A2" w:rsidRPr="003C26A2" w:rsidTr="003C26A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rPr>
                <w:rFonts w:ascii="Arial" w:eastAsia="Times New Roman" w:hAnsi="Arial" w:cs="Arial"/>
                <w:color w:val="333333"/>
                <w:sz w:val="20"/>
                <w:szCs w:val="20"/>
              </w:rPr>
            </w:pPr>
            <w:r w:rsidRPr="003C26A2">
              <w:rPr>
                <w:rFonts w:ascii="Arial" w:eastAsia="Times New Roman" w:hAnsi="Arial" w:cs="Arial"/>
                <w:color w:val="333333"/>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jc w:val="right"/>
              <w:rPr>
                <w:rFonts w:ascii="Arial" w:eastAsia="Times New Roman" w:hAnsi="Arial" w:cs="Arial"/>
                <w:color w:val="333333"/>
                <w:sz w:val="20"/>
                <w:szCs w:val="20"/>
              </w:rPr>
            </w:pPr>
            <w:r w:rsidRPr="003C26A2">
              <w:rPr>
                <w:rFonts w:ascii="Arial" w:eastAsia="Times New Roman" w:hAnsi="Arial" w:cs="Arial"/>
                <w:color w:val="333333"/>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jc w:val="right"/>
              <w:rPr>
                <w:rFonts w:ascii="Arial" w:eastAsia="Times New Roman" w:hAnsi="Arial" w:cs="Arial"/>
                <w:color w:val="333333"/>
                <w:sz w:val="20"/>
                <w:szCs w:val="20"/>
              </w:rPr>
            </w:pPr>
            <w:r w:rsidRPr="003C26A2">
              <w:rPr>
                <w:rFonts w:ascii="Arial" w:eastAsia="Times New Roman" w:hAnsi="Arial" w:cs="Arial"/>
                <w:color w:val="333333"/>
                <w:sz w:val="20"/>
                <w:szCs w:val="20"/>
              </w:rPr>
              <w:t> </w:t>
            </w:r>
          </w:p>
        </w:tc>
      </w:tr>
      <w:tr w:rsidR="003C26A2" w:rsidRPr="003C26A2" w:rsidTr="003C26A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rPr>
                <w:rFonts w:ascii="Arial" w:eastAsia="Times New Roman" w:hAnsi="Arial" w:cs="Arial"/>
                <w:color w:val="333333"/>
                <w:sz w:val="20"/>
                <w:szCs w:val="20"/>
              </w:rPr>
            </w:pPr>
            <w:r w:rsidRPr="003C26A2">
              <w:rPr>
                <w:rFonts w:ascii="Arial" w:eastAsia="Times New Roman" w:hAnsi="Arial" w:cs="Arial"/>
                <w:color w:val="333333"/>
                <w:sz w:val="20"/>
                <w:szCs w:val="20"/>
              </w:rPr>
              <w:t> </w:t>
            </w:r>
            <w:r w:rsidRPr="003C26A2">
              <w:rPr>
                <w:rFonts w:ascii="Arial" w:eastAsia="Times New Roman" w:hAnsi="Arial" w:cs="Arial"/>
                <w:i/>
                <w:iCs/>
                <w:color w:val="333333"/>
                <w:sz w:val="20"/>
                <w:szCs w:val="20"/>
              </w:rPr>
              <w:t> Governmental Activities</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jc w:val="right"/>
              <w:rPr>
                <w:rFonts w:ascii="Arial" w:eastAsia="Times New Roman" w:hAnsi="Arial" w:cs="Arial"/>
                <w:color w:val="333333"/>
                <w:sz w:val="20"/>
                <w:szCs w:val="20"/>
              </w:rPr>
            </w:pPr>
            <w:r w:rsidRPr="003C26A2">
              <w:rPr>
                <w:rFonts w:ascii="Arial" w:eastAsia="Times New Roman" w:hAnsi="Arial" w:cs="Arial"/>
                <w:color w:val="333333"/>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jc w:val="right"/>
              <w:rPr>
                <w:rFonts w:ascii="Arial" w:eastAsia="Times New Roman" w:hAnsi="Arial" w:cs="Arial"/>
                <w:color w:val="333333"/>
                <w:sz w:val="20"/>
                <w:szCs w:val="20"/>
              </w:rPr>
            </w:pPr>
            <w:r w:rsidRPr="003C26A2">
              <w:rPr>
                <w:rFonts w:ascii="Arial" w:eastAsia="Times New Roman" w:hAnsi="Arial" w:cs="Arial"/>
                <w:color w:val="333333"/>
                <w:sz w:val="20"/>
                <w:szCs w:val="20"/>
              </w:rPr>
              <w:t> </w:t>
            </w:r>
          </w:p>
        </w:tc>
      </w:tr>
      <w:tr w:rsidR="003C26A2" w:rsidRPr="003C26A2" w:rsidTr="003C26A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rPr>
                <w:rFonts w:ascii="Arial" w:eastAsia="Times New Roman" w:hAnsi="Arial" w:cs="Arial"/>
                <w:color w:val="333333"/>
                <w:sz w:val="20"/>
                <w:szCs w:val="20"/>
              </w:rPr>
            </w:pPr>
            <w:r w:rsidRPr="003C26A2">
              <w:rPr>
                <w:rFonts w:ascii="Arial" w:eastAsia="Times New Roman" w:hAnsi="Arial" w:cs="Arial"/>
                <w:color w:val="333333"/>
                <w:sz w:val="20"/>
                <w:szCs w:val="20"/>
              </w:rPr>
              <w:t>    Equipment</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jc w:val="right"/>
              <w:rPr>
                <w:rFonts w:ascii="Arial" w:eastAsia="Times New Roman" w:hAnsi="Arial" w:cs="Arial"/>
                <w:color w:val="333333"/>
                <w:sz w:val="20"/>
                <w:szCs w:val="20"/>
              </w:rPr>
            </w:pPr>
            <w:r w:rsidRPr="003C26A2">
              <w:rPr>
                <w:rFonts w:ascii="Arial" w:eastAsia="Times New Roman" w:hAnsi="Arial" w:cs="Arial"/>
                <w:color w:val="333333"/>
                <w:sz w:val="20"/>
                <w:szCs w:val="20"/>
              </w:rPr>
              <w:t>30,000 </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jc w:val="right"/>
              <w:rPr>
                <w:rFonts w:ascii="Arial" w:eastAsia="Times New Roman" w:hAnsi="Arial" w:cs="Arial"/>
                <w:color w:val="333333"/>
                <w:sz w:val="20"/>
                <w:szCs w:val="20"/>
              </w:rPr>
            </w:pPr>
            <w:r w:rsidRPr="003C26A2">
              <w:rPr>
                <w:rFonts w:ascii="Arial" w:eastAsia="Times New Roman" w:hAnsi="Arial" w:cs="Arial"/>
                <w:color w:val="333333"/>
                <w:sz w:val="20"/>
                <w:szCs w:val="20"/>
              </w:rPr>
              <w:t> </w:t>
            </w:r>
          </w:p>
        </w:tc>
      </w:tr>
      <w:tr w:rsidR="003C26A2" w:rsidRPr="003C26A2" w:rsidTr="003C26A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rPr>
                <w:rFonts w:ascii="Arial" w:eastAsia="Times New Roman" w:hAnsi="Arial" w:cs="Arial"/>
                <w:color w:val="333333"/>
                <w:sz w:val="20"/>
                <w:szCs w:val="20"/>
              </w:rPr>
            </w:pPr>
            <w:r w:rsidRPr="003C26A2">
              <w:rPr>
                <w:rFonts w:ascii="Arial" w:eastAsia="Times New Roman" w:hAnsi="Arial" w:cs="Arial"/>
                <w:color w:val="333333"/>
                <w:sz w:val="20"/>
                <w:szCs w:val="20"/>
              </w:rPr>
              <w:t>         Vouchers Payable</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jc w:val="right"/>
              <w:rPr>
                <w:rFonts w:ascii="Arial" w:eastAsia="Times New Roman" w:hAnsi="Arial" w:cs="Arial"/>
                <w:color w:val="333333"/>
                <w:sz w:val="20"/>
                <w:szCs w:val="20"/>
              </w:rPr>
            </w:pPr>
            <w:r w:rsidRPr="003C26A2">
              <w:rPr>
                <w:rFonts w:ascii="Arial" w:eastAsia="Times New Roman" w:hAnsi="Arial" w:cs="Arial"/>
                <w:color w:val="333333"/>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3C26A2" w:rsidRPr="003C26A2" w:rsidRDefault="003C26A2" w:rsidP="003C26A2">
            <w:pPr>
              <w:spacing w:after="0" w:line="240" w:lineRule="auto"/>
              <w:jc w:val="right"/>
              <w:rPr>
                <w:rFonts w:ascii="Arial" w:eastAsia="Times New Roman" w:hAnsi="Arial" w:cs="Arial"/>
                <w:color w:val="333333"/>
                <w:sz w:val="20"/>
                <w:szCs w:val="20"/>
              </w:rPr>
            </w:pPr>
            <w:r w:rsidRPr="003C26A2">
              <w:rPr>
                <w:rFonts w:ascii="Arial" w:eastAsia="Times New Roman" w:hAnsi="Arial" w:cs="Arial"/>
                <w:color w:val="333333"/>
                <w:sz w:val="20"/>
                <w:szCs w:val="20"/>
              </w:rPr>
              <w:t>30,000</w:t>
            </w:r>
          </w:p>
        </w:tc>
      </w:tr>
    </w:tbl>
    <w:p w:rsidR="00763628" w:rsidRDefault="00763628" w:rsidP="003C26A2"/>
    <w:p w:rsidR="003C26A2" w:rsidRDefault="003C26A2" w:rsidP="003C26A2">
      <w:pPr>
        <w:pStyle w:val="ListParagraph"/>
        <w:numPr>
          <w:ilvl w:val="0"/>
          <w:numId w:val="1"/>
        </w:numPr>
        <w:spacing w:after="0" w:line="240" w:lineRule="auto"/>
        <w:textAlignment w:val="baseline"/>
        <w:rPr>
          <w:rFonts w:ascii="Arial" w:eastAsia="Times New Roman" w:hAnsi="Arial" w:cs="Arial"/>
          <w:color w:val="6B6B6B"/>
          <w:sz w:val="20"/>
          <w:szCs w:val="20"/>
        </w:rPr>
      </w:pPr>
      <w:r w:rsidRPr="003C26A2">
        <w:rPr>
          <w:rFonts w:ascii="Arial" w:eastAsia="Times New Roman" w:hAnsi="Arial" w:cs="Arial"/>
          <w:color w:val="6B6B6B"/>
          <w:sz w:val="20"/>
          <w:szCs w:val="20"/>
        </w:rPr>
        <w:t>Maxim County just completed construction of a new town hall to be used for its governmental offices. The employees have moved in and the new building is officially in use. The county used a capital projects fund to account for the construction of the building, and the building came in under budget. There is a fund balance of $12,000. The county should:</w:t>
      </w:r>
    </w:p>
    <w:p w:rsidR="003C26A2" w:rsidRPr="003C26A2" w:rsidRDefault="003C26A2" w:rsidP="003C26A2">
      <w:pPr>
        <w:pStyle w:val="ListParagraph"/>
        <w:spacing w:after="0" w:line="240" w:lineRule="auto"/>
        <w:textAlignment w:val="baseline"/>
        <w:rPr>
          <w:rFonts w:ascii="Arial" w:eastAsia="Times New Roman" w:hAnsi="Arial" w:cs="Arial"/>
          <w:color w:val="6B6B6B"/>
          <w:sz w:val="20"/>
          <w:szCs w:val="20"/>
        </w:rPr>
      </w:pPr>
    </w:p>
    <w:p w:rsidR="003C26A2" w:rsidRPr="003C26A2" w:rsidRDefault="003C26A2" w:rsidP="003C26A2">
      <w:pPr>
        <w:pStyle w:val="ListParagraph"/>
        <w:numPr>
          <w:ilvl w:val="0"/>
          <w:numId w:val="2"/>
        </w:numPr>
        <w:spacing w:after="0" w:line="240" w:lineRule="auto"/>
        <w:rPr>
          <w:rFonts w:ascii="Arial" w:eastAsia="Times New Roman" w:hAnsi="Arial" w:cs="Arial"/>
          <w:b/>
          <w:color w:val="333333"/>
          <w:sz w:val="20"/>
          <w:szCs w:val="20"/>
        </w:rPr>
      </w:pPr>
      <w:r w:rsidRPr="003C26A2">
        <w:rPr>
          <w:rFonts w:ascii="Arial" w:eastAsia="Times New Roman" w:hAnsi="Arial" w:cs="Arial"/>
          <w:b/>
          <w:color w:val="333333"/>
          <w:sz w:val="20"/>
          <w:szCs w:val="20"/>
        </w:rPr>
        <w:t>Transfer the remaining funds to the General Fund to pay operating expenses</w:t>
      </w:r>
    </w:p>
    <w:p w:rsidR="003C26A2" w:rsidRPr="003C26A2" w:rsidRDefault="003C26A2" w:rsidP="003C26A2">
      <w:pPr>
        <w:pStyle w:val="ListParagraph"/>
        <w:numPr>
          <w:ilvl w:val="0"/>
          <w:numId w:val="2"/>
        </w:numPr>
        <w:spacing w:after="0" w:line="240" w:lineRule="auto"/>
        <w:textAlignment w:val="baseline"/>
        <w:rPr>
          <w:rFonts w:ascii="Arial" w:eastAsia="Times New Roman" w:hAnsi="Arial" w:cs="Arial"/>
          <w:b/>
          <w:color w:val="333333"/>
          <w:sz w:val="20"/>
          <w:szCs w:val="20"/>
        </w:rPr>
      </w:pPr>
      <w:r w:rsidRPr="003C26A2">
        <w:rPr>
          <w:rFonts w:ascii="Arial" w:eastAsia="Times New Roman" w:hAnsi="Arial" w:cs="Arial"/>
          <w:b/>
          <w:color w:val="333333"/>
          <w:sz w:val="20"/>
          <w:szCs w:val="20"/>
        </w:rPr>
        <w:t>Transfer the remaining funds to the debt service fund which will be handling the long-term debt incurred for the construction of the building.</w:t>
      </w:r>
    </w:p>
    <w:p w:rsidR="003C26A2" w:rsidRPr="003C26A2" w:rsidRDefault="003C26A2" w:rsidP="003C26A2">
      <w:pPr>
        <w:pStyle w:val="ListParagraph"/>
        <w:numPr>
          <w:ilvl w:val="0"/>
          <w:numId w:val="2"/>
        </w:numPr>
        <w:rPr>
          <w:rFonts w:ascii="Arial" w:hAnsi="Arial" w:cs="Arial"/>
          <w:b/>
          <w:color w:val="333333"/>
          <w:sz w:val="20"/>
          <w:szCs w:val="20"/>
          <w:shd w:val="clear" w:color="auto" w:fill="FFFFFF"/>
        </w:rPr>
      </w:pPr>
      <w:r w:rsidRPr="003C26A2">
        <w:rPr>
          <w:rFonts w:ascii="Arial" w:hAnsi="Arial" w:cs="Arial"/>
          <w:b/>
          <w:color w:val="333333"/>
          <w:sz w:val="20"/>
          <w:szCs w:val="20"/>
          <w:shd w:val="clear" w:color="auto" w:fill="FFFFFF"/>
        </w:rPr>
        <w:t>Return the excess to the source of the restricted funding.</w:t>
      </w:r>
    </w:p>
    <w:p w:rsidR="003C26A2" w:rsidRDefault="003C26A2" w:rsidP="003C26A2">
      <w:pPr>
        <w:spacing w:after="0" w:line="240" w:lineRule="auto"/>
        <w:ind w:left="720" w:firstLine="360"/>
        <w:rPr>
          <w:rFonts w:ascii="Arial" w:eastAsia="Times New Roman" w:hAnsi="Arial" w:cs="Arial"/>
          <w:b/>
          <w:color w:val="333333"/>
          <w:sz w:val="20"/>
          <w:szCs w:val="20"/>
        </w:rPr>
      </w:pPr>
      <w:r>
        <w:rPr>
          <w:rFonts w:ascii="Arial" w:eastAsia="Times New Roman" w:hAnsi="Arial" w:cs="Arial"/>
          <w:b/>
          <w:color w:val="333333"/>
          <w:sz w:val="20"/>
          <w:szCs w:val="20"/>
        </w:rPr>
        <w:sym w:font="Wingdings 2" w:char="F050"/>
      </w:r>
      <w:r w:rsidRPr="003C26A2">
        <w:rPr>
          <w:rFonts w:ascii="Arial" w:eastAsia="Times New Roman" w:hAnsi="Arial" w:cs="Arial"/>
          <w:b/>
          <w:color w:val="333333"/>
          <w:sz w:val="20"/>
          <w:szCs w:val="20"/>
        </w:rPr>
        <w:t>All of the above may be appropriate ways to treat the fund balance</w:t>
      </w:r>
    </w:p>
    <w:p w:rsidR="003C26A2" w:rsidRDefault="003C26A2" w:rsidP="003C26A2">
      <w:pPr>
        <w:spacing w:after="0" w:line="240" w:lineRule="auto"/>
        <w:ind w:left="720" w:firstLine="360"/>
        <w:rPr>
          <w:rFonts w:ascii="Arial" w:eastAsia="Times New Roman" w:hAnsi="Arial" w:cs="Arial"/>
          <w:b/>
          <w:color w:val="333333"/>
          <w:sz w:val="20"/>
          <w:szCs w:val="20"/>
        </w:rPr>
      </w:pPr>
    </w:p>
    <w:p w:rsidR="003C26A2" w:rsidRDefault="003C26A2" w:rsidP="003C26A2">
      <w:pPr>
        <w:pStyle w:val="ListParagraph"/>
        <w:numPr>
          <w:ilvl w:val="0"/>
          <w:numId w:val="1"/>
        </w:numPr>
        <w:spacing w:after="0" w:line="240" w:lineRule="auto"/>
        <w:rPr>
          <w:rFonts w:ascii="Arial" w:eastAsia="Times New Roman" w:hAnsi="Arial" w:cs="Arial"/>
          <w:color w:val="6B6B6B"/>
          <w:sz w:val="20"/>
          <w:szCs w:val="20"/>
        </w:rPr>
      </w:pPr>
      <w:r w:rsidRPr="003C26A2">
        <w:rPr>
          <w:rFonts w:ascii="Arial" w:eastAsia="Times New Roman" w:hAnsi="Arial" w:cs="Arial"/>
          <w:color w:val="6B6B6B"/>
          <w:sz w:val="20"/>
          <w:szCs w:val="20"/>
        </w:rPr>
        <w:t>A capital projects fund would probably </w:t>
      </w:r>
      <w:r w:rsidRPr="003C26A2">
        <w:rPr>
          <w:rFonts w:ascii="Arial" w:eastAsia="Times New Roman" w:hAnsi="Arial" w:cs="Arial"/>
          <w:i/>
          <w:iCs/>
          <w:color w:val="6B6B6B"/>
          <w:sz w:val="20"/>
          <w:szCs w:val="20"/>
        </w:rPr>
        <w:t>not</w:t>
      </w:r>
      <w:r w:rsidRPr="003C26A2">
        <w:rPr>
          <w:rFonts w:ascii="Arial" w:eastAsia="Times New Roman" w:hAnsi="Arial" w:cs="Arial"/>
          <w:color w:val="6B6B6B"/>
          <w:sz w:val="20"/>
          <w:szCs w:val="20"/>
        </w:rPr>
        <w:t> be used for which of the following assets?</w:t>
      </w:r>
    </w:p>
    <w:p w:rsidR="003C26A2" w:rsidRDefault="003C26A2" w:rsidP="003C26A2">
      <w:pPr>
        <w:pStyle w:val="ListParagraph"/>
        <w:spacing w:after="0" w:line="240" w:lineRule="auto"/>
        <w:rPr>
          <w:rFonts w:ascii="Arial" w:hAnsi="Arial" w:cs="Arial"/>
          <w:b/>
          <w:color w:val="333333"/>
          <w:sz w:val="20"/>
          <w:szCs w:val="20"/>
          <w:shd w:val="clear" w:color="auto" w:fill="FFFFFF"/>
        </w:rPr>
      </w:pPr>
    </w:p>
    <w:p w:rsidR="003C26A2" w:rsidRDefault="003C26A2" w:rsidP="003C26A2">
      <w:pPr>
        <w:pStyle w:val="ListParagraph"/>
        <w:spacing w:after="0" w:line="240" w:lineRule="auto"/>
        <w:rPr>
          <w:rFonts w:ascii="Arial" w:hAnsi="Arial" w:cs="Arial"/>
          <w:b/>
          <w:color w:val="333333"/>
          <w:sz w:val="20"/>
          <w:szCs w:val="20"/>
          <w:shd w:val="clear" w:color="auto" w:fill="FFFFFF"/>
        </w:rPr>
      </w:pPr>
      <w:r w:rsidRPr="003C26A2">
        <w:rPr>
          <w:rFonts w:ascii="Arial" w:hAnsi="Arial" w:cs="Arial"/>
          <w:b/>
          <w:color w:val="333333"/>
          <w:sz w:val="20"/>
          <w:szCs w:val="20"/>
          <w:shd w:val="clear" w:color="auto" w:fill="FFFFFF"/>
        </w:rPr>
        <w:t>Construction and installation of new shelving in the mayor’s office.</w:t>
      </w:r>
    </w:p>
    <w:p w:rsidR="003C26A2" w:rsidRDefault="003C26A2" w:rsidP="003C26A2">
      <w:pPr>
        <w:spacing w:after="0" w:line="240" w:lineRule="auto"/>
        <w:rPr>
          <w:rFonts w:ascii="Arial" w:eastAsia="Times New Roman" w:hAnsi="Arial" w:cs="Arial"/>
          <w:b/>
          <w:color w:val="6B6B6B"/>
          <w:sz w:val="20"/>
          <w:szCs w:val="20"/>
        </w:rPr>
      </w:pPr>
    </w:p>
    <w:p w:rsidR="003C26A2" w:rsidRPr="003C26A2" w:rsidRDefault="003C26A2" w:rsidP="003C26A2">
      <w:pPr>
        <w:pStyle w:val="ListParagraph"/>
        <w:numPr>
          <w:ilvl w:val="0"/>
          <w:numId w:val="1"/>
        </w:numPr>
        <w:spacing w:after="0" w:line="240" w:lineRule="auto"/>
        <w:textAlignment w:val="baseline"/>
        <w:rPr>
          <w:rFonts w:ascii="Arial" w:eastAsia="Times New Roman" w:hAnsi="Arial" w:cs="Arial"/>
          <w:color w:val="6B6B6B"/>
          <w:sz w:val="20"/>
          <w:szCs w:val="20"/>
        </w:rPr>
      </w:pPr>
      <w:r w:rsidRPr="003C26A2">
        <w:rPr>
          <w:rFonts w:ascii="Arial" w:eastAsia="Times New Roman" w:hAnsi="Arial" w:cs="Arial"/>
          <w:color w:val="6B6B6B"/>
          <w:sz w:val="20"/>
          <w:szCs w:val="20"/>
        </w:rPr>
        <w:t>Machinery and equipment depreciation expense for general capital assets totaled $163,000 for the reporting period. Which of the following correctly defines the recording of depreciation for general capital assets?</w:t>
      </w:r>
    </w:p>
    <w:p w:rsidR="003C26A2" w:rsidRDefault="003C26A2" w:rsidP="003C26A2">
      <w:pPr>
        <w:spacing w:after="0" w:line="240" w:lineRule="auto"/>
        <w:ind w:left="720"/>
        <w:rPr>
          <w:rFonts w:ascii="Arial" w:eastAsia="Times New Roman" w:hAnsi="Arial" w:cs="Arial"/>
          <w:b/>
          <w:color w:val="333333"/>
          <w:sz w:val="20"/>
          <w:szCs w:val="20"/>
        </w:rPr>
      </w:pPr>
    </w:p>
    <w:p w:rsidR="003C26A2" w:rsidRDefault="003C26A2" w:rsidP="003C26A2">
      <w:pPr>
        <w:spacing w:after="0" w:line="240" w:lineRule="auto"/>
        <w:ind w:left="720"/>
        <w:rPr>
          <w:rFonts w:ascii="Arial" w:eastAsia="Times New Roman" w:hAnsi="Arial" w:cs="Arial"/>
          <w:b/>
          <w:color w:val="333333"/>
          <w:sz w:val="20"/>
          <w:szCs w:val="20"/>
        </w:rPr>
      </w:pPr>
      <w:r w:rsidRPr="003C26A2">
        <w:rPr>
          <w:rFonts w:ascii="Arial" w:eastAsia="Times New Roman" w:hAnsi="Arial" w:cs="Arial"/>
          <w:b/>
          <w:color w:val="333333"/>
          <w:sz w:val="20"/>
          <w:szCs w:val="20"/>
        </w:rPr>
        <w:t>Depreciation expense is allocated, and recorded at the government-wide level with a debit to the functions or programs of government and a credit to accumulated depreciation</w:t>
      </w:r>
    </w:p>
    <w:p w:rsidR="003C26A2" w:rsidRDefault="003C26A2" w:rsidP="003C26A2">
      <w:pPr>
        <w:spacing w:after="0" w:line="240" w:lineRule="auto"/>
        <w:rPr>
          <w:rFonts w:ascii="Arial" w:eastAsia="Times New Roman" w:hAnsi="Arial" w:cs="Arial"/>
          <w:b/>
          <w:color w:val="333333"/>
          <w:sz w:val="20"/>
          <w:szCs w:val="20"/>
        </w:rPr>
      </w:pPr>
    </w:p>
    <w:p w:rsidR="003C26A2" w:rsidRPr="003C26A2" w:rsidRDefault="003C26A2" w:rsidP="003C26A2">
      <w:pPr>
        <w:pStyle w:val="ListParagraph"/>
        <w:numPr>
          <w:ilvl w:val="0"/>
          <w:numId w:val="1"/>
        </w:numPr>
        <w:spacing w:after="0" w:line="240" w:lineRule="auto"/>
        <w:textAlignment w:val="baseline"/>
        <w:rPr>
          <w:rFonts w:ascii="Arial" w:eastAsia="Times New Roman" w:hAnsi="Arial" w:cs="Arial"/>
          <w:color w:val="6B6B6B"/>
          <w:sz w:val="20"/>
          <w:szCs w:val="20"/>
        </w:rPr>
      </w:pPr>
      <w:r w:rsidRPr="003C26A2">
        <w:rPr>
          <w:rFonts w:ascii="Arial" w:eastAsia="Times New Roman" w:hAnsi="Arial" w:cs="Arial"/>
          <w:color w:val="6B6B6B"/>
          <w:sz w:val="20"/>
          <w:szCs w:val="20"/>
        </w:rPr>
        <w:t>Which of the following is a correct statement regarding the use of the</w:t>
      </w:r>
      <w:r w:rsidRPr="003C26A2">
        <w:rPr>
          <w:rFonts w:ascii="Arial" w:eastAsia="Times New Roman" w:hAnsi="Arial" w:cs="Arial"/>
          <w:i/>
          <w:iCs/>
          <w:color w:val="6B6B6B"/>
          <w:sz w:val="20"/>
          <w:szCs w:val="20"/>
        </w:rPr>
        <w:t> modified approach</w:t>
      </w:r>
      <w:r w:rsidRPr="003C26A2">
        <w:rPr>
          <w:rFonts w:ascii="Arial" w:eastAsia="Times New Roman" w:hAnsi="Arial" w:cs="Arial"/>
          <w:color w:val="6B6B6B"/>
          <w:sz w:val="20"/>
          <w:szCs w:val="20"/>
        </w:rPr>
        <w:t> for accounting for eligible infrastructure assets?</w:t>
      </w:r>
    </w:p>
    <w:p w:rsidR="003C26A2" w:rsidRDefault="003C26A2" w:rsidP="003C26A2">
      <w:pPr>
        <w:spacing w:after="0" w:line="240" w:lineRule="auto"/>
        <w:rPr>
          <w:rFonts w:ascii="Arial" w:eastAsia="Times New Roman" w:hAnsi="Arial" w:cs="Arial"/>
          <w:b/>
          <w:color w:val="333333"/>
          <w:sz w:val="20"/>
          <w:szCs w:val="20"/>
        </w:rPr>
      </w:pPr>
    </w:p>
    <w:p w:rsidR="003C26A2" w:rsidRDefault="003C26A2" w:rsidP="003C26A2">
      <w:pPr>
        <w:pStyle w:val="ListParagraph"/>
        <w:spacing w:after="0" w:line="240" w:lineRule="auto"/>
        <w:rPr>
          <w:rFonts w:ascii="Arial" w:hAnsi="Arial" w:cs="Arial"/>
          <w:b/>
          <w:color w:val="333333"/>
          <w:sz w:val="20"/>
          <w:szCs w:val="20"/>
          <w:shd w:val="clear" w:color="auto" w:fill="FFFFFF"/>
        </w:rPr>
      </w:pPr>
      <w:r w:rsidRPr="003C26A2">
        <w:rPr>
          <w:rFonts w:ascii="Arial" w:hAnsi="Arial" w:cs="Arial"/>
          <w:b/>
          <w:color w:val="333333"/>
          <w:sz w:val="20"/>
          <w:szCs w:val="20"/>
          <w:shd w:val="clear" w:color="auto" w:fill="FFFFFF"/>
        </w:rPr>
        <w:t>Depreciation on eligible infrastructure assets need not be recorded if the assets are being maintained at or above the established condition level.</w:t>
      </w:r>
    </w:p>
    <w:p w:rsidR="003C26A2" w:rsidRDefault="003C26A2" w:rsidP="003C26A2">
      <w:pPr>
        <w:pStyle w:val="ListParagraph"/>
        <w:spacing w:after="0" w:line="240" w:lineRule="auto"/>
        <w:rPr>
          <w:rFonts w:ascii="Arial" w:hAnsi="Arial" w:cs="Arial"/>
          <w:b/>
          <w:color w:val="333333"/>
          <w:sz w:val="20"/>
          <w:szCs w:val="20"/>
          <w:shd w:val="clear" w:color="auto" w:fill="FFFFFF"/>
        </w:rPr>
      </w:pPr>
    </w:p>
    <w:p w:rsidR="003C26A2" w:rsidRDefault="003C26A2" w:rsidP="003C26A2">
      <w:pPr>
        <w:pStyle w:val="ListParagraph"/>
        <w:numPr>
          <w:ilvl w:val="0"/>
          <w:numId w:val="1"/>
        </w:numPr>
        <w:spacing w:after="0" w:line="240" w:lineRule="auto"/>
        <w:textAlignment w:val="baseline"/>
        <w:rPr>
          <w:rFonts w:ascii="Arial" w:eastAsia="Times New Roman" w:hAnsi="Arial" w:cs="Arial"/>
          <w:color w:val="6B6B6B"/>
          <w:sz w:val="20"/>
          <w:szCs w:val="20"/>
        </w:rPr>
      </w:pPr>
      <w:r w:rsidRPr="003C26A2">
        <w:rPr>
          <w:rFonts w:ascii="Arial" w:eastAsia="Times New Roman" w:hAnsi="Arial" w:cs="Arial"/>
          <w:color w:val="6B6B6B"/>
          <w:sz w:val="20"/>
          <w:szCs w:val="20"/>
        </w:rPr>
        <w:t>The city of Deauville entered into a service concession arrangement (SCA) with Water Wonders, Inc. to operate the city pool for the next 20 years. Water Wonders has agreed to pay the city $3,000,000 up front as a part of this agreement. According to the agreement, Water Wonders will be responsible for operating the pool, and the city will continue to be responsible for costs related to maintaining it. In addition, Water Wonders has the right to collect fees from the public for their use of the pool, although the rates are subject to approval by the city. The city should:</w:t>
      </w:r>
    </w:p>
    <w:p w:rsidR="003C26A2" w:rsidRDefault="003C26A2" w:rsidP="003C26A2">
      <w:pPr>
        <w:pStyle w:val="ListParagraph"/>
        <w:spacing w:after="0" w:line="240" w:lineRule="auto"/>
        <w:textAlignment w:val="baseline"/>
        <w:rPr>
          <w:rFonts w:ascii="Arial" w:eastAsia="Times New Roman" w:hAnsi="Arial" w:cs="Arial"/>
          <w:color w:val="6B6B6B"/>
          <w:sz w:val="20"/>
          <w:szCs w:val="20"/>
        </w:rPr>
      </w:pPr>
    </w:p>
    <w:p w:rsidR="003C26A2" w:rsidRPr="003C26A2" w:rsidRDefault="003C26A2" w:rsidP="003C26A2">
      <w:pPr>
        <w:spacing w:after="0" w:line="240" w:lineRule="auto"/>
        <w:ind w:left="720"/>
        <w:textAlignment w:val="baseline"/>
        <w:rPr>
          <w:rFonts w:ascii="Arial" w:eastAsia="Times New Roman" w:hAnsi="Arial" w:cs="Arial"/>
          <w:b/>
          <w:color w:val="333333"/>
          <w:sz w:val="20"/>
          <w:szCs w:val="20"/>
        </w:rPr>
      </w:pPr>
      <w:r w:rsidRPr="003C26A2">
        <w:rPr>
          <w:rFonts w:ascii="Arial" w:eastAsia="Times New Roman" w:hAnsi="Arial" w:cs="Arial"/>
          <w:b/>
          <w:color w:val="333333"/>
          <w:sz w:val="20"/>
          <w:szCs w:val="20"/>
        </w:rPr>
        <w:t>Record the receipt of the cash payment, a liability for the cost of required future maintenance, and a deferred inflow of resources for the difference between the cash payment and the liability</w:t>
      </w:r>
    </w:p>
    <w:p w:rsidR="003C26A2" w:rsidRPr="003C26A2" w:rsidRDefault="003C26A2" w:rsidP="003C26A2">
      <w:pPr>
        <w:pStyle w:val="ListParagraph"/>
        <w:spacing w:after="0" w:line="240" w:lineRule="auto"/>
        <w:textAlignment w:val="baseline"/>
        <w:rPr>
          <w:rFonts w:ascii="Arial" w:eastAsia="Times New Roman" w:hAnsi="Arial" w:cs="Arial"/>
          <w:color w:val="6B6B6B"/>
          <w:sz w:val="20"/>
          <w:szCs w:val="20"/>
        </w:rPr>
      </w:pPr>
    </w:p>
    <w:p w:rsidR="003C26A2" w:rsidRDefault="003C26A2" w:rsidP="003C26A2">
      <w:pPr>
        <w:pStyle w:val="ListParagraph"/>
        <w:numPr>
          <w:ilvl w:val="0"/>
          <w:numId w:val="1"/>
        </w:numPr>
        <w:spacing w:after="0" w:line="240" w:lineRule="auto"/>
        <w:textAlignment w:val="baseline"/>
        <w:rPr>
          <w:rFonts w:ascii="Arial" w:eastAsia="Times New Roman" w:hAnsi="Arial" w:cs="Arial"/>
          <w:color w:val="6B6B6B"/>
          <w:sz w:val="20"/>
          <w:szCs w:val="20"/>
        </w:rPr>
      </w:pPr>
      <w:r w:rsidRPr="003C26A2">
        <w:rPr>
          <w:rFonts w:ascii="Arial" w:eastAsia="Times New Roman" w:hAnsi="Arial" w:cs="Arial"/>
          <w:color w:val="6B6B6B"/>
          <w:sz w:val="20"/>
          <w:szCs w:val="20"/>
        </w:rPr>
        <w:t>Callaway County issued $10,000,000 in bonds at 101 for the purpose of constructing a new County Recreation Center. State law requires that any premium on bond issues be deposited directly in a debt service fund for eventual repayment of bond principal. The journal entry to record issuance of the bonds will require a (an):</w:t>
      </w:r>
    </w:p>
    <w:p w:rsidR="003C26A2" w:rsidRDefault="003C26A2" w:rsidP="003C26A2">
      <w:pPr>
        <w:pStyle w:val="ListParagraph"/>
        <w:spacing w:after="0" w:line="240" w:lineRule="auto"/>
        <w:textAlignment w:val="baseline"/>
        <w:rPr>
          <w:rFonts w:ascii="Arial" w:hAnsi="Arial" w:cs="Arial"/>
          <w:b/>
          <w:color w:val="333333"/>
          <w:sz w:val="20"/>
          <w:szCs w:val="20"/>
          <w:shd w:val="clear" w:color="auto" w:fill="FFFFFF"/>
        </w:rPr>
      </w:pPr>
    </w:p>
    <w:p w:rsidR="003C26A2" w:rsidRPr="003C26A2" w:rsidRDefault="003C26A2" w:rsidP="003C26A2">
      <w:pPr>
        <w:pStyle w:val="ListParagraph"/>
        <w:spacing w:after="0" w:line="240" w:lineRule="auto"/>
        <w:textAlignment w:val="baseline"/>
        <w:rPr>
          <w:rFonts w:ascii="Arial" w:eastAsia="Times New Roman" w:hAnsi="Arial" w:cs="Arial"/>
          <w:b/>
          <w:color w:val="6B6B6B"/>
          <w:sz w:val="20"/>
          <w:szCs w:val="20"/>
        </w:rPr>
      </w:pPr>
      <w:r w:rsidRPr="003C26A2">
        <w:rPr>
          <w:rFonts w:ascii="Arial" w:hAnsi="Arial" w:cs="Arial"/>
          <w:b/>
          <w:color w:val="333333"/>
          <w:sz w:val="20"/>
          <w:szCs w:val="20"/>
          <w:shd w:val="clear" w:color="auto" w:fill="FFFFFF"/>
        </w:rPr>
        <w:t>Both Credit to Other Financing Sources—Proceeds of Bonds in the capital projects fund and Credit to Other Financing Sources—Premium on Bonds in the debt service fund are correct.</w:t>
      </w:r>
    </w:p>
    <w:p w:rsidR="003C26A2" w:rsidRPr="003C26A2" w:rsidRDefault="003C26A2" w:rsidP="003C26A2">
      <w:pPr>
        <w:pStyle w:val="ListParagraph"/>
        <w:spacing w:after="0" w:line="240" w:lineRule="auto"/>
        <w:rPr>
          <w:rFonts w:ascii="Arial" w:eastAsia="Times New Roman" w:hAnsi="Arial" w:cs="Arial"/>
          <w:b/>
          <w:color w:val="333333"/>
          <w:sz w:val="20"/>
          <w:szCs w:val="20"/>
        </w:rPr>
      </w:pPr>
    </w:p>
    <w:p w:rsidR="003C26A2" w:rsidRPr="003C26A2" w:rsidRDefault="003C26A2" w:rsidP="003C26A2">
      <w:pPr>
        <w:spacing w:after="0" w:line="240" w:lineRule="auto"/>
        <w:ind w:left="720"/>
        <w:rPr>
          <w:rFonts w:ascii="Arial" w:eastAsia="Times New Roman" w:hAnsi="Arial" w:cs="Arial"/>
          <w:b/>
          <w:color w:val="333333"/>
          <w:sz w:val="20"/>
          <w:szCs w:val="20"/>
        </w:rPr>
      </w:pPr>
    </w:p>
    <w:p w:rsidR="00C83605" w:rsidRPr="00C83605" w:rsidRDefault="003C26A2" w:rsidP="00C83605">
      <w:pPr>
        <w:pStyle w:val="ListParagraph"/>
        <w:numPr>
          <w:ilvl w:val="0"/>
          <w:numId w:val="1"/>
        </w:numPr>
        <w:rPr>
          <w:b/>
        </w:rPr>
      </w:pPr>
      <w:r w:rsidRPr="003C26A2">
        <w:rPr>
          <w:rFonts w:ascii="Arial" w:hAnsi="Arial" w:cs="Arial"/>
          <w:color w:val="6B6B6B"/>
          <w:sz w:val="20"/>
          <w:szCs w:val="20"/>
          <w:shd w:val="clear" w:color="auto" w:fill="FFFFFF"/>
        </w:rPr>
        <w:t>Centerville enters into a capital lease for new copiers in all its city hall offices. In the General Fund, it should report:</w:t>
      </w:r>
    </w:p>
    <w:p w:rsidR="00C83605" w:rsidRPr="00C83605" w:rsidRDefault="00C83605" w:rsidP="00C83605">
      <w:pPr>
        <w:pStyle w:val="ListParagraph"/>
        <w:rPr>
          <w:b/>
        </w:rPr>
      </w:pPr>
    </w:p>
    <w:p w:rsidR="00C83605" w:rsidRDefault="00C83605" w:rsidP="00C83605">
      <w:pPr>
        <w:pStyle w:val="ListParagraph"/>
        <w:rPr>
          <w:rFonts w:ascii="Arial" w:hAnsi="Arial" w:cs="Arial"/>
          <w:b/>
          <w:color w:val="333333"/>
          <w:sz w:val="20"/>
          <w:szCs w:val="20"/>
          <w:shd w:val="clear" w:color="auto" w:fill="FFFFFF"/>
        </w:rPr>
      </w:pPr>
      <w:r w:rsidRPr="00C83605">
        <w:rPr>
          <w:rFonts w:ascii="Arial" w:hAnsi="Arial" w:cs="Arial"/>
          <w:b/>
          <w:color w:val="333333"/>
          <w:sz w:val="20"/>
          <w:szCs w:val="20"/>
          <w:shd w:val="clear" w:color="auto" w:fill="FFFFFF"/>
        </w:rPr>
        <w:t xml:space="preserve">Capital expenditures equal to the </w:t>
      </w:r>
      <w:proofErr w:type="spellStart"/>
      <w:r w:rsidRPr="00C83605">
        <w:rPr>
          <w:rFonts w:ascii="Arial" w:hAnsi="Arial" w:cs="Arial"/>
          <w:b/>
          <w:color w:val="333333"/>
          <w:sz w:val="20"/>
          <w:szCs w:val="20"/>
          <w:shd w:val="clear" w:color="auto" w:fill="FFFFFF"/>
        </w:rPr>
        <w:t>capitalizable</w:t>
      </w:r>
      <w:proofErr w:type="spellEnd"/>
      <w:r w:rsidRPr="00C83605">
        <w:rPr>
          <w:rFonts w:ascii="Arial" w:hAnsi="Arial" w:cs="Arial"/>
          <w:b/>
          <w:color w:val="333333"/>
          <w:sz w:val="20"/>
          <w:szCs w:val="20"/>
          <w:shd w:val="clear" w:color="auto" w:fill="FFFFFF"/>
        </w:rPr>
        <w:t xml:space="preserve"> cost of the fixed asset regardless of the amount of lease payments made during the year.</w:t>
      </w:r>
    </w:p>
    <w:p w:rsidR="00C83605" w:rsidRDefault="00C83605" w:rsidP="00C83605">
      <w:pPr>
        <w:pStyle w:val="ListParagraph"/>
        <w:rPr>
          <w:rFonts w:ascii="Arial" w:hAnsi="Arial" w:cs="Arial"/>
          <w:b/>
          <w:color w:val="333333"/>
          <w:sz w:val="20"/>
          <w:szCs w:val="20"/>
          <w:shd w:val="clear" w:color="auto" w:fill="FFFFFF"/>
        </w:rPr>
      </w:pPr>
    </w:p>
    <w:tbl>
      <w:tblPr>
        <w:tblW w:w="9300" w:type="dxa"/>
        <w:tblCellSpacing w:w="0" w:type="dxa"/>
        <w:tblCellMar>
          <w:left w:w="0" w:type="dxa"/>
          <w:right w:w="0" w:type="dxa"/>
        </w:tblCellMar>
        <w:tblLook w:val="04A0" w:firstRow="1" w:lastRow="0" w:firstColumn="1" w:lastColumn="0" w:noHBand="0" w:noVBand="1"/>
      </w:tblPr>
      <w:tblGrid>
        <w:gridCol w:w="9300"/>
      </w:tblGrid>
      <w:tr w:rsidR="00C83605" w:rsidRPr="00C83605" w:rsidTr="00C83605">
        <w:trPr>
          <w:tblCellSpacing w:w="0" w:type="dxa"/>
        </w:trPr>
        <w:tc>
          <w:tcPr>
            <w:tcW w:w="5000" w:type="pct"/>
            <w:hideMark/>
          </w:tcPr>
          <w:p w:rsidR="00C83605" w:rsidRPr="00C83605" w:rsidRDefault="00C83605" w:rsidP="00C83605">
            <w:pPr>
              <w:spacing w:after="0" w:line="240" w:lineRule="auto"/>
              <w:rPr>
                <w:rFonts w:ascii="Arial" w:eastAsia="Times New Roman" w:hAnsi="Arial" w:cs="Arial"/>
                <w:sz w:val="20"/>
                <w:szCs w:val="20"/>
              </w:rPr>
            </w:pPr>
            <w:r>
              <w:rPr>
                <w:rFonts w:ascii="Arial" w:eastAsia="Times New Roman" w:hAnsi="Arial" w:cs="Arial"/>
                <w:sz w:val="20"/>
                <w:szCs w:val="20"/>
              </w:rPr>
              <w:t>10.</w:t>
            </w:r>
            <w:r w:rsidRPr="00C83605">
              <w:rPr>
                <w:rFonts w:ascii="Arial" w:eastAsia="Times New Roman" w:hAnsi="Arial" w:cs="Arial"/>
                <w:sz w:val="20"/>
                <w:szCs w:val="20"/>
              </w:rPr>
              <w:t>The following balances are included in the subsidiary records of Sinclair:</w:t>
            </w:r>
          </w:p>
        </w:tc>
      </w:tr>
      <w:tr w:rsidR="00C83605" w:rsidRPr="00C83605" w:rsidTr="00C83605">
        <w:trPr>
          <w:tblCellSpacing w:w="0" w:type="dxa"/>
        </w:trPr>
        <w:tc>
          <w:tcPr>
            <w:tcW w:w="5000" w:type="pct"/>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w:t>
            </w:r>
          </w:p>
        </w:tc>
      </w:tr>
    </w:tbl>
    <w:p w:rsidR="00C83605" w:rsidRPr="00C83605" w:rsidRDefault="00C83605" w:rsidP="00C83605">
      <w:pPr>
        <w:shd w:val="clear" w:color="auto" w:fill="FFFFFF"/>
        <w:spacing w:line="240" w:lineRule="auto"/>
        <w:rPr>
          <w:rFonts w:ascii="Arial" w:eastAsia="Times New Roman" w:hAnsi="Arial" w:cs="Arial"/>
          <w:vanish/>
          <w:color w:val="6B6B6B"/>
          <w:sz w:val="21"/>
          <w:szCs w:val="21"/>
        </w:rPr>
      </w:pPr>
    </w:p>
    <w:tbl>
      <w:tblPr>
        <w:tblW w:w="4500" w:type="dxa"/>
        <w:tblCellSpacing w:w="0" w:type="dxa"/>
        <w:tblCellMar>
          <w:left w:w="0" w:type="dxa"/>
          <w:right w:w="0" w:type="dxa"/>
        </w:tblCellMar>
        <w:tblLook w:val="04A0" w:firstRow="1" w:lastRow="0" w:firstColumn="1" w:lastColumn="0" w:noHBand="0" w:noVBand="1"/>
      </w:tblPr>
      <w:tblGrid>
        <w:gridCol w:w="3375"/>
        <w:gridCol w:w="135"/>
        <w:gridCol w:w="900"/>
        <w:gridCol w:w="90"/>
      </w:tblGrid>
      <w:tr w:rsidR="00C83605" w:rsidRPr="00C83605" w:rsidTr="00C83605">
        <w:trPr>
          <w:tblCellSpacing w:w="0" w:type="dxa"/>
        </w:trPr>
        <w:tc>
          <w:tcPr>
            <w:tcW w:w="3750" w:type="pct"/>
            <w:shd w:val="clear" w:color="auto" w:fill="D7DCE6"/>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w:t>
            </w:r>
          </w:p>
        </w:tc>
        <w:tc>
          <w:tcPr>
            <w:tcW w:w="150" w:type="pct"/>
            <w:shd w:val="clear" w:color="auto" w:fill="D7DCE6"/>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w:t>
            </w:r>
          </w:p>
        </w:tc>
        <w:tc>
          <w:tcPr>
            <w:tcW w:w="1000" w:type="pct"/>
            <w:shd w:val="clear" w:color="auto" w:fill="D7DCE6"/>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w:t>
            </w:r>
          </w:p>
        </w:tc>
        <w:tc>
          <w:tcPr>
            <w:tcW w:w="100" w:type="pct"/>
            <w:shd w:val="clear" w:color="auto" w:fill="D7DCE6"/>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w:t>
            </w:r>
          </w:p>
        </w:tc>
      </w:tr>
      <w:tr w:rsidR="00C83605" w:rsidRPr="00C83605" w:rsidTr="00C83605">
        <w:trPr>
          <w:tblCellSpacing w:w="0" w:type="dxa"/>
        </w:trPr>
        <w:tc>
          <w:tcPr>
            <w:tcW w:w="0" w:type="auto"/>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Town hall building</w:t>
            </w:r>
          </w:p>
        </w:tc>
        <w:tc>
          <w:tcPr>
            <w:tcW w:w="0" w:type="auto"/>
            <w:vAlign w:val="center"/>
            <w:hideMark/>
          </w:tcPr>
          <w:p w:rsidR="00C83605" w:rsidRPr="00C83605" w:rsidRDefault="00C83605" w:rsidP="00C83605">
            <w:pPr>
              <w:spacing w:after="0" w:line="240" w:lineRule="auto"/>
              <w:jc w:val="right"/>
              <w:rPr>
                <w:rFonts w:ascii="Arial" w:eastAsia="Times New Roman" w:hAnsi="Arial" w:cs="Arial"/>
                <w:sz w:val="20"/>
                <w:szCs w:val="20"/>
              </w:rPr>
            </w:pPr>
            <w:r w:rsidRPr="00C83605">
              <w:rPr>
                <w:rFonts w:ascii="Arial" w:eastAsia="Times New Roman" w:hAnsi="Arial" w:cs="Arial"/>
                <w:sz w:val="20"/>
                <w:szCs w:val="20"/>
              </w:rPr>
              <w:t>$</w:t>
            </w:r>
          </w:p>
        </w:tc>
        <w:tc>
          <w:tcPr>
            <w:tcW w:w="0" w:type="auto"/>
            <w:vAlign w:val="center"/>
            <w:hideMark/>
          </w:tcPr>
          <w:p w:rsidR="00C83605" w:rsidRPr="00C83605" w:rsidRDefault="00C83605" w:rsidP="00C83605">
            <w:pPr>
              <w:spacing w:after="0" w:line="240" w:lineRule="auto"/>
              <w:jc w:val="right"/>
              <w:rPr>
                <w:rFonts w:ascii="Arial" w:eastAsia="Times New Roman" w:hAnsi="Arial" w:cs="Arial"/>
                <w:sz w:val="20"/>
                <w:szCs w:val="20"/>
              </w:rPr>
            </w:pPr>
            <w:r w:rsidRPr="00C83605">
              <w:rPr>
                <w:rFonts w:ascii="Arial" w:eastAsia="Times New Roman" w:hAnsi="Arial" w:cs="Arial"/>
                <w:sz w:val="20"/>
                <w:szCs w:val="20"/>
              </w:rPr>
              <w:t>5,000,000</w:t>
            </w:r>
          </w:p>
        </w:tc>
        <w:tc>
          <w:tcPr>
            <w:tcW w:w="0" w:type="auto"/>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w:t>
            </w:r>
          </w:p>
        </w:tc>
      </w:tr>
      <w:tr w:rsidR="00C83605" w:rsidRPr="00C83605" w:rsidTr="00C83605">
        <w:trPr>
          <w:tblCellSpacing w:w="0" w:type="dxa"/>
        </w:trPr>
        <w:tc>
          <w:tcPr>
            <w:tcW w:w="0" w:type="auto"/>
            <w:shd w:val="clear" w:color="auto" w:fill="F7F7F7"/>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Town pool (supported by user fees)</w:t>
            </w:r>
          </w:p>
        </w:tc>
        <w:tc>
          <w:tcPr>
            <w:tcW w:w="0" w:type="auto"/>
            <w:shd w:val="clear" w:color="auto" w:fill="F7F7F7"/>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w:t>
            </w:r>
          </w:p>
        </w:tc>
        <w:tc>
          <w:tcPr>
            <w:tcW w:w="0" w:type="auto"/>
            <w:shd w:val="clear" w:color="auto" w:fill="F7F7F7"/>
            <w:vAlign w:val="center"/>
            <w:hideMark/>
          </w:tcPr>
          <w:p w:rsidR="00C83605" w:rsidRPr="00C83605" w:rsidRDefault="00C83605" w:rsidP="00C83605">
            <w:pPr>
              <w:spacing w:after="0" w:line="240" w:lineRule="auto"/>
              <w:jc w:val="right"/>
              <w:rPr>
                <w:rFonts w:ascii="Arial" w:eastAsia="Times New Roman" w:hAnsi="Arial" w:cs="Arial"/>
                <w:sz w:val="20"/>
                <w:szCs w:val="20"/>
              </w:rPr>
            </w:pPr>
            <w:r w:rsidRPr="00C83605">
              <w:rPr>
                <w:rFonts w:ascii="Arial" w:eastAsia="Times New Roman" w:hAnsi="Arial" w:cs="Arial"/>
                <w:sz w:val="20"/>
                <w:szCs w:val="20"/>
              </w:rPr>
              <w:t>1,000,000</w:t>
            </w:r>
          </w:p>
        </w:tc>
        <w:tc>
          <w:tcPr>
            <w:tcW w:w="0" w:type="auto"/>
            <w:shd w:val="clear" w:color="auto" w:fill="F7F7F7"/>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w:t>
            </w:r>
          </w:p>
        </w:tc>
      </w:tr>
      <w:tr w:rsidR="00C83605" w:rsidRPr="00C83605" w:rsidTr="00C83605">
        <w:trPr>
          <w:tblCellSpacing w:w="0" w:type="dxa"/>
        </w:trPr>
        <w:tc>
          <w:tcPr>
            <w:tcW w:w="0" w:type="auto"/>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Town pool maintenance equipment</w:t>
            </w:r>
          </w:p>
        </w:tc>
        <w:tc>
          <w:tcPr>
            <w:tcW w:w="0" w:type="auto"/>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w:t>
            </w:r>
          </w:p>
        </w:tc>
        <w:tc>
          <w:tcPr>
            <w:tcW w:w="0" w:type="auto"/>
            <w:vAlign w:val="center"/>
            <w:hideMark/>
          </w:tcPr>
          <w:p w:rsidR="00C83605" w:rsidRPr="00C83605" w:rsidRDefault="00C83605" w:rsidP="00C83605">
            <w:pPr>
              <w:spacing w:after="0" w:line="240" w:lineRule="auto"/>
              <w:jc w:val="right"/>
              <w:rPr>
                <w:rFonts w:ascii="Arial" w:eastAsia="Times New Roman" w:hAnsi="Arial" w:cs="Arial"/>
                <w:sz w:val="20"/>
                <w:szCs w:val="20"/>
              </w:rPr>
            </w:pPr>
            <w:r w:rsidRPr="00C83605">
              <w:rPr>
                <w:rFonts w:ascii="Arial" w:eastAsia="Times New Roman" w:hAnsi="Arial" w:cs="Arial"/>
                <w:sz w:val="20"/>
                <w:szCs w:val="20"/>
              </w:rPr>
              <w:t>25,000</w:t>
            </w:r>
          </w:p>
        </w:tc>
        <w:tc>
          <w:tcPr>
            <w:tcW w:w="0" w:type="auto"/>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w:t>
            </w:r>
          </w:p>
        </w:tc>
      </w:tr>
      <w:tr w:rsidR="00C83605" w:rsidRPr="00C83605" w:rsidTr="00C83605">
        <w:trPr>
          <w:tblCellSpacing w:w="0" w:type="dxa"/>
        </w:trPr>
        <w:tc>
          <w:tcPr>
            <w:tcW w:w="0" w:type="auto"/>
            <w:shd w:val="clear" w:color="auto" w:fill="F7F7F7"/>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Police cars</w:t>
            </w:r>
          </w:p>
        </w:tc>
        <w:tc>
          <w:tcPr>
            <w:tcW w:w="0" w:type="auto"/>
            <w:shd w:val="clear" w:color="auto" w:fill="F7F7F7"/>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w:t>
            </w:r>
          </w:p>
        </w:tc>
        <w:tc>
          <w:tcPr>
            <w:tcW w:w="0" w:type="auto"/>
            <w:shd w:val="clear" w:color="auto" w:fill="F7F7F7"/>
            <w:vAlign w:val="center"/>
            <w:hideMark/>
          </w:tcPr>
          <w:p w:rsidR="00C83605" w:rsidRPr="00C83605" w:rsidRDefault="00C83605" w:rsidP="00C83605">
            <w:pPr>
              <w:spacing w:after="0" w:line="240" w:lineRule="auto"/>
              <w:jc w:val="right"/>
              <w:rPr>
                <w:rFonts w:ascii="Arial" w:eastAsia="Times New Roman" w:hAnsi="Arial" w:cs="Arial"/>
                <w:sz w:val="20"/>
                <w:szCs w:val="20"/>
              </w:rPr>
            </w:pPr>
            <w:r w:rsidRPr="00C83605">
              <w:rPr>
                <w:rFonts w:ascii="Arial" w:eastAsia="Times New Roman" w:hAnsi="Arial" w:cs="Arial"/>
                <w:sz w:val="20"/>
                <w:szCs w:val="20"/>
              </w:rPr>
              <w:t>200,000</w:t>
            </w:r>
          </w:p>
        </w:tc>
        <w:tc>
          <w:tcPr>
            <w:tcW w:w="0" w:type="auto"/>
            <w:shd w:val="clear" w:color="auto" w:fill="F7F7F7"/>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w:t>
            </w:r>
          </w:p>
        </w:tc>
      </w:tr>
      <w:tr w:rsidR="00C83605" w:rsidRPr="00C83605" w:rsidTr="00C83605">
        <w:trPr>
          <w:tblCellSpacing w:w="0" w:type="dxa"/>
        </w:trPr>
        <w:tc>
          <w:tcPr>
            <w:tcW w:w="0" w:type="auto"/>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Equipment</w:t>
            </w:r>
          </w:p>
        </w:tc>
        <w:tc>
          <w:tcPr>
            <w:tcW w:w="0" w:type="auto"/>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w:t>
            </w:r>
          </w:p>
        </w:tc>
        <w:tc>
          <w:tcPr>
            <w:tcW w:w="0" w:type="auto"/>
            <w:vAlign w:val="center"/>
            <w:hideMark/>
          </w:tcPr>
          <w:p w:rsidR="00C83605" w:rsidRPr="00C83605" w:rsidRDefault="00C83605" w:rsidP="00C83605">
            <w:pPr>
              <w:spacing w:after="0" w:line="240" w:lineRule="auto"/>
              <w:jc w:val="right"/>
              <w:rPr>
                <w:rFonts w:ascii="Arial" w:eastAsia="Times New Roman" w:hAnsi="Arial" w:cs="Arial"/>
                <w:sz w:val="20"/>
                <w:szCs w:val="20"/>
              </w:rPr>
            </w:pPr>
            <w:r w:rsidRPr="00C83605">
              <w:rPr>
                <w:rFonts w:ascii="Arial" w:eastAsia="Times New Roman" w:hAnsi="Arial" w:cs="Arial"/>
                <w:sz w:val="20"/>
                <w:szCs w:val="20"/>
              </w:rPr>
              <w:t>75,000</w:t>
            </w:r>
          </w:p>
        </w:tc>
        <w:tc>
          <w:tcPr>
            <w:tcW w:w="0" w:type="auto"/>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w:t>
            </w:r>
          </w:p>
        </w:tc>
      </w:tr>
      <w:tr w:rsidR="00C83605" w:rsidRPr="00C83605" w:rsidTr="00C83605">
        <w:trPr>
          <w:tblCellSpacing w:w="0" w:type="dxa"/>
        </w:trPr>
        <w:tc>
          <w:tcPr>
            <w:tcW w:w="0" w:type="auto"/>
            <w:shd w:val="clear" w:color="auto" w:fill="F7F7F7"/>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Office supplies</w:t>
            </w:r>
          </w:p>
        </w:tc>
        <w:tc>
          <w:tcPr>
            <w:tcW w:w="0" w:type="auto"/>
            <w:shd w:val="clear" w:color="auto" w:fill="F7F7F7"/>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w:t>
            </w:r>
          </w:p>
        </w:tc>
        <w:tc>
          <w:tcPr>
            <w:tcW w:w="0" w:type="auto"/>
            <w:shd w:val="clear" w:color="auto" w:fill="F7F7F7"/>
            <w:vAlign w:val="center"/>
            <w:hideMark/>
          </w:tcPr>
          <w:p w:rsidR="00C83605" w:rsidRPr="00C83605" w:rsidRDefault="00C83605" w:rsidP="00C83605">
            <w:pPr>
              <w:spacing w:after="0" w:line="240" w:lineRule="auto"/>
              <w:jc w:val="right"/>
              <w:rPr>
                <w:rFonts w:ascii="Arial" w:eastAsia="Times New Roman" w:hAnsi="Arial" w:cs="Arial"/>
                <w:sz w:val="20"/>
                <w:szCs w:val="20"/>
              </w:rPr>
            </w:pPr>
            <w:r w:rsidRPr="00C83605">
              <w:rPr>
                <w:rFonts w:ascii="Arial" w:eastAsia="Times New Roman" w:hAnsi="Arial" w:cs="Arial"/>
                <w:sz w:val="20"/>
                <w:szCs w:val="20"/>
              </w:rPr>
              <w:t>10,000</w:t>
            </w:r>
          </w:p>
        </w:tc>
        <w:tc>
          <w:tcPr>
            <w:tcW w:w="0" w:type="auto"/>
            <w:shd w:val="clear" w:color="auto" w:fill="F7F7F7"/>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 </w:t>
            </w:r>
          </w:p>
        </w:tc>
      </w:tr>
      <w:tr w:rsidR="00C83605" w:rsidRPr="00C83605" w:rsidTr="00C83605">
        <w:trPr>
          <w:tblCellSpacing w:w="0" w:type="dxa"/>
        </w:trPr>
        <w:tc>
          <w:tcPr>
            <w:tcW w:w="0" w:type="auto"/>
            <w:gridSpan w:val="4"/>
            <w:vAlign w:val="center"/>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pict>
                <v:rect id="_x0000_i1025" style="width:540pt;height:3.55pt" o:hrstd="t" o:hrnoshade="t" o:hr="t" fillcolor="#cdd4e0" stroked="f"/>
              </w:pict>
            </w:r>
          </w:p>
        </w:tc>
      </w:tr>
    </w:tbl>
    <w:p w:rsidR="00C83605" w:rsidRPr="00C83605" w:rsidRDefault="00C83605" w:rsidP="00C83605">
      <w:pPr>
        <w:shd w:val="clear" w:color="auto" w:fill="FFFFFF"/>
        <w:spacing w:line="240" w:lineRule="auto"/>
        <w:rPr>
          <w:rFonts w:ascii="Arial" w:eastAsia="Times New Roman" w:hAnsi="Arial" w:cs="Arial"/>
          <w:color w:val="6B6B6B"/>
          <w:sz w:val="21"/>
          <w:szCs w:val="21"/>
        </w:rPr>
      </w:pPr>
      <w:r w:rsidRPr="00C83605">
        <w:rPr>
          <w:rFonts w:ascii="Arial" w:eastAsia="Times New Roman" w:hAnsi="Arial" w:cs="Arial"/>
          <w:color w:val="6B6B6B"/>
          <w:sz w:val="21"/>
          <w:szCs w:val="21"/>
        </w:rPr>
        <w:t> </w:t>
      </w:r>
    </w:p>
    <w:tbl>
      <w:tblPr>
        <w:tblW w:w="9300" w:type="dxa"/>
        <w:tblCellSpacing w:w="0" w:type="dxa"/>
        <w:tblCellMar>
          <w:left w:w="0" w:type="dxa"/>
          <w:right w:w="0" w:type="dxa"/>
        </w:tblCellMar>
        <w:tblLook w:val="04A0" w:firstRow="1" w:lastRow="0" w:firstColumn="1" w:lastColumn="0" w:noHBand="0" w:noVBand="1"/>
      </w:tblPr>
      <w:tblGrid>
        <w:gridCol w:w="9300"/>
      </w:tblGrid>
      <w:tr w:rsidR="00C83605" w:rsidRPr="00C83605" w:rsidTr="00C83605">
        <w:trPr>
          <w:tblCellSpacing w:w="0" w:type="dxa"/>
        </w:trPr>
        <w:tc>
          <w:tcPr>
            <w:tcW w:w="5000" w:type="pct"/>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sz w:val="20"/>
                <w:szCs w:val="20"/>
              </w:rPr>
              <w:t>What is the total amount of general capital assets held by the town?</w:t>
            </w:r>
          </w:p>
        </w:tc>
      </w:tr>
    </w:tbl>
    <w:p w:rsidR="00C83605" w:rsidRPr="00C83605" w:rsidRDefault="00C83605" w:rsidP="00C83605">
      <w:pPr>
        <w:shd w:val="clear" w:color="auto" w:fill="FFFFFF"/>
        <w:spacing w:line="240" w:lineRule="auto"/>
        <w:rPr>
          <w:rFonts w:ascii="Arial" w:eastAsia="Times New Roman" w:hAnsi="Arial" w:cs="Arial"/>
          <w:color w:val="6B6B6B"/>
          <w:sz w:val="21"/>
          <w:szCs w:val="21"/>
        </w:rPr>
      </w:pPr>
      <w:r w:rsidRPr="00C83605">
        <w:rPr>
          <w:rFonts w:ascii="Arial" w:eastAsia="Times New Roman" w:hAnsi="Arial" w:cs="Arial"/>
          <w:color w:val="6B6B6B"/>
          <w:sz w:val="21"/>
          <w:szCs w:val="21"/>
        </w:rPr>
        <w:t> </w:t>
      </w:r>
    </w:p>
    <w:tbl>
      <w:tblPr>
        <w:tblW w:w="9300" w:type="dxa"/>
        <w:tblCellSpacing w:w="0" w:type="dxa"/>
        <w:tblInd w:w="390" w:type="dxa"/>
        <w:tblCellMar>
          <w:left w:w="0" w:type="dxa"/>
          <w:right w:w="0" w:type="dxa"/>
        </w:tblCellMar>
        <w:tblLook w:val="04A0" w:firstRow="1" w:lastRow="0" w:firstColumn="1" w:lastColumn="0" w:noHBand="0" w:noVBand="1"/>
      </w:tblPr>
      <w:tblGrid>
        <w:gridCol w:w="9300"/>
      </w:tblGrid>
      <w:tr w:rsidR="00C83605" w:rsidRPr="00C83605" w:rsidTr="00C83605">
        <w:trPr>
          <w:tblCellSpacing w:w="0" w:type="dxa"/>
        </w:trPr>
        <w:tc>
          <w:tcPr>
            <w:tcW w:w="5000" w:type="pct"/>
            <w:hideMark/>
          </w:tcPr>
          <w:p w:rsidR="00C83605" w:rsidRPr="00C83605" w:rsidRDefault="00C83605" w:rsidP="00C83605">
            <w:pPr>
              <w:spacing w:after="0" w:line="240" w:lineRule="auto"/>
              <w:rPr>
                <w:rFonts w:ascii="Arial" w:eastAsia="Times New Roman" w:hAnsi="Arial" w:cs="Arial"/>
                <w:sz w:val="20"/>
                <w:szCs w:val="20"/>
              </w:rPr>
            </w:pPr>
            <w:r w:rsidRPr="00C83605">
              <w:rPr>
                <w:rFonts w:ascii="Arial" w:eastAsia="Times New Roman" w:hAnsi="Arial" w:cs="Arial"/>
                <w:b/>
                <w:sz w:val="20"/>
                <w:szCs w:val="20"/>
              </w:rPr>
              <w:t>$5,275,000</w:t>
            </w:r>
            <w:r w:rsidRPr="00C83605">
              <w:rPr>
                <w:rFonts w:ascii="Arial" w:eastAsia="Times New Roman" w:hAnsi="Arial" w:cs="Arial"/>
                <w:sz w:val="20"/>
                <w:szCs w:val="20"/>
              </w:rPr>
              <w:t>.</w:t>
            </w:r>
          </w:p>
        </w:tc>
      </w:tr>
    </w:tbl>
    <w:p w:rsidR="00C83605" w:rsidRPr="00C83605" w:rsidRDefault="00C83605" w:rsidP="00C83605">
      <w:pPr>
        <w:pStyle w:val="ListParagraph"/>
        <w:rPr>
          <w:b/>
        </w:rPr>
      </w:pPr>
      <w:bookmarkStart w:id="0" w:name="_GoBack"/>
      <w:bookmarkEnd w:id="0"/>
    </w:p>
    <w:sectPr w:rsidR="00C83605" w:rsidRPr="00C83605" w:rsidSect="003C26A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C247A55"/>
    <w:multiLevelType w:val="hybridMultilevel"/>
    <w:tmpl w:val="A70CEF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F1B4739"/>
    <w:multiLevelType w:val="hybridMultilevel"/>
    <w:tmpl w:val="E7A8CB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26A2"/>
    <w:rsid w:val="00091D7A"/>
    <w:rsid w:val="003C26A2"/>
    <w:rsid w:val="00763628"/>
    <w:rsid w:val="00C836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1AEEDC-5162-4C59-8DE7-8E6AA4D95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C26A2"/>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C26A2"/>
    <w:pPr>
      <w:ind w:left="720"/>
      <w:contextualSpacing/>
    </w:pPr>
  </w:style>
  <w:style w:type="character" w:customStyle="1" w:styleId="apple-converted-space">
    <w:name w:val="apple-converted-space"/>
    <w:basedOn w:val="DefaultParagraphFont"/>
    <w:rsid w:val="003C26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615408">
      <w:bodyDiv w:val="1"/>
      <w:marLeft w:val="0"/>
      <w:marRight w:val="0"/>
      <w:marTop w:val="0"/>
      <w:marBottom w:val="0"/>
      <w:divBdr>
        <w:top w:val="none" w:sz="0" w:space="0" w:color="auto"/>
        <w:left w:val="none" w:sz="0" w:space="0" w:color="auto"/>
        <w:bottom w:val="none" w:sz="0" w:space="0" w:color="auto"/>
        <w:right w:val="none" w:sz="0" w:space="0" w:color="auto"/>
      </w:divBdr>
    </w:div>
    <w:div w:id="145123190">
      <w:bodyDiv w:val="1"/>
      <w:marLeft w:val="0"/>
      <w:marRight w:val="0"/>
      <w:marTop w:val="0"/>
      <w:marBottom w:val="0"/>
      <w:divBdr>
        <w:top w:val="none" w:sz="0" w:space="0" w:color="auto"/>
        <w:left w:val="none" w:sz="0" w:space="0" w:color="auto"/>
        <w:bottom w:val="none" w:sz="0" w:space="0" w:color="auto"/>
        <w:right w:val="none" w:sz="0" w:space="0" w:color="auto"/>
      </w:divBdr>
    </w:div>
    <w:div w:id="241719965">
      <w:bodyDiv w:val="1"/>
      <w:marLeft w:val="0"/>
      <w:marRight w:val="0"/>
      <w:marTop w:val="0"/>
      <w:marBottom w:val="0"/>
      <w:divBdr>
        <w:top w:val="none" w:sz="0" w:space="0" w:color="auto"/>
        <w:left w:val="none" w:sz="0" w:space="0" w:color="auto"/>
        <w:bottom w:val="none" w:sz="0" w:space="0" w:color="auto"/>
        <w:right w:val="none" w:sz="0" w:space="0" w:color="auto"/>
      </w:divBdr>
    </w:div>
    <w:div w:id="297147528">
      <w:bodyDiv w:val="1"/>
      <w:marLeft w:val="0"/>
      <w:marRight w:val="0"/>
      <w:marTop w:val="0"/>
      <w:marBottom w:val="0"/>
      <w:divBdr>
        <w:top w:val="none" w:sz="0" w:space="0" w:color="auto"/>
        <w:left w:val="none" w:sz="0" w:space="0" w:color="auto"/>
        <w:bottom w:val="none" w:sz="0" w:space="0" w:color="auto"/>
        <w:right w:val="none" w:sz="0" w:space="0" w:color="auto"/>
      </w:divBdr>
    </w:div>
    <w:div w:id="311570587">
      <w:bodyDiv w:val="1"/>
      <w:marLeft w:val="0"/>
      <w:marRight w:val="0"/>
      <w:marTop w:val="0"/>
      <w:marBottom w:val="0"/>
      <w:divBdr>
        <w:top w:val="none" w:sz="0" w:space="0" w:color="auto"/>
        <w:left w:val="none" w:sz="0" w:space="0" w:color="auto"/>
        <w:bottom w:val="none" w:sz="0" w:space="0" w:color="auto"/>
        <w:right w:val="none" w:sz="0" w:space="0" w:color="auto"/>
      </w:divBdr>
    </w:div>
    <w:div w:id="358046503">
      <w:bodyDiv w:val="1"/>
      <w:marLeft w:val="0"/>
      <w:marRight w:val="0"/>
      <w:marTop w:val="0"/>
      <w:marBottom w:val="0"/>
      <w:divBdr>
        <w:top w:val="none" w:sz="0" w:space="0" w:color="auto"/>
        <w:left w:val="none" w:sz="0" w:space="0" w:color="auto"/>
        <w:bottom w:val="none" w:sz="0" w:space="0" w:color="auto"/>
        <w:right w:val="none" w:sz="0" w:space="0" w:color="auto"/>
      </w:divBdr>
    </w:div>
    <w:div w:id="382172592">
      <w:bodyDiv w:val="1"/>
      <w:marLeft w:val="0"/>
      <w:marRight w:val="0"/>
      <w:marTop w:val="0"/>
      <w:marBottom w:val="0"/>
      <w:divBdr>
        <w:top w:val="none" w:sz="0" w:space="0" w:color="auto"/>
        <w:left w:val="none" w:sz="0" w:space="0" w:color="auto"/>
        <w:bottom w:val="none" w:sz="0" w:space="0" w:color="auto"/>
        <w:right w:val="none" w:sz="0" w:space="0" w:color="auto"/>
      </w:divBdr>
    </w:div>
    <w:div w:id="460660562">
      <w:bodyDiv w:val="1"/>
      <w:marLeft w:val="0"/>
      <w:marRight w:val="0"/>
      <w:marTop w:val="0"/>
      <w:marBottom w:val="0"/>
      <w:divBdr>
        <w:top w:val="none" w:sz="0" w:space="0" w:color="auto"/>
        <w:left w:val="none" w:sz="0" w:space="0" w:color="auto"/>
        <w:bottom w:val="none" w:sz="0" w:space="0" w:color="auto"/>
        <w:right w:val="none" w:sz="0" w:space="0" w:color="auto"/>
      </w:divBdr>
    </w:div>
    <w:div w:id="466122819">
      <w:bodyDiv w:val="1"/>
      <w:marLeft w:val="0"/>
      <w:marRight w:val="0"/>
      <w:marTop w:val="0"/>
      <w:marBottom w:val="0"/>
      <w:divBdr>
        <w:top w:val="none" w:sz="0" w:space="0" w:color="auto"/>
        <w:left w:val="none" w:sz="0" w:space="0" w:color="auto"/>
        <w:bottom w:val="none" w:sz="0" w:space="0" w:color="auto"/>
        <w:right w:val="none" w:sz="0" w:space="0" w:color="auto"/>
      </w:divBdr>
    </w:div>
    <w:div w:id="615865999">
      <w:bodyDiv w:val="1"/>
      <w:marLeft w:val="0"/>
      <w:marRight w:val="0"/>
      <w:marTop w:val="0"/>
      <w:marBottom w:val="0"/>
      <w:divBdr>
        <w:top w:val="none" w:sz="0" w:space="0" w:color="auto"/>
        <w:left w:val="none" w:sz="0" w:space="0" w:color="auto"/>
        <w:bottom w:val="none" w:sz="0" w:space="0" w:color="auto"/>
        <w:right w:val="none" w:sz="0" w:space="0" w:color="auto"/>
      </w:divBdr>
    </w:div>
    <w:div w:id="1022711386">
      <w:bodyDiv w:val="1"/>
      <w:marLeft w:val="0"/>
      <w:marRight w:val="0"/>
      <w:marTop w:val="0"/>
      <w:marBottom w:val="0"/>
      <w:divBdr>
        <w:top w:val="none" w:sz="0" w:space="0" w:color="auto"/>
        <w:left w:val="none" w:sz="0" w:space="0" w:color="auto"/>
        <w:bottom w:val="none" w:sz="0" w:space="0" w:color="auto"/>
        <w:right w:val="none" w:sz="0" w:space="0" w:color="auto"/>
      </w:divBdr>
      <w:divsChild>
        <w:div w:id="536478451">
          <w:marLeft w:val="0"/>
          <w:marRight w:val="0"/>
          <w:marTop w:val="0"/>
          <w:marBottom w:val="375"/>
          <w:divBdr>
            <w:top w:val="none" w:sz="0" w:space="0" w:color="auto"/>
            <w:left w:val="none" w:sz="0" w:space="0" w:color="auto"/>
            <w:bottom w:val="none" w:sz="0" w:space="0" w:color="auto"/>
            <w:right w:val="none" w:sz="0" w:space="0" w:color="auto"/>
          </w:divBdr>
        </w:div>
        <w:div w:id="1681273384">
          <w:marLeft w:val="0"/>
          <w:marRight w:val="0"/>
          <w:marTop w:val="0"/>
          <w:marBottom w:val="0"/>
          <w:divBdr>
            <w:top w:val="none" w:sz="0" w:space="0" w:color="auto"/>
            <w:left w:val="none" w:sz="0" w:space="0" w:color="auto"/>
            <w:bottom w:val="none" w:sz="0" w:space="0" w:color="auto"/>
            <w:right w:val="none" w:sz="0" w:space="0" w:color="auto"/>
          </w:divBdr>
          <w:divsChild>
            <w:div w:id="51053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392118">
      <w:bodyDiv w:val="1"/>
      <w:marLeft w:val="0"/>
      <w:marRight w:val="0"/>
      <w:marTop w:val="0"/>
      <w:marBottom w:val="0"/>
      <w:divBdr>
        <w:top w:val="none" w:sz="0" w:space="0" w:color="auto"/>
        <w:left w:val="none" w:sz="0" w:space="0" w:color="auto"/>
        <w:bottom w:val="none" w:sz="0" w:space="0" w:color="auto"/>
        <w:right w:val="none" w:sz="0" w:space="0" w:color="auto"/>
      </w:divBdr>
    </w:div>
    <w:div w:id="1571965975">
      <w:bodyDiv w:val="1"/>
      <w:marLeft w:val="0"/>
      <w:marRight w:val="0"/>
      <w:marTop w:val="0"/>
      <w:marBottom w:val="0"/>
      <w:divBdr>
        <w:top w:val="none" w:sz="0" w:space="0" w:color="auto"/>
        <w:left w:val="none" w:sz="0" w:space="0" w:color="auto"/>
        <w:bottom w:val="none" w:sz="0" w:space="0" w:color="auto"/>
        <w:right w:val="none" w:sz="0" w:space="0" w:color="auto"/>
      </w:divBdr>
    </w:div>
    <w:div w:id="1799184383">
      <w:bodyDiv w:val="1"/>
      <w:marLeft w:val="0"/>
      <w:marRight w:val="0"/>
      <w:marTop w:val="0"/>
      <w:marBottom w:val="0"/>
      <w:divBdr>
        <w:top w:val="none" w:sz="0" w:space="0" w:color="auto"/>
        <w:left w:val="none" w:sz="0" w:space="0" w:color="auto"/>
        <w:bottom w:val="none" w:sz="0" w:space="0" w:color="auto"/>
        <w:right w:val="none" w:sz="0" w:space="0" w:color="auto"/>
      </w:divBdr>
      <w:divsChild>
        <w:div w:id="454568796">
          <w:marLeft w:val="0"/>
          <w:marRight w:val="0"/>
          <w:marTop w:val="0"/>
          <w:marBottom w:val="375"/>
          <w:divBdr>
            <w:top w:val="none" w:sz="0" w:space="0" w:color="auto"/>
            <w:left w:val="none" w:sz="0" w:space="0" w:color="auto"/>
            <w:bottom w:val="none" w:sz="0" w:space="0" w:color="auto"/>
            <w:right w:val="none" w:sz="0" w:space="0" w:color="auto"/>
          </w:divBdr>
        </w:div>
        <w:div w:id="575482882">
          <w:marLeft w:val="0"/>
          <w:marRight w:val="0"/>
          <w:marTop w:val="0"/>
          <w:marBottom w:val="0"/>
          <w:divBdr>
            <w:top w:val="none" w:sz="0" w:space="0" w:color="auto"/>
            <w:left w:val="none" w:sz="0" w:space="0" w:color="auto"/>
            <w:bottom w:val="none" w:sz="0" w:space="0" w:color="auto"/>
            <w:right w:val="none" w:sz="0" w:space="0" w:color="auto"/>
          </w:divBdr>
          <w:divsChild>
            <w:div w:id="6095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266185">
      <w:bodyDiv w:val="1"/>
      <w:marLeft w:val="0"/>
      <w:marRight w:val="0"/>
      <w:marTop w:val="0"/>
      <w:marBottom w:val="0"/>
      <w:divBdr>
        <w:top w:val="none" w:sz="0" w:space="0" w:color="auto"/>
        <w:left w:val="none" w:sz="0" w:space="0" w:color="auto"/>
        <w:bottom w:val="none" w:sz="0" w:space="0" w:color="auto"/>
        <w:right w:val="none" w:sz="0" w:space="0" w:color="auto"/>
      </w:divBdr>
    </w:div>
    <w:div w:id="1892423351">
      <w:bodyDiv w:val="1"/>
      <w:marLeft w:val="0"/>
      <w:marRight w:val="0"/>
      <w:marTop w:val="0"/>
      <w:marBottom w:val="0"/>
      <w:divBdr>
        <w:top w:val="none" w:sz="0" w:space="0" w:color="auto"/>
        <w:left w:val="none" w:sz="0" w:space="0" w:color="auto"/>
        <w:bottom w:val="none" w:sz="0" w:space="0" w:color="auto"/>
        <w:right w:val="none" w:sz="0" w:space="0" w:color="auto"/>
      </w:divBdr>
    </w:div>
    <w:div w:id="2137990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617</Words>
  <Characters>3523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Zulma Quinones</dc:creator>
  <cp:keywords/>
  <dc:description/>
  <cp:lastModifiedBy>Zulma Quinones</cp:lastModifiedBy>
  <cp:revision>1</cp:revision>
  <dcterms:created xsi:type="dcterms:W3CDTF">2017-06-14T13:52:00Z</dcterms:created>
  <dcterms:modified xsi:type="dcterms:W3CDTF">2017-06-14T14:11:00Z</dcterms:modified>
</cp:coreProperties>
</file>