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4252" w:rsidRPr="008552B2" w:rsidRDefault="008552B2" w:rsidP="008552B2">
      <w:pPr>
        <w:rPr>
          <w:color w:val="000000"/>
          <w:sz w:val="20"/>
          <w:szCs w:val="20"/>
        </w:rPr>
      </w:pPr>
      <w:proofErr w:type="gramStart"/>
      <w:r>
        <w:rPr>
          <w:color w:val="000000"/>
          <w:sz w:val="20"/>
          <w:szCs w:val="20"/>
        </w:rPr>
        <w:t>1)</w:t>
      </w:r>
      <w:r w:rsidR="00770EA7" w:rsidRPr="008552B2">
        <w:rPr>
          <w:color w:val="000000"/>
          <w:sz w:val="20"/>
          <w:szCs w:val="20"/>
        </w:rPr>
        <w:t>A</w:t>
      </w:r>
      <w:proofErr w:type="gramEnd"/>
      <w:r w:rsidR="00770EA7" w:rsidRPr="008552B2">
        <w:rPr>
          <w:color w:val="000000"/>
          <w:sz w:val="20"/>
          <w:szCs w:val="20"/>
        </w:rPr>
        <w:t xml:space="preserve"> good measure of whether a not-for-profit organization is efficient in its fund-raising efforts is:</w:t>
      </w:r>
    </w:p>
    <w:p w:rsidR="00770EA7" w:rsidRDefault="008552B2">
      <w:pPr>
        <w:rPr>
          <w:color w:val="000000"/>
          <w:sz w:val="20"/>
          <w:szCs w:val="20"/>
        </w:rPr>
      </w:pPr>
      <w:r>
        <w:rPr>
          <w:color w:val="000000"/>
          <w:sz w:val="20"/>
          <w:szCs w:val="20"/>
        </w:rPr>
        <w:t xml:space="preserve">Answer:   </w:t>
      </w:r>
      <w:r w:rsidR="00770EA7">
        <w:rPr>
          <w:color w:val="000000"/>
          <w:sz w:val="20"/>
          <w:szCs w:val="20"/>
        </w:rPr>
        <w:t>Fund-raising expenses as a percentage of public support.</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2) </w:t>
      </w:r>
      <w:r w:rsidR="00770EA7">
        <w:rPr>
          <w:color w:val="000000"/>
          <w:sz w:val="20"/>
          <w:szCs w:val="20"/>
        </w:rPr>
        <w:t>The term that means information skewed toward a particular belief with a tendency to have little or no factual basis is:</w:t>
      </w:r>
    </w:p>
    <w:p w:rsidR="00770EA7" w:rsidRDefault="008552B2">
      <w:pPr>
        <w:rPr>
          <w:color w:val="000000"/>
          <w:sz w:val="20"/>
          <w:szCs w:val="20"/>
        </w:rPr>
      </w:pPr>
      <w:r>
        <w:rPr>
          <w:color w:val="000000"/>
          <w:sz w:val="20"/>
          <w:szCs w:val="20"/>
        </w:rPr>
        <w:t xml:space="preserve">Answer:   </w:t>
      </w:r>
      <w:r w:rsidR="00770EA7">
        <w:rPr>
          <w:color w:val="000000"/>
          <w:sz w:val="20"/>
          <w:szCs w:val="20"/>
        </w:rPr>
        <w:t>Propaganda.</w:t>
      </w:r>
    </w:p>
    <w:p w:rsidR="00770EA7" w:rsidRDefault="008552B2">
      <w:pPr>
        <w:rPr>
          <w:color w:val="000000"/>
          <w:sz w:val="20"/>
          <w:szCs w:val="20"/>
        </w:rPr>
      </w:pPr>
      <w:r>
        <w:rPr>
          <w:color w:val="000000"/>
          <w:sz w:val="20"/>
          <w:szCs w:val="20"/>
        </w:rPr>
        <w:t xml:space="preserve">3) </w:t>
      </w:r>
      <w:r w:rsidR="00770EA7">
        <w:rPr>
          <w:color w:val="000000"/>
          <w:sz w:val="20"/>
          <w:szCs w:val="20"/>
        </w:rPr>
        <w:t xml:space="preserve">The Internal Revenue Service may impose intermediate sanctions on all of the following transactions between a not-for-profit organization and its executive officer </w:t>
      </w:r>
      <w:r w:rsidR="00770EA7">
        <w:rPr>
          <w:i/>
          <w:iCs/>
          <w:color w:val="000000"/>
          <w:sz w:val="20"/>
          <w:szCs w:val="20"/>
        </w:rPr>
        <w:t>except</w:t>
      </w:r>
      <w:r w:rsidR="00770EA7">
        <w:rPr>
          <w:color w:val="000000"/>
          <w:sz w:val="20"/>
          <w:szCs w:val="20"/>
        </w:rPr>
        <w:t>:</w:t>
      </w:r>
    </w:p>
    <w:p w:rsidR="00770EA7" w:rsidRDefault="008552B2">
      <w:pPr>
        <w:rPr>
          <w:color w:val="000000"/>
          <w:sz w:val="20"/>
          <w:szCs w:val="20"/>
        </w:rPr>
      </w:pPr>
      <w:r>
        <w:rPr>
          <w:color w:val="000000"/>
          <w:sz w:val="20"/>
          <w:szCs w:val="20"/>
        </w:rPr>
        <w:t xml:space="preserve">Answer:   </w:t>
      </w:r>
      <w:r w:rsidR="00770EA7">
        <w:rPr>
          <w:color w:val="000000"/>
          <w:sz w:val="20"/>
          <w:szCs w:val="20"/>
        </w:rPr>
        <w:t>Fringe benefits comparable to those given to all employees.</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4) </w:t>
      </w:r>
      <w:r w:rsidR="00770EA7">
        <w:rPr>
          <w:color w:val="000000"/>
          <w:sz w:val="20"/>
          <w:szCs w:val="20"/>
        </w:rPr>
        <w:t>The organization Shelter the Needy is completing its Form 990 and it is trying to determine if it has unrelated business income on which it must pay taxes. Which of the following would be subject to unrelated business income taxes?</w:t>
      </w:r>
    </w:p>
    <w:p w:rsidR="00770EA7" w:rsidRPr="00770EA7" w:rsidRDefault="008552B2" w:rsidP="00770EA7">
      <w:pPr>
        <w:spacing w:after="0" w:line="240" w:lineRule="auto"/>
        <w:rPr>
          <w:rFonts w:ascii="Times New Roman" w:eastAsia="Times New Roman" w:hAnsi="Times New Roman" w:cs="Times New Roman"/>
          <w:color w:val="000000"/>
          <w:sz w:val="20"/>
          <w:szCs w:val="20"/>
        </w:rPr>
      </w:pPr>
      <w:r>
        <w:rPr>
          <w:color w:val="000000"/>
          <w:sz w:val="20"/>
          <w:szCs w:val="20"/>
        </w:rPr>
        <w:t xml:space="preserve">Answer:   </w:t>
      </w:r>
      <w:r w:rsidR="00770EA7" w:rsidRPr="00770EA7">
        <w:rPr>
          <w:rFonts w:ascii="Times New Roman" w:eastAsia="Times New Roman" w:hAnsi="Times New Roman" w:cs="Times New Roman"/>
          <w:color w:val="000000"/>
          <w:sz w:val="20"/>
          <w:szCs w:val="20"/>
        </w:rPr>
        <w:t>None of the items listed would be subject to unrelated business income taxes.</w:t>
      </w:r>
    </w:p>
    <w:p w:rsidR="00770EA7" w:rsidRDefault="00770EA7"/>
    <w:p w:rsidR="00770EA7" w:rsidRDefault="008552B2">
      <w:pPr>
        <w:rPr>
          <w:color w:val="000000"/>
          <w:sz w:val="20"/>
          <w:szCs w:val="20"/>
        </w:rPr>
      </w:pPr>
      <w:r>
        <w:rPr>
          <w:color w:val="000000"/>
          <w:sz w:val="20"/>
          <w:szCs w:val="20"/>
        </w:rPr>
        <w:t xml:space="preserve">5) </w:t>
      </w:r>
      <w:r w:rsidR="00770EA7">
        <w:rPr>
          <w:color w:val="000000"/>
          <w:sz w:val="20"/>
          <w:szCs w:val="20"/>
        </w:rPr>
        <w:t>A good measure that can be used to help assess whether a not-for-profit organization is spending too much on overhead, such as general and administrative expenses, is:</w:t>
      </w:r>
    </w:p>
    <w:p w:rsidR="00770EA7" w:rsidRDefault="008552B2">
      <w:pPr>
        <w:rPr>
          <w:color w:val="000000"/>
          <w:sz w:val="20"/>
          <w:szCs w:val="20"/>
        </w:rPr>
      </w:pPr>
      <w:r>
        <w:rPr>
          <w:color w:val="000000"/>
          <w:sz w:val="20"/>
          <w:szCs w:val="20"/>
        </w:rPr>
        <w:t xml:space="preserve">Answer:   </w:t>
      </w:r>
      <w:r w:rsidR="00770EA7">
        <w:rPr>
          <w:color w:val="000000"/>
          <w:sz w:val="20"/>
          <w:szCs w:val="20"/>
        </w:rPr>
        <w:t>Percentage of program expenses to total expenses.</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6) </w:t>
      </w:r>
      <w:r w:rsidR="00770EA7">
        <w:rPr>
          <w:color w:val="000000"/>
          <w:sz w:val="20"/>
          <w:szCs w:val="20"/>
        </w:rPr>
        <w:t xml:space="preserve">Which of the following is </w:t>
      </w:r>
      <w:r w:rsidR="00770EA7">
        <w:rPr>
          <w:i/>
          <w:iCs/>
          <w:color w:val="000000"/>
          <w:sz w:val="20"/>
          <w:szCs w:val="20"/>
        </w:rPr>
        <w:t>not</w:t>
      </w:r>
      <w:r w:rsidR="00770EA7">
        <w:rPr>
          <w:color w:val="000000"/>
          <w:sz w:val="20"/>
          <w:szCs w:val="20"/>
        </w:rPr>
        <w:t xml:space="preserve"> a true statement about tax-exempt organizations?</w:t>
      </w:r>
    </w:p>
    <w:p w:rsidR="00770EA7" w:rsidRDefault="008552B2">
      <w:pPr>
        <w:rPr>
          <w:color w:val="000000"/>
          <w:sz w:val="20"/>
          <w:szCs w:val="20"/>
        </w:rPr>
      </w:pPr>
      <w:r>
        <w:rPr>
          <w:color w:val="000000"/>
          <w:sz w:val="20"/>
          <w:szCs w:val="20"/>
        </w:rPr>
        <w:t xml:space="preserve">Answer:   </w:t>
      </w:r>
      <w:r w:rsidR="00770EA7">
        <w:rPr>
          <w:color w:val="000000"/>
          <w:sz w:val="20"/>
          <w:szCs w:val="20"/>
        </w:rPr>
        <w:t>They must be organized to serve the charitable needs of the public at large.</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7) </w:t>
      </w:r>
      <w:r w:rsidR="00770EA7">
        <w:rPr>
          <w:color w:val="000000"/>
          <w:sz w:val="20"/>
          <w:szCs w:val="20"/>
        </w:rPr>
        <w:t>Which of the following defines an appeal to the public to take action on a legislative matter?</w:t>
      </w:r>
    </w:p>
    <w:p w:rsidR="00770EA7" w:rsidRDefault="008552B2">
      <w:pPr>
        <w:rPr>
          <w:color w:val="000000"/>
          <w:sz w:val="20"/>
          <w:szCs w:val="20"/>
        </w:rPr>
      </w:pPr>
      <w:r>
        <w:rPr>
          <w:color w:val="000000"/>
          <w:sz w:val="20"/>
          <w:szCs w:val="20"/>
        </w:rPr>
        <w:t xml:space="preserve">Answer:   </w:t>
      </w:r>
      <w:r w:rsidR="00770EA7">
        <w:rPr>
          <w:color w:val="000000"/>
          <w:sz w:val="20"/>
          <w:szCs w:val="20"/>
        </w:rPr>
        <w:t>Grass-roots lobbying.</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8) </w:t>
      </w:r>
      <w:r w:rsidR="00770EA7">
        <w:rPr>
          <w:color w:val="000000"/>
          <w:sz w:val="20"/>
          <w:szCs w:val="20"/>
        </w:rPr>
        <w:t>The Form 990 consists of 12 parts (core form) and several schedules. Which of the following would not be included as one of the parts of the core form of the Form 990?</w:t>
      </w:r>
    </w:p>
    <w:p w:rsidR="00770EA7" w:rsidRDefault="008552B2">
      <w:pPr>
        <w:rPr>
          <w:color w:val="000000"/>
          <w:sz w:val="20"/>
          <w:szCs w:val="20"/>
        </w:rPr>
      </w:pPr>
      <w:r>
        <w:rPr>
          <w:color w:val="000000"/>
          <w:sz w:val="20"/>
          <w:szCs w:val="20"/>
        </w:rPr>
        <w:t xml:space="preserve">Answer:   </w:t>
      </w:r>
      <w:r w:rsidR="00770EA7">
        <w:rPr>
          <w:color w:val="000000"/>
          <w:sz w:val="20"/>
          <w:szCs w:val="20"/>
        </w:rPr>
        <w:t>Management analysis of the financial condition of the organization.</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9) </w:t>
      </w:r>
      <w:r w:rsidR="00770EA7">
        <w:rPr>
          <w:color w:val="000000"/>
          <w:sz w:val="20"/>
          <w:szCs w:val="20"/>
        </w:rPr>
        <w:t xml:space="preserve">Which of the following is a reason why a not-for-profit organization might </w:t>
      </w:r>
      <w:r w:rsidR="00770EA7">
        <w:rPr>
          <w:i/>
          <w:iCs/>
          <w:color w:val="000000"/>
          <w:sz w:val="20"/>
          <w:szCs w:val="20"/>
        </w:rPr>
        <w:t>fail</w:t>
      </w:r>
      <w:r w:rsidR="00770EA7">
        <w:rPr>
          <w:color w:val="000000"/>
          <w:sz w:val="20"/>
          <w:szCs w:val="20"/>
        </w:rPr>
        <w:t xml:space="preserve"> to qualify for tax-exempt status?</w:t>
      </w:r>
    </w:p>
    <w:p w:rsidR="00770EA7" w:rsidRDefault="008552B2">
      <w:pPr>
        <w:rPr>
          <w:color w:val="000000"/>
          <w:sz w:val="20"/>
          <w:szCs w:val="20"/>
        </w:rPr>
      </w:pPr>
      <w:r>
        <w:rPr>
          <w:color w:val="000000"/>
          <w:sz w:val="20"/>
          <w:szCs w:val="20"/>
        </w:rPr>
        <w:t xml:space="preserve">Answer:   </w:t>
      </w:r>
      <w:r w:rsidR="00770EA7">
        <w:rPr>
          <w:color w:val="000000"/>
          <w:sz w:val="20"/>
          <w:szCs w:val="20"/>
        </w:rPr>
        <w:t>Its primary purpose is to promote the election of a senate candidate</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10) </w:t>
      </w:r>
      <w:r w:rsidR="00770EA7">
        <w:rPr>
          <w:color w:val="000000"/>
          <w:sz w:val="20"/>
          <w:szCs w:val="20"/>
        </w:rPr>
        <w:t>A tax-exempt organization that receives its support primarily from a large number of individuals or corporations and a relatively small amount from investment income is called a:</w:t>
      </w:r>
    </w:p>
    <w:p w:rsidR="00770EA7" w:rsidRDefault="008552B2">
      <w:pPr>
        <w:rPr>
          <w:color w:val="000000"/>
          <w:sz w:val="20"/>
          <w:szCs w:val="20"/>
        </w:rPr>
      </w:pPr>
      <w:r>
        <w:rPr>
          <w:color w:val="000000"/>
          <w:sz w:val="20"/>
          <w:szCs w:val="20"/>
        </w:rPr>
        <w:t xml:space="preserve">Answer:   </w:t>
      </w:r>
      <w:r w:rsidR="00770EA7">
        <w:rPr>
          <w:color w:val="000000"/>
          <w:sz w:val="20"/>
          <w:szCs w:val="20"/>
        </w:rPr>
        <w:t>Public charity.</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11) </w:t>
      </w:r>
      <w:r w:rsidR="00770EA7">
        <w:rPr>
          <w:color w:val="000000"/>
          <w:sz w:val="20"/>
          <w:szCs w:val="20"/>
        </w:rPr>
        <w:t>Public disclosure rules require that a tax-exempt not-for-profit organization:</w:t>
      </w:r>
    </w:p>
    <w:p w:rsidR="00770EA7" w:rsidRDefault="008552B2">
      <w:pPr>
        <w:rPr>
          <w:color w:val="000000"/>
          <w:sz w:val="20"/>
          <w:szCs w:val="20"/>
        </w:rPr>
      </w:pPr>
      <w:r>
        <w:rPr>
          <w:color w:val="000000"/>
          <w:sz w:val="20"/>
          <w:szCs w:val="20"/>
        </w:rPr>
        <w:t xml:space="preserve">Answer:   </w:t>
      </w:r>
      <w:r w:rsidR="00770EA7">
        <w:rPr>
          <w:color w:val="000000"/>
          <w:sz w:val="20"/>
          <w:szCs w:val="20"/>
        </w:rPr>
        <w:t>Make available a copy of its Form 990 to the public for a period of up to three years.</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12) </w:t>
      </w:r>
      <w:r w:rsidR="00770EA7">
        <w:rPr>
          <w:color w:val="000000"/>
          <w:sz w:val="20"/>
          <w:szCs w:val="20"/>
        </w:rPr>
        <w:t>The income most likely to be considered unrelated business income of a human service organization that provides immunizations to children in the community is:</w:t>
      </w:r>
    </w:p>
    <w:p w:rsidR="00770EA7" w:rsidRDefault="008552B2">
      <w:pPr>
        <w:rPr>
          <w:color w:val="000000"/>
          <w:sz w:val="20"/>
          <w:szCs w:val="20"/>
        </w:rPr>
      </w:pPr>
      <w:r>
        <w:rPr>
          <w:color w:val="000000"/>
          <w:sz w:val="20"/>
          <w:szCs w:val="20"/>
        </w:rPr>
        <w:t xml:space="preserve">Answer:   </w:t>
      </w:r>
      <w:r w:rsidR="00770EA7">
        <w:rPr>
          <w:color w:val="000000"/>
          <w:sz w:val="20"/>
          <w:szCs w:val="20"/>
        </w:rPr>
        <w:t>Regular sale of sweatshirts with the organization's logo on it at a price considerably above cost.</w:t>
      </w:r>
    </w:p>
    <w:p w:rsidR="00770EA7" w:rsidRDefault="00770EA7">
      <w:pPr>
        <w:rPr>
          <w:color w:val="000000"/>
          <w:sz w:val="20"/>
          <w:szCs w:val="20"/>
        </w:rPr>
      </w:pPr>
    </w:p>
    <w:p w:rsidR="00770EA7" w:rsidRDefault="008552B2">
      <w:pPr>
        <w:rPr>
          <w:color w:val="000000"/>
          <w:sz w:val="20"/>
          <w:szCs w:val="20"/>
        </w:rPr>
      </w:pPr>
      <w:r>
        <w:rPr>
          <w:color w:val="000000"/>
          <w:sz w:val="20"/>
          <w:szCs w:val="20"/>
        </w:rPr>
        <w:t xml:space="preserve">13) </w:t>
      </w:r>
      <w:r w:rsidR="00770EA7">
        <w:rPr>
          <w:color w:val="000000"/>
          <w:sz w:val="20"/>
          <w:szCs w:val="20"/>
        </w:rPr>
        <w:t xml:space="preserve">Which of the following would </w:t>
      </w:r>
      <w:r w:rsidR="00770EA7">
        <w:rPr>
          <w:i/>
          <w:iCs/>
          <w:color w:val="000000"/>
          <w:sz w:val="20"/>
          <w:szCs w:val="20"/>
        </w:rPr>
        <w:t>not</w:t>
      </w:r>
      <w:r w:rsidR="00770EA7">
        <w:rPr>
          <w:color w:val="000000"/>
          <w:sz w:val="20"/>
          <w:szCs w:val="20"/>
        </w:rPr>
        <w:t xml:space="preserve"> be required under not-for-profit incorporation laws?</w:t>
      </w:r>
    </w:p>
    <w:p w:rsidR="00770EA7" w:rsidRDefault="008552B2">
      <w:pPr>
        <w:rPr>
          <w:color w:val="000000"/>
          <w:sz w:val="20"/>
          <w:szCs w:val="20"/>
        </w:rPr>
      </w:pPr>
      <w:r>
        <w:rPr>
          <w:color w:val="000000"/>
          <w:sz w:val="20"/>
          <w:szCs w:val="20"/>
        </w:rPr>
        <w:t xml:space="preserve">Answer:   </w:t>
      </w:r>
      <w:r w:rsidR="006E545D">
        <w:rPr>
          <w:color w:val="000000"/>
          <w:sz w:val="20"/>
          <w:szCs w:val="20"/>
        </w:rPr>
        <w:t>Application for 501(c</w:t>
      </w:r>
      <w:proofErr w:type="gramStart"/>
      <w:r w:rsidR="006E545D">
        <w:rPr>
          <w:color w:val="000000"/>
          <w:sz w:val="20"/>
          <w:szCs w:val="20"/>
        </w:rPr>
        <w:t>)(</w:t>
      </w:r>
      <w:proofErr w:type="gramEnd"/>
      <w:r w:rsidR="006E545D">
        <w:rPr>
          <w:color w:val="000000"/>
          <w:sz w:val="20"/>
          <w:szCs w:val="20"/>
        </w:rPr>
        <w:t>3) status.</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14) </w:t>
      </w:r>
      <w:r w:rsidR="006E545D">
        <w:rPr>
          <w:color w:val="000000"/>
          <w:sz w:val="20"/>
          <w:szCs w:val="20"/>
        </w:rPr>
        <w:t xml:space="preserve">All of the following are reasons why the Internal Revenue Service (IRS) overhauled the Form 990 for tax years beginning in 2008 </w:t>
      </w:r>
      <w:r w:rsidR="006E545D">
        <w:rPr>
          <w:i/>
          <w:iCs/>
          <w:color w:val="000000"/>
          <w:sz w:val="20"/>
          <w:szCs w:val="20"/>
        </w:rPr>
        <w:t>except</w:t>
      </w:r>
      <w:r w:rsidR="006E545D">
        <w:rPr>
          <w:color w:val="000000"/>
          <w:sz w:val="20"/>
          <w:szCs w:val="20"/>
        </w:rPr>
        <w:t>:</w:t>
      </w:r>
    </w:p>
    <w:p w:rsidR="006E545D" w:rsidRDefault="008552B2">
      <w:pPr>
        <w:rPr>
          <w:color w:val="000000"/>
          <w:sz w:val="20"/>
          <w:szCs w:val="20"/>
        </w:rPr>
      </w:pPr>
      <w:r>
        <w:rPr>
          <w:color w:val="000000"/>
          <w:sz w:val="20"/>
          <w:szCs w:val="20"/>
        </w:rPr>
        <w:t xml:space="preserve">Answer:   </w:t>
      </w:r>
      <w:r w:rsidR="006E545D">
        <w:rPr>
          <w:color w:val="000000"/>
          <w:sz w:val="20"/>
          <w:szCs w:val="20"/>
        </w:rPr>
        <w:t>To shorten the time it takes to complete a return for large not-for-profit organizations.</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15) </w:t>
      </w:r>
      <w:r w:rsidR="006E545D">
        <w:rPr>
          <w:color w:val="000000"/>
          <w:sz w:val="20"/>
          <w:szCs w:val="20"/>
        </w:rPr>
        <w:t>A not-for-profit organization is granted its legal status by which of the following?</w:t>
      </w:r>
    </w:p>
    <w:p w:rsidR="006E545D" w:rsidRDefault="008552B2">
      <w:pPr>
        <w:rPr>
          <w:color w:val="000000"/>
          <w:sz w:val="20"/>
          <w:szCs w:val="20"/>
        </w:rPr>
      </w:pPr>
      <w:r>
        <w:rPr>
          <w:color w:val="000000"/>
          <w:sz w:val="20"/>
          <w:szCs w:val="20"/>
        </w:rPr>
        <w:t xml:space="preserve">Answer:   </w:t>
      </w:r>
      <w:r w:rsidR="006E545D">
        <w:rPr>
          <w:color w:val="000000"/>
          <w:sz w:val="20"/>
          <w:szCs w:val="20"/>
        </w:rPr>
        <w:t>State government.</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16) </w:t>
      </w:r>
      <w:r w:rsidR="006E545D">
        <w:rPr>
          <w:color w:val="000000"/>
          <w:sz w:val="20"/>
          <w:szCs w:val="20"/>
        </w:rPr>
        <w:t>A good measure of whether a not-for-profit organization is operating its programs efficiently is:</w:t>
      </w:r>
    </w:p>
    <w:p w:rsidR="006E545D" w:rsidRDefault="008552B2">
      <w:pPr>
        <w:rPr>
          <w:color w:val="000000"/>
          <w:sz w:val="20"/>
          <w:szCs w:val="20"/>
        </w:rPr>
      </w:pPr>
      <w:r>
        <w:rPr>
          <w:color w:val="000000"/>
          <w:sz w:val="20"/>
          <w:szCs w:val="20"/>
        </w:rPr>
        <w:t xml:space="preserve">Answer:   </w:t>
      </w:r>
      <w:r w:rsidR="006E545D">
        <w:rPr>
          <w:color w:val="000000"/>
          <w:sz w:val="20"/>
          <w:szCs w:val="20"/>
        </w:rPr>
        <w:t>The ratio of program expenses to number of clients served.</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17) </w:t>
      </w:r>
      <w:r w:rsidR="006E545D">
        <w:rPr>
          <w:color w:val="000000"/>
          <w:sz w:val="20"/>
          <w:szCs w:val="20"/>
        </w:rPr>
        <w:t>A good measure of whether a not-for-profit organization is a "going concern" and can sustain its operations into the future is:</w:t>
      </w:r>
    </w:p>
    <w:p w:rsidR="006E545D" w:rsidRDefault="008552B2">
      <w:pPr>
        <w:rPr>
          <w:color w:val="000000"/>
          <w:sz w:val="20"/>
          <w:szCs w:val="20"/>
        </w:rPr>
      </w:pPr>
      <w:r>
        <w:rPr>
          <w:color w:val="000000"/>
          <w:sz w:val="20"/>
          <w:szCs w:val="20"/>
        </w:rPr>
        <w:t xml:space="preserve">Answer:   </w:t>
      </w:r>
      <w:r w:rsidR="006E545D">
        <w:rPr>
          <w:color w:val="000000"/>
          <w:sz w:val="20"/>
          <w:szCs w:val="20"/>
        </w:rPr>
        <w:t>Percentage of unrestricted net assets to operating expenses.</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18) </w:t>
      </w:r>
      <w:r w:rsidR="006E545D">
        <w:rPr>
          <w:color w:val="000000"/>
          <w:sz w:val="20"/>
          <w:szCs w:val="20"/>
        </w:rPr>
        <w:t>Which of the following is the incorporating document of a not-for-profit organization that describes the purpose or mission of the organization?</w:t>
      </w:r>
    </w:p>
    <w:p w:rsidR="006E545D" w:rsidRDefault="008552B2">
      <w:pPr>
        <w:rPr>
          <w:color w:val="000000"/>
          <w:sz w:val="20"/>
          <w:szCs w:val="20"/>
        </w:rPr>
      </w:pPr>
      <w:r>
        <w:rPr>
          <w:color w:val="000000"/>
          <w:sz w:val="20"/>
          <w:szCs w:val="20"/>
        </w:rPr>
        <w:t xml:space="preserve">Answer:   </w:t>
      </w:r>
      <w:r w:rsidR="006E545D">
        <w:rPr>
          <w:color w:val="000000"/>
          <w:sz w:val="20"/>
          <w:szCs w:val="20"/>
        </w:rPr>
        <w:t>Articles of incorporation.</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19) </w:t>
      </w:r>
      <w:r w:rsidR="006E545D">
        <w:rPr>
          <w:color w:val="000000"/>
          <w:sz w:val="20"/>
          <w:szCs w:val="20"/>
        </w:rPr>
        <w:t>Which of the following not-for-profit organizations is most likely to be tax-exempt under IRC Sec. 501(c</w:t>
      </w:r>
      <w:proofErr w:type="gramStart"/>
      <w:r w:rsidR="006E545D">
        <w:rPr>
          <w:color w:val="000000"/>
          <w:sz w:val="20"/>
          <w:szCs w:val="20"/>
        </w:rPr>
        <w:t>)(</w:t>
      </w:r>
      <w:proofErr w:type="gramEnd"/>
      <w:r w:rsidR="006E545D">
        <w:rPr>
          <w:color w:val="000000"/>
          <w:sz w:val="20"/>
          <w:szCs w:val="20"/>
        </w:rPr>
        <w:t>3)?</w:t>
      </w:r>
    </w:p>
    <w:p w:rsidR="006E545D" w:rsidRDefault="008552B2">
      <w:pPr>
        <w:rPr>
          <w:color w:val="000000"/>
          <w:sz w:val="20"/>
          <w:szCs w:val="20"/>
        </w:rPr>
      </w:pPr>
      <w:r>
        <w:rPr>
          <w:color w:val="000000"/>
          <w:sz w:val="20"/>
          <w:szCs w:val="20"/>
        </w:rPr>
        <w:t xml:space="preserve">Answer:   </w:t>
      </w:r>
      <w:r w:rsidR="006E545D">
        <w:rPr>
          <w:color w:val="000000"/>
          <w:sz w:val="20"/>
          <w:szCs w:val="20"/>
        </w:rPr>
        <w:t>Survivors of Breast Cancer Club.</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20) </w:t>
      </w:r>
      <w:r w:rsidR="006E545D">
        <w:rPr>
          <w:color w:val="000000"/>
          <w:sz w:val="20"/>
          <w:szCs w:val="20"/>
        </w:rPr>
        <w:t>A good measure of whether a not-for-profit organization is "liquid" and can meet its short-term obligations is:</w:t>
      </w:r>
    </w:p>
    <w:p w:rsidR="006E545D" w:rsidRDefault="008552B2">
      <w:pPr>
        <w:rPr>
          <w:color w:val="000000"/>
          <w:sz w:val="20"/>
          <w:szCs w:val="20"/>
        </w:rPr>
      </w:pPr>
      <w:r>
        <w:rPr>
          <w:color w:val="000000"/>
          <w:sz w:val="20"/>
          <w:szCs w:val="20"/>
        </w:rPr>
        <w:t xml:space="preserve">Answer:   </w:t>
      </w:r>
      <w:r w:rsidR="006E545D">
        <w:rPr>
          <w:color w:val="000000"/>
          <w:sz w:val="20"/>
          <w:szCs w:val="20"/>
        </w:rPr>
        <w:t>Current assets divided by current liabilities.</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21) </w:t>
      </w:r>
      <w:r w:rsidR="006E545D">
        <w:rPr>
          <w:color w:val="000000"/>
          <w:sz w:val="20"/>
          <w:szCs w:val="20"/>
        </w:rPr>
        <w:t>The local Kennel Club is a not-for-profit organization with gross receipts of $23,500 for the current tax year. Under the Internal Revenue Service Code, the Kennel Club would be required to file which of the following forms for the tax year?</w:t>
      </w:r>
    </w:p>
    <w:p w:rsidR="006E545D" w:rsidRDefault="008552B2">
      <w:pPr>
        <w:rPr>
          <w:color w:val="000000"/>
          <w:sz w:val="20"/>
          <w:szCs w:val="20"/>
        </w:rPr>
      </w:pPr>
      <w:r>
        <w:rPr>
          <w:color w:val="000000"/>
          <w:sz w:val="20"/>
          <w:szCs w:val="20"/>
        </w:rPr>
        <w:t xml:space="preserve">Answer:   </w:t>
      </w:r>
      <w:r w:rsidR="006E545D">
        <w:rPr>
          <w:color w:val="000000"/>
          <w:sz w:val="20"/>
          <w:szCs w:val="20"/>
        </w:rPr>
        <w:t>Form 990-N.</w:t>
      </w:r>
    </w:p>
    <w:p w:rsidR="006E545D" w:rsidRDefault="006E545D">
      <w:pPr>
        <w:rPr>
          <w:color w:val="000000"/>
          <w:sz w:val="20"/>
          <w:szCs w:val="20"/>
        </w:rPr>
      </w:pPr>
    </w:p>
    <w:p w:rsidR="006E545D" w:rsidRDefault="008552B2">
      <w:pPr>
        <w:rPr>
          <w:color w:val="000000"/>
          <w:sz w:val="20"/>
          <w:szCs w:val="20"/>
        </w:rPr>
      </w:pPr>
      <w:r>
        <w:rPr>
          <w:color w:val="000000"/>
          <w:sz w:val="20"/>
          <w:szCs w:val="20"/>
        </w:rPr>
        <w:t xml:space="preserve">22) </w:t>
      </w:r>
      <w:r w:rsidR="006E545D">
        <w:rPr>
          <w:color w:val="000000"/>
          <w:sz w:val="20"/>
          <w:szCs w:val="20"/>
        </w:rPr>
        <w:t>A nongovernmental tax-exempt organization must complete a Form 990 and send it to the Internal Revenue Service:</w:t>
      </w:r>
    </w:p>
    <w:p w:rsidR="006E545D" w:rsidRDefault="008552B2">
      <w:pPr>
        <w:rPr>
          <w:color w:val="000000"/>
          <w:sz w:val="20"/>
          <w:szCs w:val="20"/>
        </w:rPr>
      </w:pPr>
      <w:r>
        <w:rPr>
          <w:color w:val="000000"/>
          <w:sz w:val="20"/>
          <w:szCs w:val="20"/>
        </w:rPr>
        <w:t xml:space="preserve">Answer:   </w:t>
      </w:r>
      <w:r w:rsidR="006E545D">
        <w:rPr>
          <w:color w:val="000000"/>
          <w:sz w:val="20"/>
          <w:szCs w:val="20"/>
        </w:rPr>
        <w:t>If they are not a religious organization, and have gross receipts of $5,000 or more each year.</w:t>
      </w:r>
    </w:p>
    <w:p w:rsidR="0097304E" w:rsidRDefault="0097304E">
      <w:pPr>
        <w:rPr>
          <w:color w:val="000000"/>
          <w:sz w:val="20"/>
          <w:szCs w:val="20"/>
        </w:rPr>
      </w:pPr>
    </w:p>
    <w:p w:rsidR="006E545D" w:rsidRDefault="008552B2">
      <w:pPr>
        <w:rPr>
          <w:color w:val="000000"/>
          <w:sz w:val="20"/>
          <w:szCs w:val="20"/>
        </w:rPr>
      </w:pPr>
      <w:r>
        <w:rPr>
          <w:color w:val="000000"/>
          <w:sz w:val="20"/>
          <w:szCs w:val="20"/>
        </w:rPr>
        <w:t xml:space="preserve">23) </w:t>
      </w:r>
      <w:r w:rsidR="0097304E">
        <w:rPr>
          <w:color w:val="000000"/>
          <w:sz w:val="20"/>
          <w:szCs w:val="20"/>
        </w:rPr>
        <w:t xml:space="preserve">Which of the following statements is </w:t>
      </w:r>
      <w:r w:rsidR="0097304E">
        <w:rPr>
          <w:i/>
          <w:iCs/>
          <w:color w:val="000000"/>
          <w:sz w:val="20"/>
          <w:szCs w:val="20"/>
        </w:rPr>
        <w:t>true</w:t>
      </w:r>
      <w:r w:rsidR="0097304E">
        <w:rPr>
          <w:color w:val="000000"/>
          <w:sz w:val="20"/>
          <w:szCs w:val="20"/>
        </w:rPr>
        <w:t xml:space="preserve"> regarding generally accepted accounting principles (GAAP) for colleges and universities?</w:t>
      </w:r>
    </w:p>
    <w:p w:rsidR="0097304E" w:rsidRDefault="008552B2">
      <w:pPr>
        <w:rPr>
          <w:color w:val="000000"/>
          <w:sz w:val="20"/>
          <w:szCs w:val="20"/>
        </w:rPr>
      </w:pPr>
      <w:r>
        <w:rPr>
          <w:color w:val="000000"/>
          <w:sz w:val="20"/>
          <w:szCs w:val="20"/>
        </w:rPr>
        <w:t xml:space="preserve">Answer:   </w:t>
      </w:r>
      <w:r w:rsidR="0097304E">
        <w:rPr>
          <w:color w:val="000000"/>
          <w:sz w:val="20"/>
          <w:szCs w:val="20"/>
        </w:rPr>
        <w:t>The GASB is responsible for establishing GAAP for public colleges and universities.</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24) </w:t>
      </w:r>
      <w:r w:rsidR="0097304E">
        <w:rPr>
          <w:color w:val="000000"/>
          <w:sz w:val="20"/>
          <w:szCs w:val="20"/>
        </w:rPr>
        <w:t>Which of the following statements about the Uniform Prudent Management of Institutional Funds Act (UPMIFA) is correct?</w:t>
      </w:r>
    </w:p>
    <w:p w:rsidR="0097304E" w:rsidRDefault="008552B2">
      <w:pPr>
        <w:rPr>
          <w:color w:val="000000"/>
          <w:sz w:val="20"/>
          <w:szCs w:val="20"/>
        </w:rPr>
      </w:pPr>
      <w:r>
        <w:rPr>
          <w:color w:val="000000"/>
          <w:sz w:val="20"/>
          <w:szCs w:val="20"/>
        </w:rPr>
        <w:t xml:space="preserve">Answer:   </w:t>
      </w:r>
      <w:r w:rsidR="0097304E">
        <w:rPr>
          <w:color w:val="000000"/>
          <w:sz w:val="20"/>
          <w:szCs w:val="20"/>
        </w:rPr>
        <w:t>It allows institutions to release net assets from restrictions if certain criteria are met.</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25) </w:t>
      </w:r>
      <w:r w:rsidR="0097304E">
        <w:rPr>
          <w:color w:val="000000"/>
          <w:sz w:val="20"/>
          <w:szCs w:val="20"/>
        </w:rPr>
        <w:t>What type of college or university must report expenses by functional classification?</w:t>
      </w:r>
    </w:p>
    <w:p w:rsidR="0097304E" w:rsidRDefault="008552B2">
      <w:pPr>
        <w:rPr>
          <w:color w:val="000000"/>
          <w:sz w:val="20"/>
          <w:szCs w:val="20"/>
        </w:rPr>
      </w:pPr>
      <w:r>
        <w:rPr>
          <w:color w:val="000000"/>
          <w:sz w:val="20"/>
          <w:szCs w:val="20"/>
        </w:rPr>
        <w:t xml:space="preserve">Answer:   </w:t>
      </w:r>
      <w:r w:rsidR="0097304E">
        <w:rPr>
          <w:color w:val="000000"/>
          <w:sz w:val="20"/>
          <w:szCs w:val="20"/>
        </w:rPr>
        <w:t>Private colleges and universities.</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26) </w:t>
      </w:r>
      <w:r w:rsidR="0097304E">
        <w:rPr>
          <w:color w:val="000000"/>
          <w:sz w:val="20"/>
          <w:szCs w:val="20"/>
        </w:rPr>
        <w:t>Which of the following receipts may properly be accounted for as an increase in unrestricted net assets by a private college?</w:t>
      </w:r>
    </w:p>
    <w:p w:rsidR="0097304E" w:rsidRDefault="008552B2">
      <w:pPr>
        <w:rPr>
          <w:color w:val="000000"/>
          <w:sz w:val="20"/>
          <w:szCs w:val="20"/>
        </w:rPr>
      </w:pPr>
      <w:r>
        <w:rPr>
          <w:color w:val="000000"/>
          <w:sz w:val="20"/>
          <w:szCs w:val="20"/>
        </w:rPr>
        <w:t xml:space="preserve">Answer:   </w:t>
      </w:r>
      <w:r w:rsidR="0097304E">
        <w:rPr>
          <w:color w:val="000000"/>
          <w:sz w:val="20"/>
          <w:szCs w:val="20"/>
        </w:rPr>
        <w:t>Student tuition and fees.</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27) </w:t>
      </w:r>
      <w:r w:rsidR="0097304E">
        <w:rPr>
          <w:color w:val="000000"/>
          <w:sz w:val="20"/>
          <w:szCs w:val="20"/>
        </w:rPr>
        <w:t>A private college would report which of the following assets differently than a public college?</w:t>
      </w:r>
    </w:p>
    <w:p w:rsidR="0097304E" w:rsidRDefault="008552B2">
      <w:pPr>
        <w:rPr>
          <w:color w:val="000000"/>
          <w:sz w:val="20"/>
          <w:szCs w:val="20"/>
        </w:rPr>
      </w:pPr>
      <w:r>
        <w:rPr>
          <w:color w:val="000000"/>
          <w:sz w:val="20"/>
          <w:szCs w:val="20"/>
        </w:rPr>
        <w:t xml:space="preserve">Answer:   </w:t>
      </w:r>
      <w:r w:rsidR="0097304E">
        <w:rPr>
          <w:color w:val="000000"/>
          <w:sz w:val="20"/>
          <w:szCs w:val="20"/>
        </w:rPr>
        <w:t>Intangible assets</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28) </w:t>
      </w:r>
      <w:r w:rsidR="0097304E">
        <w:rPr>
          <w:color w:val="000000"/>
          <w:sz w:val="20"/>
          <w:szCs w:val="20"/>
        </w:rPr>
        <w:t>GASB accounting and reporting standards applicable to public colleges and universities:</w:t>
      </w:r>
    </w:p>
    <w:p w:rsidR="0097304E" w:rsidRDefault="008552B2">
      <w:pPr>
        <w:rPr>
          <w:color w:val="000000"/>
          <w:sz w:val="20"/>
          <w:szCs w:val="20"/>
        </w:rPr>
      </w:pPr>
      <w:r>
        <w:rPr>
          <w:color w:val="000000"/>
          <w:sz w:val="20"/>
          <w:szCs w:val="20"/>
        </w:rPr>
        <w:t xml:space="preserve">Answer:   </w:t>
      </w:r>
      <w:r w:rsidR="0097304E">
        <w:rPr>
          <w:color w:val="000000"/>
          <w:sz w:val="20"/>
          <w:szCs w:val="20"/>
        </w:rPr>
        <w:t>Differ in some significant ways from FASB standards applicable to private colleges and universities.</w:t>
      </w:r>
    </w:p>
    <w:p w:rsidR="0097304E" w:rsidRDefault="008552B2">
      <w:pPr>
        <w:rPr>
          <w:color w:val="000000"/>
          <w:sz w:val="20"/>
          <w:szCs w:val="20"/>
        </w:rPr>
      </w:pPr>
      <w:r>
        <w:rPr>
          <w:color w:val="000000"/>
          <w:sz w:val="20"/>
          <w:szCs w:val="20"/>
        </w:rPr>
        <w:t>29)</w:t>
      </w:r>
    </w:p>
    <w:tbl>
      <w:tblPr>
        <w:tblW w:w="9448" w:type="dxa"/>
        <w:tblCellSpacing w:w="0" w:type="dxa"/>
        <w:tblCellMar>
          <w:left w:w="0" w:type="dxa"/>
          <w:right w:w="0" w:type="dxa"/>
        </w:tblCellMar>
        <w:tblLook w:val="04A0" w:firstRow="1" w:lastRow="0" w:firstColumn="1" w:lastColumn="0" w:noHBand="0" w:noVBand="1"/>
      </w:tblPr>
      <w:tblGrid>
        <w:gridCol w:w="9448"/>
      </w:tblGrid>
      <w:tr w:rsidR="0097304E" w:rsidRPr="0097304E" w:rsidTr="0097304E">
        <w:trPr>
          <w:trHeight w:val="1052"/>
          <w:tblCellSpacing w:w="0" w:type="dxa"/>
        </w:trPr>
        <w:tc>
          <w:tcPr>
            <w:tcW w:w="5000" w:type="pct"/>
            <w:vAlign w:val="center"/>
            <w:hideMark/>
          </w:tcPr>
          <w:p w:rsidR="0097304E" w:rsidRPr="0097304E" w:rsidRDefault="0097304E" w:rsidP="0097304E">
            <w:pPr>
              <w:spacing w:after="0" w:line="240" w:lineRule="auto"/>
              <w:jc w:val="both"/>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During the years ended June 30, 2017 and 2018, Jackson University, a private university, conducted a cancer research project financed by a $1,000,000 gift from an alumnus. The entire amount was pledged by the donor on July 10, 2016. The gift was restricted to the financing of this particular research project. During the two-year research period, Jackson's gift receipts from the alumnus and research expenses related to the research project were as follows for each fiscal year (FY):</w:t>
            </w:r>
          </w:p>
        </w:tc>
      </w:tr>
    </w:tbl>
    <w:p w:rsidR="0097304E" w:rsidRPr="0097304E" w:rsidRDefault="008552B2" w:rsidP="0097304E">
      <w:pPr>
        <w:spacing w:line="240" w:lineRule="auto"/>
        <w:rPr>
          <w:rFonts w:ascii="Times New Roman" w:eastAsia="Times New Roman" w:hAnsi="Times New Roman" w:cs="Times New Roman"/>
          <w:color w:val="6B6B6B"/>
          <w:sz w:val="21"/>
          <w:szCs w:val="21"/>
        </w:rPr>
      </w:pPr>
      <w:r>
        <w:rPr>
          <w:color w:val="000000"/>
          <w:sz w:val="20"/>
          <w:szCs w:val="20"/>
        </w:rPr>
        <w:t xml:space="preserve">Answer:   </w:t>
      </w:r>
      <w:r w:rsidR="0097304E" w:rsidRPr="0097304E">
        <w:rPr>
          <w:rFonts w:ascii="Times New Roman" w:eastAsia="Times New Roman" w:hAnsi="Times New Roman" w:cs="Times New Roman"/>
          <w:color w:val="6B6B6B"/>
          <w:sz w:val="21"/>
          <w:szCs w:val="21"/>
        </w:rPr>
        <w:t>  </w:t>
      </w:r>
    </w:p>
    <w:tbl>
      <w:tblPr>
        <w:tblW w:w="4950" w:type="dxa"/>
        <w:tblCellSpacing w:w="0" w:type="dxa"/>
        <w:tblCellMar>
          <w:left w:w="0" w:type="dxa"/>
          <w:right w:w="0" w:type="dxa"/>
        </w:tblCellMar>
        <w:tblLook w:val="04A0" w:firstRow="1" w:lastRow="0" w:firstColumn="1" w:lastColumn="0" w:noHBand="0" w:noVBand="1"/>
      </w:tblPr>
      <w:tblGrid>
        <w:gridCol w:w="2672"/>
        <w:gridCol w:w="1139"/>
        <w:gridCol w:w="1139"/>
      </w:tblGrid>
      <w:tr w:rsidR="0097304E" w:rsidRPr="0097304E" w:rsidTr="0097304E">
        <w:trPr>
          <w:tblCellSpacing w:w="0" w:type="dxa"/>
        </w:trPr>
        <w:tc>
          <w:tcPr>
            <w:tcW w:w="2700" w:type="pct"/>
            <w:shd w:val="clear" w:color="auto" w:fill="D7DCE6"/>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1150" w:type="pct"/>
            <w:shd w:val="clear" w:color="auto" w:fill="D7DCE6"/>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FY 2017</w:t>
            </w:r>
          </w:p>
        </w:tc>
        <w:tc>
          <w:tcPr>
            <w:tcW w:w="1150" w:type="pct"/>
            <w:shd w:val="clear" w:color="auto" w:fill="D7DCE6"/>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FY 2018</w:t>
            </w:r>
          </w:p>
        </w:tc>
      </w:tr>
      <w:tr w:rsidR="0097304E" w:rsidRPr="0097304E" w:rsidTr="0097304E">
        <w:trPr>
          <w:tblCellSpacing w:w="0" w:type="dxa"/>
        </w:trPr>
        <w:tc>
          <w:tcPr>
            <w:tcW w:w="2700" w:type="pct"/>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Gift receipts</w:t>
            </w:r>
          </w:p>
        </w:tc>
        <w:tc>
          <w:tcPr>
            <w:tcW w:w="1150" w:type="pct"/>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$200,000</w:t>
            </w:r>
          </w:p>
        </w:tc>
        <w:tc>
          <w:tcPr>
            <w:tcW w:w="1150" w:type="pct"/>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$800,000</w:t>
            </w:r>
          </w:p>
        </w:tc>
      </w:tr>
      <w:tr w:rsidR="0097304E" w:rsidRPr="0097304E" w:rsidTr="0097304E">
        <w:trPr>
          <w:tblCellSpacing w:w="0" w:type="dxa"/>
        </w:trPr>
        <w:tc>
          <w:tcPr>
            <w:tcW w:w="27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Cancer research expenses</w:t>
            </w:r>
          </w:p>
        </w:tc>
        <w:tc>
          <w:tcPr>
            <w:tcW w:w="1150" w:type="pct"/>
            <w:shd w:val="clear" w:color="auto" w:fill="F7F7F7"/>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$100,000</w:t>
            </w:r>
          </w:p>
        </w:tc>
        <w:tc>
          <w:tcPr>
            <w:tcW w:w="1150" w:type="pct"/>
            <w:shd w:val="clear" w:color="auto" w:fill="F7F7F7"/>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$900,000</w:t>
            </w:r>
          </w:p>
        </w:tc>
      </w:tr>
      <w:tr w:rsidR="0097304E" w:rsidRPr="0097304E" w:rsidTr="0097304E">
        <w:trPr>
          <w:tblCellSpacing w:w="0" w:type="dxa"/>
        </w:trPr>
        <w:tc>
          <w:tcPr>
            <w:tcW w:w="0" w:type="auto"/>
            <w:gridSpan w:val="3"/>
            <w:hideMark/>
          </w:tcPr>
          <w:p w:rsidR="0097304E" w:rsidRPr="0097304E" w:rsidRDefault="008552B2" w:rsidP="0097304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25" style="width:468pt;height:3.75pt" o:hrstd="t" o:hrnoshade="t" o:hr="t" fillcolor="#cdd4e0" stroked="f"/>
              </w:pict>
            </w:r>
          </w:p>
        </w:tc>
      </w:tr>
    </w:tbl>
    <w:p w:rsidR="0097304E" w:rsidRPr="0097304E" w:rsidRDefault="008552B2" w:rsidP="0097304E">
      <w:pPr>
        <w:spacing w:line="240" w:lineRule="auto"/>
        <w:rPr>
          <w:rFonts w:ascii="Times New Roman" w:eastAsia="Times New Roman" w:hAnsi="Times New Roman" w:cs="Times New Roman"/>
          <w:color w:val="6B6B6B"/>
          <w:sz w:val="21"/>
          <w:szCs w:val="21"/>
        </w:rPr>
      </w:pPr>
      <w:r>
        <w:rPr>
          <w:rFonts w:ascii="Times New Roman" w:eastAsia="Times New Roman" w:hAnsi="Times New Roman" w:cs="Times New Roman"/>
          <w:color w:val="6B6B6B"/>
          <w:sz w:val="21"/>
          <w:szCs w:val="21"/>
        </w:rPr>
        <w:t xml:space="preserve">30) </w:t>
      </w:r>
      <w:r w:rsidR="0097304E" w:rsidRPr="0097304E">
        <w:rPr>
          <w:rFonts w:ascii="Times New Roman" w:eastAsia="Times New Roman" w:hAnsi="Times New Roman" w:cs="Times New Roman"/>
          <w:color w:val="6B6B6B"/>
          <w:sz w:val="21"/>
          <w:szCs w:val="21"/>
        </w:rPr>
        <w:t>  </w:t>
      </w:r>
    </w:p>
    <w:tbl>
      <w:tblPr>
        <w:tblW w:w="9300" w:type="dxa"/>
        <w:tblCellSpacing w:w="0" w:type="dxa"/>
        <w:tblCellMar>
          <w:left w:w="0" w:type="dxa"/>
          <w:right w:w="0" w:type="dxa"/>
        </w:tblCellMar>
        <w:tblLook w:val="04A0" w:firstRow="1" w:lastRow="0" w:firstColumn="1" w:lastColumn="0" w:noHBand="0" w:noVBand="1"/>
      </w:tblPr>
      <w:tblGrid>
        <w:gridCol w:w="9300"/>
      </w:tblGrid>
      <w:tr w:rsidR="0097304E" w:rsidRPr="0097304E" w:rsidTr="0097304E">
        <w:trPr>
          <w:tblCellSpacing w:w="0" w:type="dxa"/>
        </w:trPr>
        <w:tc>
          <w:tcPr>
            <w:tcW w:w="5000" w:type="pct"/>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What amount of net assets was released from restriction in 2017?</w:t>
            </w:r>
          </w:p>
        </w:tc>
      </w:tr>
    </w:tbl>
    <w:p w:rsidR="0097304E" w:rsidRDefault="008552B2">
      <w:pPr>
        <w:rPr>
          <w:color w:val="000000"/>
          <w:sz w:val="20"/>
          <w:szCs w:val="20"/>
        </w:rPr>
      </w:pPr>
      <w:r>
        <w:rPr>
          <w:color w:val="000000"/>
          <w:sz w:val="20"/>
          <w:szCs w:val="20"/>
        </w:rPr>
        <w:t xml:space="preserve">Answer:   </w:t>
      </w:r>
      <w:r w:rsidR="0097304E">
        <w:rPr>
          <w:color w:val="000000"/>
          <w:sz w:val="20"/>
          <w:szCs w:val="20"/>
        </w:rPr>
        <w:t>$100,000.</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31) </w:t>
      </w:r>
      <w:r w:rsidR="0097304E">
        <w:rPr>
          <w:color w:val="000000"/>
          <w:sz w:val="20"/>
          <w:szCs w:val="20"/>
        </w:rPr>
        <w:t>Which of the following is a typical classification of a functional expense in a college or university?</w:t>
      </w:r>
    </w:p>
    <w:p w:rsidR="0097304E" w:rsidRDefault="008552B2">
      <w:pPr>
        <w:rPr>
          <w:color w:val="000000"/>
          <w:sz w:val="20"/>
          <w:szCs w:val="20"/>
        </w:rPr>
      </w:pPr>
      <w:r>
        <w:rPr>
          <w:color w:val="000000"/>
          <w:sz w:val="20"/>
          <w:szCs w:val="20"/>
        </w:rPr>
        <w:t xml:space="preserve">Answer:   </w:t>
      </w:r>
      <w:r w:rsidR="0097304E">
        <w:rPr>
          <w:color w:val="000000"/>
          <w:sz w:val="20"/>
          <w:szCs w:val="20"/>
        </w:rPr>
        <w:t>Institutional support.</w:t>
      </w:r>
    </w:p>
    <w:p w:rsidR="0097304E" w:rsidRDefault="0097304E">
      <w:pPr>
        <w:rPr>
          <w:color w:val="000000"/>
          <w:sz w:val="20"/>
          <w:szCs w:val="20"/>
        </w:rPr>
      </w:pPr>
    </w:p>
    <w:p w:rsidR="0097304E" w:rsidRDefault="008552B2">
      <w:pPr>
        <w:rPr>
          <w:color w:val="000000"/>
          <w:sz w:val="20"/>
          <w:szCs w:val="20"/>
        </w:rPr>
      </w:pPr>
      <w:r>
        <w:rPr>
          <w:color w:val="000000"/>
          <w:sz w:val="20"/>
          <w:szCs w:val="20"/>
        </w:rPr>
        <w:t xml:space="preserve">32) </w:t>
      </w:r>
      <w:r w:rsidR="0097304E">
        <w:rPr>
          <w:color w:val="000000"/>
          <w:sz w:val="20"/>
          <w:szCs w:val="20"/>
        </w:rPr>
        <w:t xml:space="preserve">How would </w:t>
      </w:r>
      <w:proofErr w:type="spellStart"/>
      <w:r w:rsidR="0097304E">
        <w:rPr>
          <w:color w:val="000000"/>
          <w:sz w:val="20"/>
          <w:szCs w:val="20"/>
        </w:rPr>
        <w:t>estimated</w:t>
      </w:r>
      <w:proofErr w:type="spellEnd"/>
      <w:r w:rsidR="0097304E">
        <w:rPr>
          <w:color w:val="000000"/>
          <w:sz w:val="20"/>
          <w:szCs w:val="20"/>
        </w:rPr>
        <w:t xml:space="preserve"> uncollectible tuition and fees be reported on the financial statements of a university?</w:t>
      </w:r>
    </w:p>
    <w:p w:rsidR="0097304E" w:rsidRDefault="008552B2">
      <w:pPr>
        <w:rPr>
          <w:color w:val="000000"/>
          <w:sz w:val="20"/>
          <w:szCs w:val="20"/>
        </w:rPr>
      </w:pPr>
      <w:r>
        <w:rPr>
          <w:color w:val="000000"/>
          <w:sz w:val="20"/>
          <w:szCs w:val="20"/>
        </w:rPr>
        <w:t xml:space="preserve">Answer:   </w:t>
      </w:r>
      <w:r w:rsidR="0097304E">
        <w:rPr>
          <w:color w:val="000000"/>
          <w:sz w:val="20"/>
          <w:szCs w:val="20"/>
        </w:rPr>
        <w:t>It would be reported as part of net revenue by a public university</w:t>
      </w:r>
    </w:p>
    <w:p w:rsidR="0097304E" w:rsidRDefault="008552B2">
      <w:pPr>
        <w:rPr>
          <w:color w:val="000000"/>
          <w:sz w:val="20"/>
          <w:szCs w:val="20"/>
        </w:rPr>
      </w:pPr>
      <w:r>
        <w:rPr>
          <w:color w:val="000000"/>
          <w:sz w:val="20"/>
          <w:szCs w:val="20"/>
        </w:rPr>
        <w:t xml:space="preserve">33) </w:t>
      </w:r>
    </w:p>
    <w:tbl>
      <w:tblPr>
        <w:tblW w:w="9193" w:type="dxa"/>
        <w:tblCellSpacing w:w="0" w:type="dxa"/>
        <w:tblCellMar>
          <w:left w:w="0" w:type="dxa"/>
          <w:right w:w="0" w:type="dxa"/>
        </w:tblCellMar>
        <w:tblLook w:val="04A0" w:firstRow="1" w:lastRow="0" w:firstColumn="1" w:lastColumn="0" w:noHBand="0" w:noVBand="1"/>
      </w:tblPr>
      <w:tblGrid>
        <w:gridCol w:w="9193"/>
      </w:tblGrid>
      <w:tr w:rsidR="0097304E" w:rsidRPr="0097304E" w:rsidTr="0097304E">
        <w:trPr>
          <w:trHeight w:val="960"/>
          <w:tblCellSpacing w:w="0" w:type="dxa"/>
        </w:trPr>
        <w:tc>
          <w:tcPr>
            <w:tcW w:w="5000" w:type="pct"/>
            <w:vAlign w:val="center"/>
            <w:hideMark/>
          </w:tcPr>
          <w:p w:rsidR="0097304E" w:rsidRPr="0097304E" w:rsidRDefault="0097304E" w:rsidP="0097304E">
            <w:pPr>
              <w:spacing w:after="0" w:line="240" w:lineRule="auto"/>
              <w:jc w:val="both"/>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Culver City College, a public college, has a 10-week summer session that starts on June 25, 2017, so that one week is held during FY 2017 and the other nine weeks meet during FY 2018. Tuition and fees in the amount of $1,000,000 were collected from students for classes to be conducted in this session. What amount should Culver City College recognize as unrestricted revenue in each of the years ended (FYE) June 30, 2017 and June 30, 2018?</w:t>
            </w:r>
          </w:p>
        </w:tc>
      </w:tr>
    </w:tbl>
    <w:p w:rsidR="0097304E" w:rsidRPr="0097304E" w:rsidRDefault="0097304E" w:rsidP="0097304E">
      <w:pPr>
        <w:spacing w:line="240" w:lineRule="auto"/>
        <w:rPr>
          <w:rFonts w:ascii="Times New Roman" w:eastAsia="Times New Roman" w:hAnsi="Times New Roman" w:cs="Times New Roman"/>
          <w:color w:val="6B6B6B"/>
          <w:sz w:val="21"/>
          <w:szCs w:val="21"/>
        </w:rPr>
      </w:pPr>
      <w:r w:rsidRPr="0097304E">
        <w:rPr>
          <w:rFonts w:ascii="Times New Roman" w:eastAsia="Times New Roman" w:hAnsi="Times New Roman" w:cs="Times New Roman"/>
          <w:color w:val="6B6B6B"/>
          <w:sz w:val="21"/>
          <w:szCs w:val="21"/>
        </w:rPr>
        <w:t>  </w:t>
      </w:r>
    </w:p>
    <w:tbl>
      <w:tblPr>
        <w:tblW w:w="3300" w:type="dxa"/>
        <w:tblCellSpacing w:w="0" w:type="dxa"/>
        <w:tblCellMar>
          <w:left w:w="0" w:type="dxa"/>
          <w:right w:w="0" w:type="dxa"/>
        </w:tblCellMar>
        <w:tblLook w:val="04A0" w:firstRow="1" w:lastRow="0" w:firstColumn="1" w:lastColumn="0" w:noHBand="0" w:noVBand="1"/>
      </w:tblPr>
      <w:tblGrid>
        <w:gridCol w:w="396"/>
        <w:gridCol w:w="165"/>
        <w:gridCol w:w="1155"/>
        <w:gridCol w:w="132"/>
        <w:gridCol w:w="165"/>
        <w:gridCol w:w="1155"/>
        <w:gridCol w:w="132"/>
      </w:tblGrid>
      <w:tr w:rsidR="0097304E" w:rsidRPr="0097304E" w:rsidTr="0097304E">
        <w:trPr>
          <w:tblCellSpacing w:w="0" w:type="dxa"/>
        </w:trPr>
        <w:tc>
          <w:tcPr>
            <w:tcW w:w="600" w:type="pct"/>
            <w:shd w:val="clear" w:color="auto" w:fill="D7DCE6"/>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250" w:type="pct"/>
            <w:shd w:val="clear" w:color="auto" w:fill="D7DCE6"/>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1750" w:type="pct"/>
            <w:shd w:val="clear" w:color="auto" w:fill="D7DCE6"/>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FYE 2017</w:t>
            </w:r>
          </w:p>
        </w:tc>
        <w:tc>
          <w:tcPr>
            <w:tcW w:w="200" w:type="pct"/>
            <w:shd w:val="clear" w:color="auto" w:fill="D7DCE6"/>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250" w:type="pct"/>
            <w:shd w:val="clear" w:color="auto" w:fill="D7DCE6"/>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1750" w:type="pct"/>
            <w:shd w:val="clear" w:color="auto" w:fill="D7DCE6"/>
            <w:hideMark/>
          </w:tcPr>
          <w:p w:rsidR="0097304E" w:rsidRPr="0097304E" w:rsidRDefault="0097304E" w:rsidP="0097304E">
            <w:pPr>
              <w:spacing w:after="0" w:line="240" w:lineRule="auto"/>
              <w:jc w:val="center"/>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FYE 2018</w:t>
            </w:r>
          </w:p>
        </w:tc>
        <w:tc>
          <w:tcPr>
            <w:tcW w:w="200" w:type="pct"/>
            <w:shd w:val="clear" w:color="auto" w:fill="D7DCE6"/>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r>
      <w:tr w:rsidR="0097304E" w:rsidRPr="0097304E" w:rsidTr="0097304E">
        <w:trPr>
          <w:tblCellSpacing w:w="0" w:type="dxa"/>
        </w:trPr>
        <w:tc>
          <w:tcPr>
            <w:tcW w:w="600" w:type="pct"/>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A.</w:t>
            </w:r>
          </w:p>
        </w:tc>
        <w:tc>
          <w:tcPr>
            <w:tcW w:w="2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100,000    </w:t>
            </w:r>
          </w:p>
        </w:tc>
        <w:tc>
          <w:tcPr>
            <w:tcW w:w="20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2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900,000    </w:t>
            </w:r>
          </w:p>
        </w:tc>
        <w:tc>
          <w:tcPr>
            <w:tcW w:w="200" w:type="pct"/>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r>
      <w:tr w:rsidR="0097304E" w:rsidRPr="0097304E" w:rsidTr="0097304E">
        <w:trPr>
          <w:tblCellSpacing w:w="0" w:type="dxa"/>
        </w:trPr>
        <w:tc>
          <w:tcPr>
            <w:tcW w:w="6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B.</w:t>
            </w:r>
          </w:p>
        </w:tc>
        <w:tc>
          <w:tcPr>
            <w:tcW w:w="2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0    </w:t>
            </w:r>
          </w:p>
        </w:tc>
        <w:tc>
          <w:tcPr>
            <w:tcW w:w="2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2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1,000,000    </w:t>
            </w:r>
          </w:p>
        </w:tc>
        <w:tc>
          <w:tcPr>
            <w:tcW w:w="2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r>
      <w:tr w:rsidR="0097304E" w:rsidRPr="0097304E" w:rsidTr="0097304E">
        <w:trPr>
          <w:tblCellSpacing w:w="0" w:type="dxa"/>
        </w:trPr>
        <w:tc>
          <w:tcPr>
            <w:tcW w:w="600" w:type="pct"/>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C.</w:t>
            </w:r>
          </w:p>
        </w:tc>
        <w:tc>
          <w:tcPr>
            <w:tcW w:w="2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1,000,000    </w:t>
            </w:r>
          </w:p>
        </w:tc>
        <w:tc>
          <w:tcPr>
            <w:tcW w:w="20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2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0    </w:t>
            </w:r>
          </w:p>
        </w:tc>
        <w:tc>
          <w:tcPr>
            <w:tcW w:w="200" w:type="pct"/>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r>
      <w:tr w:rsidR="0097304E" w:rsidRPr="0097304E" w:rsidTr="0097304E">
        <w:trPr>
          <w:tblCellSpacing w:w="0" w:type="dxa"/>
        </w:trPr>
        <w:tc>
          <w:tcPr>
            <w:tcW w:w="6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D.</w:t>
            </w:r>
          </w:p>
        </w:tc>
        <w:tc>
          <w:tcPr>
            <w:tcW w:w="2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500,000    </w:t>
            </w:r>
          </w:p>
        </w:tc>
        <w:tc>
          <w:tcPr>
            <w:tcW w:w="2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c>
          <w:tcPr>
            <w:tcW w:w="2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w:t>
            </w:r>
          </w:p>
        </w:tc>
        <w:tc>
          <w:tcPr>
            <w:tcW w:w="1750" w:type="pct"/>
            <w:shd w:val="clear" w:color="auto" w:fill="F7F7F7"/>
            <w:hideMark/>
          </w:tcPr>
          <w:p w:rsidR="0097304E" w:rsidRPr="0097304E" w:rsidRDefault="0097304E" w:rsidP="0097304E">
            <w:pPr>
              <w:spacing w:after="0" w:line="240" w:lineRule="auto"/>
              <w:jc w:val="right"/>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500,000    </w:t>
            </w:r>
          </w:p>
        </w:tc>
        <w:tc>
          <w:tcPr>
            <w:tcW w:w="200" w:type="pct"/>
            <w:shd w:val="clear" w:color="auto" w:fill="F7F7F7"/>
            <w:hideMark/>
          </w:tcPr>
          <w:p w:rsidR="0097304E" w:rsidRPr="0097304E" w:rsidRDefault="0097304E" w:rsidP="0097304E">
            <w:pPr>
              <w:spacing w:after="0" w:line="240" w:lineRule="auto"/>
              <w:rPr>
                <w:rFonts w:ascii="Times New Roman" w:eastAsia="Times New Roman" w:hAnsi="Times New Roman" w:cs="Times New Roman"/>
                <w:color w:val="000000"/>
                <w:sz w:val="20"/>
                <w:szCs w:val="20"/>
              </w:rPr>
            </w:pPr>
            <w:r w:rsidRPr="0097304E">
              <w:rPr>
                <w:rFonts w:ascii="Times New Roman" w:eastAsia="Times New Roman" w:hAnsi="Times New Roman" w:cs="Times New Roman"/>
                <w:color w:val="000000"/>
                <w:sz w:val="20"/>
                <w:szCs w:val="20"/>
              </w:rPr>
              <w:t> </w:t>
            </w:r>
          </w:p>
        </w:tc>
      </w:tr>
      <w:tr w:rsidR="0097304E" w:rsidRPr="0097304E" w:rsidTr="0097304E">
        <w:trPr>
          <w:tblCellSpacing w:w="0" w:type="dxa"/>
        </w:trPr>
        <w:tc>
          <w:tcPr>
            <w:tcW w:w="0" w:type="auto"/>
            <w:gridSpan w:val="7"/>
            <w:hideMark/>
          </w:tcPr>
          <w:p w:rsidR="0097304E" w:rsidRPr="0097304E" w:rsidRDefault="008552B2" w:rsidP="0097304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26" style="width:468pt;height:3.75pt" o:hrstd="t" o:hrnoshade="t" o:hr="t" fillcolor="#cdd4e0" stroked="f"/>
              </w:pict>
            </w:r>
          </w:p>
        </w:tc>
      </w:tr>
    </w:tbl>
    <w:p w:rsidR="0097304E" w:rsidRDefault="0097304E" w:rsidP="0097304E">
      <w:pPr>
        <w:spacing w:line="240" w:lineRule="auto"/>
        <w:rPr>
          <w:color w:val="000000"/>
          <w:sz w:val="20"/>
          <w:szCs w:val="20"/>
        </w:rPr>
      </w:pPr>
      <w:r w:rsidRPr="0097304E">
        <w:rPr>
          <w:rFonts w:ascii="Times New Roman" w:eastAsia="Times New Roman" w:hAnsi="Times New Roman" w:cs="Times New Roman"/>
          <w:color w:val="6B6B6B"/>
          <w:sz w:val="21"/>
          <w:szCs w:val="21"/>
        </w:rPr>
        <w:t> </w:t>
      </w:r>
      <w:r w:rsidR="008552B2">
        <w:rPr>
          <w:color w:val="000000"/>
          <w:sz w:val="20"/>
          <w:szCs w:val="20"/>
        </w:rPr>
        <w:t xml:space="preserve">Answer:   </w:t>
      </w:r>
      <w:r>
        <w:rPr>
          <w:color w:val="000000"/>
          <w:sz w:val="20"/>
          <w:szCs w:val="20"/>
        </w:rPr>
        <w:t>Choice A.</w:t>
      </w:r>
    </w:p>
    <w:p w:rsidR="0097304E" w:rsidRDefault="0097304E" w:rsidP="0097304E">
      <w:pPr>
        <w:spacing w:line="240" w:lineRule="auto"/>
        <w:rPr>
          <w:color w:val="000000"/>
          <w:sz w:val="20"/>
          <w:szCs w:val="20"/>
        </w:rPr>
      </w:pPr>
    </w:p>
    <w:p w:rsidR="0097304E" w:rsidRDefault="008552B2" w:rsidP="0097304E">
      <w:pPr>
        <w:spacing w:line="240" w:lineRule="auto"/>
        <w:rPr>
          <w:color w:val="000000"/>
          <w:sz w:val="20"/>
          <w:szCs w:val="20"/>
        </w:rPr>
      </w:pPr>
      <w:r>
        <w:rPr>
          <w:color w:val="000000"/>
          <w:sz w:val="20"/>
          <w:szCs w:val="20"/>
        </w:rPr>
        <w:t xml:space="preserve">34) </w:t>
      </w:r>
      <w:r w:rsidR="0097304E">
        <w:rPr>
          <w:color w:val="000000"/>
          <w:sz w:val="20"/>
          <w:szCs w:val="20"/>
        </w:rPr>
        <w:t>The Academy, a private college, provided tuition waivers of $500,000. Of the amount $200,000 was for students teaching courses as graduate assistants and $300,000 was simply an award for scholastic accomplishments. Another $100,000 was given is tuition refunds. What amount would The Academy record as Tuition and Fees Discounts and Allowances?</w:t>
      </w:r>
    </w:p>
    <w:p w:rsidR="0097304E" w:rsidRDefault="008552B2" w:rsidP="0097304E">
      <w:pPr>
        <w:spacing w:line="240" w:lineRule="auto"/>
        <w:rPr>
          <w:color w:val="000000"/>
          <w:sz w:val="20"/>
          <w:szCs w:val="20"/>
        </w:rPr>
      </w:pPr>
      <w:r>
        <w:rPr>
          <w:color w:val="000000"/>
          <w:sz w:val="20"/>
          <w:szCs w:val="20"/>
        </w:rPr>
        <w:t xml:space="preserve">Answer:   </w:t>
      </w:r>
      <w:r w:rsidR="0097304E">
        <w:rPr>
          <w:color w:val="000000"/>
          <w:sz w:val="20"/>
          <w:szCs w:val="20"/>
        </w:rPr>
        <w:t>$300,000.</w:t>
      </w:r>
    </w:p>
    <w:p w:rsidR="0097304E" w:rsidRDefault="008552B2" w:rsidP="0097304E">
      <w:pPr>
        <w:spacing w:line="240" w:lineRule="auto"/>
        <w:rPr>
          <w:color w:val="000000"/>
          <w:sz w:val="20"/>
          <w:szCs w:val="20"/>
        </w:rPr>
      </w:pPr>
      <w:r>
        <w:rPr>
          <w:color w:val="000000"/>
          <w:sz w:val="20"/>
          <w:szCs w:val="20"/>
        </w:rPr>
        <w:t xml:space="preserve">35) </w:t>
      </w:r>
      <w:r w:rsidR="0097304E">
        <w:rPr>
          <w:color w:val="000000"/>
          <w:sz w:val="20"/>
          <w:szCs w:val="20"/>
        </w:rPr>
        <w:t>Which of the following items would not affect the amounts reported in the Revenues and Gains section of the statement of activities for a private college or university?</w:t>
      </w:r>
    </w:p>
    <w:p w:rsidR="0097304E" w:rsidRDefault="008552B2" w:rsidP="0097304E">
      <w:pPr>
        <w:spacing w:line="240" w:lineRule="auto"/>
        <w:rPr>
          <w:color w:val="000000"/>
          <w:sz w:val="20"/>
          <w:szCs w:val="20"/>
        </w:rPr>
      </w:pPr>
      <w:r>
        <w:rPr>
          <w:color w:val="000000"/>
          <w:sz w:val="20"/>
          <w:szCs w:val="20"/>
        </w:rPr>
        <w:t xml:space="preserve">Answer:   </w:t>
      </w:r>
      <w:r w:rsidR="0097304E">
        <w:rPr>
          <w:color w:val="000000"/>
          <w:sz w:val="20"/>
          <w:szCs w:val="20"/>
        </w:rPr>
        <w:t>Deferred revenues.</w:t>
      </w:r>
    </w:p>
    <w:p w:rsidR="0097304E" w:rsidRDefault="008552B2" w:rsidP="0097304E">
      <w:pPr>
        <w:spacing w:line="240" w:lineRule="auto"/>
        <w:rPr>
          <w:color w:val="000000"/>
          <w:sz w:val="20"/>
          <w:szCs w:val="20"/>
        </w:rPr>
      </w:pPr>
      <w:r>
        <w:rPr>
          <w:color w:val="000000"/>
          <w:sz w:val="20"/>
          <w:szCs w:val="20"/>
        </w:rPr>
        <w:t xml:space="preserve">36) </w:t>
      </w:r>
      <w:r w:rsidR="0097304E">
        <w:rPr>
          <w:color w:val="000000"/>
          <w:sz w:val="20"/>
          <w:szCs w:val="20"/>
        </w:rPr>
        <w:t>State educational appropriations received by a public university are classified as which of the following on the statement of revenues, expenses, and changes in net position?</w:t>
      </w:r>
    </w:p>
    <w:p w:rsidR="0097304E" w:rsidRDefault="008552B2" w:rsidP="0097304E">
      <w:pPr>
        <w:spacing w:line="240" w:lineRule="auto"/>
        <w:rPr>
          <w:color w:val="000000"/>
          <w:sz w:val="20"/>
          <w:szCs w:val="20"/>
        </w:rPr>
      </w:pPr>
      <w:r>
        <w:rPr>
          <w:color w:val="000000"/>
          <w:sz w:val="20"/>
          <w:szCs w:val="20"/>
        </w:rPr>
        <w:t xml:space="preserve">Answer:   </w:t>
      </w:r>
      <w:proofErr w:type="spellStart"/>
      <w:r w:rsidR="0097304E">
        <w:rPr>
          <w:color w:val="000000"/>
          <w:sz w:val="20"/>
          <w:szCs w:val="20"/>
        </w:rPr>
        <w:t>Nonoperating</w:t>
      </w:r>
      <w:proofErr w:type="spellEnd"/>
      <w:r w:rsidR="0097304E">
        <w:rPr>
          <w:color w:val="000000"/>
          <w:sz w:val="20"/>
          <w:szCs w:val="20"/>
        </w:rPr>
        <w:t xml:space="preserve"> revenue.</w:t>
      </w:r>
    </w:p>
    <w:p w:rsidR="0097304E" w:rsidRDefault="008552B2" w:rsidP="0097304E">
      <w:pPr>
        <w:spacing w:line="240" w:lineRule="auto"/>
        <w:rPr>
          <w:color w:val="000000"/>
          <w:sz w:val="20"/>
          <w:szCs w:val="20"/>
        </w:rPr>
      </w:pPr>
      <w:r>
        <w:rPr>
          <w:color w:val="000000"/>
          <w:sz w:val="20"/>
          <w:szCs w:val="20"/>
        </w:rPr>
        <w:t xml:space="preserve">37) </w:t>
      </w:r>
    </w:p>
    <w:tbl>
      <w:tblPr>
        <w:tblW w:w="9193" w:type="dxa"/>
        <w:tblCellSpacing w:w="0" w:type="dxa"/>
        <w:tblCellMar>
          <w:left w:w="0" w:type="dxa"/>
          <w:right w:w="0" w:type="dxa"/>
        </w:tblCellMar>
        <w:tblLook w:val="04A0" w:firstRow="1" w:lastRow="0" w:firstColumn="1" w:lastColumn="0" w:noHBand="0" w:noVBand="1"/>
      </w:tblPr>
      <w:tblGrid>
        <w:gridCol w:w="9193"/>
      </w:tblGrid>
      <w:tr w:rsidR="00AA5250" w:rsidRPr="00AA5250" w:rsidTr="00AA5250">
        <w:trPr>
          <w:trHeight w:val="762"/>
          <w:tblCellSpacing w:w="0" w:type="dxa"/>
        </w:trPr>
        <w:tc>
          <w:tcPr>
            <w:tcW w:w="5000" w:type="pct"/>
            <w:vAlign w:val="center"/>
            <w:hideMark/>
          </w:tcPr>
          <w:p w:rsidR="00AA5250" w:rsidRPr="00AA5250" w:rsidRDefault="00AA5250" w:rsidP="00AA5250">
            <w:pPr>
              <w:spacing w:after="0" w:line="240" w:lineRule="auto"/>
              <w:jc w:val="both"/>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xml:space="preserve">During the year ended June 30, 2017, Hopkins College, a private college, received a federal government grant of $800,000 for research on the role of music in improving math skills for students. Expenses for this research amounted to $100,000 during the same year. Under FASB standards, which of the following best represents how Hopkins College would report this </w:t>
            </w:r>
            <w:proofErr w:type="spellStart"/>
            <w:r w:rsidRPr="00AA5250">
              <w:rPr>
                <w:rFonts w:ascii="Times New Roman" w:eastAsia="Times New Roman" w:hAnsi="Times New Roman" w:cs="Times New Roman"/>
                <w:color w:val="000000"/>
                <w:sz w:val="20"/>
                <w:szCs w:val="20"/>
              </w:rPr>
              <w:t>nonexchange</w:t>
            </w:r>
            <w:proofErr w:type="spellEnd"/>
            <w:r w:rsidRPr="00AA5250">
              <w:rPr>
                <w:rFonts w:ascii="Times New Roman" w:eastAsia="Times New Roman" w:hAnsi="Times New Roman" w:cs="Times New Roman"/>
                <w:color w:val="000000"/>
                <w:sz w:val="20"/>
                <w:szCs w:val="20"/>
              </w:rPr>
              <w:t xml:space="preserve"> transaction in the net assets section for the year ended June 30, 2017?</w:t>
            </w:r>
          </w:p>
        </w:tc>
      </w:tr>
    </w:tbl>
    <w:p w:rsidR="00AA5250" w:rsidRPr="00AA5250" w:rsidRDefault="00AA5250" w:rsidP="00AA5250">
      <w:pPr>
        <w:spacing w:line="240" w:lineRule="auto"/>
        <w:rPr>
          <w:rFonts w:ascii="Times New Roman" w:eastAsia="Times New Roman" w:hAnsi="Times New Roman" w:cs="Times New Roman"/>
          <w:color w:val="6B6B6B"/>
          <w:sz w:val="21"/>
          <w:szCs w:val="21"/>
        </w:rPr>
      </w:pPr>
      <w:r w:rsidRPr="00AA5250">
        <w:rPr>
          <w:rFonts w:ascii="Times New Roman" w:eastAsia="Times New Roman" w:hAnsi="Times New Roman" w:cs="Times New Roman"/>
          <w:color w:val="6B6B6B"/>
          <w:sz w:val="21"/>
          <w:szCs w:val="21"/>
        </w:rPr>
        <w:t>  </w:t>
      </w:r>
    </w:p>
    <w:tbl>
      <w:tblPr>
        <w:tblW w:w="4200" w:type="dxa"/>
        <w:tblCellSpacing w:w="0" w:type="dxa"/>
        <w:tblCellMar>
          <w:left w:w="0" w:type="dxa"/>
          <w:right w:w="0" w:type="dxa"/>
        </w:tblCellMar>
        <w:tblLook w:val="04A0" w:firstRow="1" w:lastRow="0" w:firstColumn="1" w:lastColumn="0" w:noHBand="0" w:noVBand="1"/>
      </w:tblPr>
      <w:tblGrid>
        <w:gridCol w:w="212"/>
        <w:gridCol w:w="1440"/>
        <w:gridCol w:w="1440"/>
        <w:gridCol w:w="50"/>
        <w:gridCol w:w="1440"/>
        <w:gridCol w:w="1440"/>
        <w:gridCol w:w="50"/>
        <w:gridCol w:w="1440"/>
        <w:gridCol w:w="1440"/>
        <w:gridCol w:w="50"/>
      </w:tblGrid>
      <w:tr w:rsidR="00AA5250" w:rsidRPr="00AA5250" w:rsidTr="00AA5250">
        <w:trPr>
          <w:tblCellSpacing w:w="0" w:type="dxa"/>
        </w:trPr>
        <w:tc>
          <w:tcPr>
            <w:tcW w:w="700" w:type="pct"/>
            <w:shd w:val="clear" w:color="auto" w:fill="D7DCE6"/>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1700" w:type="pct"/>
            <w:gridSpan w:val="3"/>
            <w:shd w:val="clear" w:color="auto" w:fill="D7DCE6"/>
            <w:vAlign w:val="bottom"/>
            <w:hideMark/>
          </w:tcPr>
          <w:p w:rsidR="00AA5250" w:rsidRPr="00AA5250" w:rsidRDefault="00AA5250" w:rsidP="00AA5250">
            <w:pPr>
              <w:spacing w:after="0" w:line="240" w:lineRule="auto"/>
              <w:jc w:val="center"/>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Unrestricted</w:t>
            </w:r>
          </w:p>
        </w:tc>
        <w:tc>
          <w:tcPr>
            <w:tcW w:w="1600" w:type="pct"/>
            <w:gridSpan w:val="3"/>
            <w:shd w:val="clear" w:color="auto" w:fill="D7DCE6"/>
            <w:vAlign w:val="bottom"/>
            <w:hideMark/>
          </w:tcPr>
          <w:p w:rsidR="00AA5250" w:rsidRPr="00AA5250" w:rsidRDefault="00AA5250" w:rsidP="00AA5250">
            <w:pPr>
              <w:spacing w:after="0" w:line="240" w:lineRule="auto"/>
              <w:jc w:val="center"/>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Temporarily Restricted</w:t>
            </w:r>
          </w:p>
        </w:tc>
        <w:tc>
          <w:tcPr>
            <w:tcW w:w="1600" w:type="pct"/>
            <w:gridSpan w:val="3"/>
            <w:shd w:val="clear" w:color="auto" w:fill="D7DCE6"/>
            <w:vAlign w:val="bottom"/>
            <w:hideMark/>
          </w:tcPr>
          <w:p w:rsidR="00AA5250" w:rsidRPr="00AA5250" w:rsidRDefault="00AA5250" w:rsidP="00AA5250">
            <w:pPr>
              <w:spacing w:after="0" w:line="240" w:lineRule="auto"/>
              <w:jc w:val="center"/>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Permanently Restricted</w:t>
            </w:r>
          </w:p>
        </w:tc>
      </w:tr>
      <w:tr w:rsidR="00AA5250" w:rsidRPr="00AA5250" w:rsidTr="00AA5250">
        <w:trPr>
          <w:tblCellSpacing w:w="0" w:type="dxa"/>
        </w:trPr>
        <w:tc>
          <w:tcPr>
            <w:tcW w:w="700" w:type="pct"/>
            <w:shd w:val="clear" w:color="auto" w:fill="D7DCE6"/>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D7DCE6"/>
            <w:vAlign w:val="center"/>
            <w:hideMark/>
          </w:tcPr>
          <w:p w:rsidR="00AA5250" w:rsidRPr="00AA5250" w:rsidRDefault="008552B2" w:rsidP="00AA525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27" style="width:0;height:.75pt" o:hralign="right" o:hrstd="t" o:hrnoshade="t" o:hr="t" fillcolor="#a0a0a0" stroked="f"/>
              </w:pict>
            </w:r>
          </w:p>
        </w:tc>
        <w:tc>
          <w:tcPr>
            <w:tcW w:w="1000" w:type="pct"/>
            <w:shd w:val="clear" w:color="auto" w:fill="D7DCE6"/>
            <w:vAlign w:val="center"/>
            <w:hideMark/>
          </w:tcPr>
          <w:p w:rsidR="00AA5250" w:rsidRPr="00AA5250" w:rsidRDefault="008552B2" w:rsidP="00AA525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28" style="width:0;height:.75pt" o:hralign="right" o:hrstd="t" o:hrnoshade="t" o:hr="t" fillcolor="#a0a0a0" stroked="f"/>
              </w:pict>
            </w:r>
          </w:p>
        </w:tc>
        <w:tc>
          <w:tcPr>
            <w:tcW w:w="300" w:type="pct"/>
            <w:shd w:val="clear" w:color="auto" w:fill="D7DCE6"/>
            <w:vAlign w:val="center"/>
            <w:hideMark/>
          </w:tcPr>
          <w:p w:rsidR="00AA5250" w:rsidRPr="00AA5250" w:rsidRDefault="00AA5250" w:rsidP="00AA5250">
            <w:pPr>
              <w:spacing w:after="0" w:line="240" w:lineRule="auto"/>
              <w:jc w:val="center"/>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D7DCE6"/>
            <w:vAlign w:val="center"/>
            <w:hideMark/>
          </w:tcPr>
          <w:p w:rsidR="00AA5250" w:rsidRPr="00AA5250" w:rsidRDefault="008552B2" w:rsidP="00AA525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29" style="width:0;height:.75pt" o:hralign="right" o:hrstd="t" o:hrnoshade="t" o:hr="t" fillcolor="#a0a0a0" stroked="f"/>
              </w:pict>
            </w:r>
          </w:p>
        </w:tc>
        <w:tc>
          <w:tcPr>
            <w:tcW w:w="1000" w:type="pct"/>
            <w:shd w:val="clear" w:color="auto" w:fill="D7DCE6"/>
            <w:vAlign w:val="center"/>
            <w:hideMark/>
          </w:tcPr>
          <w:p w:rsidR="00AA5250" w:rsidRPr="00AA5250" w:rsidRDefault="008552B2" w:rsidP="00AA525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30" style="width:0;height:.75pt" o:hralign="right" o:hrstd="t" o:hrnoshade="t" o:hr="t" fillcolor="#a0a0a0" stroked="f"/>
              </w:pict>
            </w:r>
          </w:p>
        </w:tc>
        <w:tc>
          <w:tcPr>
            <w:tcW w:w="300" w:type="pct"/>
            <w:shd w:val="clear" w:color="auto" w:fill="D7DCE6"/>
            <w:vAlign w:val="center"/>
            <w:hideMark/>
          </w:tcPr>
          <w:p w:rsidR="00AA5250" w:rsidRPr="00AA5250" w:rsidRDefault="00AA5250" w:rsidP="00AA5250">
            <w:pPr>
              <w:spacing w:after="0" w:line="240" w:lineRule="auto"/>
              <w:jc w:val="center"/>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D7DCE6"/>
            <w:vAlign w:val="center"/>
            <w:hideMark/>
          </w:tcPr>
          <w:p w:rsidR="00AA5250" w:rsidRPr="00AA5250" w:rsidRDefault="008552B2" w:rsidP="00AA525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31" style="width:0;height:.75pt" o:hralign="right" o:hrstd="t" o:hrnoshade="t" o:hr="t" fillcolor="#a0a0a0" stroked="f"/>
              </w:pict>
            </w:r>
          </w:p>
        </w:tc>
        <w:tc>
          <w:tcPr>
            <w:tcW w:w="1000" w:type="pct"/>
            <w:shd w:val="clear" w:color="auto" w:fill="D7DCE6"/>
            <w:vAlign w:val="center"/>
            <w:hideMark/>
          </w:tcPr>
          <w:p w:rsidR="00AA5250" w:rsidRPr="00AA5250" w:rsidRDefault="008552B2" w:rsidP="00AA525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32" style="width:0;height:.75pt" o:hralign="right" o:hrstd="t" o:hrnoshade="t" o:hr="t" fillcolor="#a0a0a0" stroked="f"/>
              </w:pict>
            </w:r>
          </w:p>
        </w:tc>
        <w:tc>
          <w:tcPr>
            <w:tcW w:w="300" w:type="pct"/>
            <w:shd w:val="clear" w:color="auto" w:fill="D7DCE6"/>
            <w:vAlign w:val="center"/>
            <w:hideMark/>
          </w:tcPr>
          <w:p w:rsidR="00AA5250" w:rsidRPr="00AA5250" w:rsidRDefault="00AA5250" w:rsidP="00AA5250">
            <w:pPr>
              <w:spacing w:after="0" w:line="240" w:lineRule="auto"/>
              <w:jc w:val="center"/>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r>
      <w:tr w:rsidR="00AA5250" w:rsidRPr="00AA5250" w:rsidTr="00AA5250">
        <w:trPr>
          <w:tblCellSpacing w:w="0" w:type="dxa"/>
        </w:trPr>
        <w:tc>
          <w:tcPr>
            <w:tcW w:w="700" w:type="pct"/>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A)</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0  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800,000  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0  </w:t>
            </w:r>
          </w:p>
        </w:tc>
        <w:tc>
          <w:tcPr>
            <w:tcW w:w="300" w:type="pct"/>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r>
      <w:tr w:rsidR="00AA5250" w:rsidRPr="00AA5250" w:rsidTr="00AA5250">
        <w:trPr>
          <w:tblCellSpacing w:w="0" w:type="dxa"/>
        </w:trPr>
        <w:tc>
          <w:tcPr>
            <w:tcW w:w="700" w:type="pct"/>
            <w:shd w:val="clear" w:color="auto" w:fill="F7F7F7"/>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B)</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0  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100,000  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700,000  </w:t>
            </w:r>
          </w:p>
        </w:tc>
        <w:tc>
          <w:tcPr>
            <w:tcW w:w="300" w:type="pct"/>
            <w:shd w:val="clear" w:color="auto" w:fill="F7F7F7"/>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r>
      <w:tr w:rsidR="00AA5250" w:rsidRPr="00AA5250" w:rsidTr="00AA5250">
        <w:trPr>
          <w:tblCellSpacing w:w="0" w:type="dxa"/>
        </w:trPr>
        <w:tc>
          <w:tcPr>
            <w:tcW w:w="700" w:type="pct"/>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C)</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100,000  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700,000  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0  </w:t>
            </w:r>
          </w:p>
        </w:tc>
        <w:tc>
          <w:tcPr>
            <w:tcW w:w="300" w:type="pct"/>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r>
      <w:tr w:rsidR="00AA5250" w:rsidRPr="00AA5250" w:rsidTr="00AA5250">
        <w:trPr>
          <w:tblCellSpacing w:w="0" w:type="dxa"/>
        </w:trPr>
        <w:tc>
          <w:tcPr>
            <w:tcW w:w="700" w:type="pct"/>
            <w:shd w:val="clear" w:color="auto" w:fill="F7F7F7"/>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D)</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800,000  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0  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c>
          <w:tcPr>
            <w:tcW w:w="3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w:t>
            </w:r>
          </w:p>
        </w:tc>
        <w:tc>
          <w:tcPr>
            <w:tcW w:w="1000" w:type="pct"/>
            <w:shd w:val="clear" w:color="auto" w:fill="F7F7F7"/>
            <w:hideMark/>
          </w:tcPr>
          <w:p w:rsidR="00AA5250" w:rsidRPr="00AA5250" w:rsidRDefault="00AA5250" w:rsidP="00AA5250">
            <w:pPr>
              <w:spacing w:after="0" w:line="240" w:lineRule="auto"/>
              <w:jc w:val="right"/>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0  </w:t>
            </w:r>
          </w:p>
        </w:tc>
        <w:tc>
          <w:tcPr>
            <w:tcW w:w="300" w:type="pct"/>
            <w:shd w:val="clear" w:color="auto" w:fill="F7F7F7"/>
            <w:hideMark/>
          </w:tcPr>
          <w:p w:rsidR="00AA5250" w:rsidRPr="00AA5250" w:rsidRDefault="00AA5250" w:rsidP="00AA5250">
            <w:pPr>
              <w:spacing w:after="0" w:line="240" w:lineRule="auto"/>
              <w:rPr>
                <w:rFonts w:ascii="Times New Roman" w:eastAsia="Times New Roman" w:hAnsi="Times New Roman" w:cs="Times New Roman"/>
                <w:color w:val="000000"/>
                <w:sz w:val="20"/>
                <w:szCs w:val="20"/>
              </w:rPr>
            </w:pPr>
            <w:r w:rsidRPr="00AA5250">
              <w:rPr>
                <w:rFonts w:ascii="Times New Roman" w:eastAsia="Times New Roman" w:hAnsi="Times New Roman" w:cs="Times New Roman"/>
                <w:color w:val="000000"/>
                <w:sz w:val="20"/>
                <w:szCs w:val="20"/>
              </w:rPr>
              <w:t> </w:t>
            </w:r>
          </w:p>
        </w:tc>
      </w:tr>
      <w:tr w:rsidR="00AA5250" w:rsidRPr="00AA5250" w:rsidTr="00AA5250">
        <w:trPr>
          <w:tblCellSpacing w:w="0" w:type="dxa"/>
        </w:trPr>
        <w:tc>
          <w:tcPr>
            <w:tcW w:w="0" w:type="auto"/>
            <w:gridSpan w:val="10"/>
            <w:hideMark/>
          </w:tcPr>
          <w:p w:rsidR="00AA5250" w:rsidRPr="00AA5250" w:rsidRDefault="008552B2" w:rsidP="00AA525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33" style="width:468pt;height:3.75pt" o:hrstd="t" o:hrnoshade="t" o:hr="t" fillcolor="#cdd4e0" stroked="f"/>
              </w:pict>
            </w:r>
          </w:p>
        </w:tc>
      </w:tr>
    </w:tbl>
    <w:p w:rsidR="00AA5250" w:rsidRDefault="00AA5250" w:rsidP="00AA5250">
      <w:pPr>
        <w:spacing w:line="240" w:lineRule="auto"/>
        <w:rPr>
          <w:color w:val="000000"/>
          <w:sz w:val="20"/>
          <w:szCs w:val="20"/>
        </w:rPr>
      </w:pPr>
      <w:r w:rsidRPr="00AA5250">
        <w:rPr>
          <w:rFonts w:ascii="Times New Roman" w:eastAsia="Times New Roman" w:hAnsi="Times New Roman" w:cs="Times New Roman"/>
          <w:color w:val="6B6B6B"/>
          <w:sz w:val="21"/>
          <w:szCs w:val="21"/>
        </w:rPr>
        <w:t> </w:t>
      </w:r>
      <w:r w:rsidR="008552B2">
        <w:rPr>
          <w:color w:val="000000"/>
          <w:sz w:val="20"/>
          <w:szCs w:val="20"/>
        </w:rPr>
        <w:t xml:space="preserve">Answer:   </w:t>
      </w:r>
      <w:r>
        <w:rPr>
          <w:color w:val="000000"/>
          <w:sz w:val="20"/>
          <w:szCs w:val="20"/>
        </w:rPr>
        <w:t>Choice C</w:t>
      </w:r>
    </w:p>
    <w:p w:rsidR="00AA5250" w:rsidRDefault="00AA5250" w:rsidP="00AA5250">
      <w:pPr>
        <w:spacing w:line="240" w:lineRule="auto"/>
        <w:rPr>
          <w:color w:val="000000"/>
          <w:sz w:val="20"/>
          <w:szCs w:val="20"/>
        </w:rPr>
      </w:pPr>
    </w:p>
    <w:p w:rsidR="00AA5250" w:rsidRDefault="008552B2" w:rsidP="00AA5250">
      <w:pPr>
        <w:spacing w:line="240" w:lineRule="auto"/>
        <w:rPr>
          <w:color w:val="000000"/>
          <w:sz w:val="20"/>
          <w:szCs w:val="20"/>
        </w:rPr>
      </w:pPr>
      <w:r>
        <w:rPr>
          <w:color w:val="000000"/>
          <w:sz w:val="20"/>
          <w:szCs w:val="20"/>
        </w:rPr>
        <w:t xml:space="preserve">38) </w:t>
      </w:r>
      <w:r w:rsidR="00AA5250">
        <w:rPr>
          <w:color w:val="000000"/>
          <w:sz w:val="20"/>
          <w:szCs w:val="20"/>
        </w:rPr>
        <w:t>Which of the following is required as part of a complete set of financial statements for a private college or university?</w:t>
      </w:r>
    </w:p>
    <w:p w:rsidR="00AA5250" w:rsidRDefault="008552B2" w:rsidP="00AA5250">
      <w:pPr>
        <w:spacing w:line="240" w:lineRule="auto"/>
        <w:rPr>
          <w:color w:val="000000"/>
          <w:sz w:val="20"/>
          <w:szCs w:val="20"/>
        </w:rPr>
      </w:pPr>
      <w:r>
        <w:rPr>
          <w:color w:val="000000"/>
          <w:sz w:val="20"/>
          <w:szCs w:val="20"/>
        </w:rPr>
        <w:t xml:space="preserve">Answer:   </w:t>
      </w:r>
      <w:r w:rsidR="00AA5250">
        <w:rPr>
          <w:color w:val="000000"/>
          <w:sz w:val="20"/>
          <w:szCs w:val="20"/>
        </w:rPr>
        <w:t>Statement of activities.</w:t>
      </w:r>
    </w:p>
    <w:p w:rsidR="00AA5250" w:rsidRDefault="00AA5250" w:rsidP="00AA5250">
      <w:pPr>
        <w:spacing w:line="240" w:lineRule="auto"/>
        <w:rPr>
          <w:color w:val="000000"/>
          <w:sz w:val="20"/>
          <w:szCs w:val="20"/>
        </w:rPr>
      </w:pPr>
    </w:p>
    <w:p w:rsidR="00AA5250" w:rsidRDefault="008552B2" w:rsidP="00AA5250">
      <w:pPr>
        <w:spacing w:line="240" w:lineRule="auto"/>
        <w:rPr>
          <w:color w:val="000000"/>
          <w:sz w:val="20"/>
          <w:szCs w:val="20"/>
        </w:rPr>
      </w:pPr>
      <w:r>
        <w:rPr>
          <w:color w:val="000000"/>
          <w:sz w:val="20"/>
          <w:szCs w:val="20"/>
        </w:rPr>
        <w:t xml:space="preserve">39) </w:t>
      </w:r>
      <w:r w:rsidR="00342C12">
        <w:rPr>
          <w:color w:val="000000"/>
          <w:sz w:val="20"/>
          <w:szCs w:val="20"/>
        </w:rPr>
        <w:t>Tuition scholarships for which there is no intention of collection from the student should be classified by a private university as</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Reductions of gross revenue to arrive at net revenue.</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40) </w:t>
      </w:r>
      <w:r w:rsidR="00342C12">
        <w:rPr>
          <w:color w:val="000000"/>
          <w:sz w:val="20"/>
          <w:szCs w:val="20"/>
        </w:rPr>
        <w:t>A college has collected returnable dormitory room deposits from students. How would these deposits be reported by the college?</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A current liability.</w:t>
      </w:r>
    </w:p>
    <w:p w:rsidR="00342C12" w:rsidRDefault="008552B2" w:rsidP="00AA5250">
      <w:pPr>
        <w:spacing w:line="240" w:lineRule="auto"/>
        <w:rPr>
          <w:color w:val="000000"/>
          <w:sz w:val="20"/>
          <w:szCs w:val="20"/>
        </w:rPr>
      </w:pPr>
      <w:r>
        <w:rPr>
          <w:color w:val="000000"/>
          <w:sz w:val="20"/>
          <w:szCs w:val="20"/>
        </w:rPr>
        <w:t xml:space="preserve">41) </w:t>
      </w:r>
    </w:p>
    <w:tbl>
      <w:tblPr>
        <w:tblW w:w="9613" w:type="dxa"/>
        <w:tblCellSpacing w:w="0" w:type="dxa"/>
        <w:tblCellMar>
          <w:left w:w="0" w:type="dxa"/>
          <w:right w:w="0" w:type="dxa"/>
        </w:tblCellMar>
        <w:tblLook w:val="04A0" w:firstRow="1" w:lastRow="0" w:firstColumn="1" w:lastColumn="0" w:noHBand="0" w:noVBand="1"/>
      </w:tblPr>
      <w:tblGrid>
        <w:gridCol w:w="9613"/>
      </w:tblGrid>
      <w:tr w:rsidR="00342C12" w:rsidRPr="00342C12" w:rsidTr="00342C12">
        <w:trPr>
          <w:trHeight w:val="884"/>
          <w:tblCellSpacing w:w="0" w:type="dxa"/>
        </w:trPr>
        <w:tc>
          <w:tcPr>
            <w:tcW w:w="5000" w:type="pct"/>
            <w:vAlign w:val="center"/>
            <w:hideMark/>
          </w:tcPr>
          <w:p w:rsidR="00342C12" w:rsidRPr="00342C12" w:rsidRDefault="00342C12" w:rsidP="00342C12">
            <w:pPr>
              <w:spacing w:after="0" w:line="240" w:lineRule="auto"/>
              <w:jc w:val="both"/>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During the years ended June 30, 2017 and 2018, Jackson University, a private university, conducted a cancer research project financed by a $1,000,000 gift from an alumnus. The entire amount was pledged by the donor on July 10, 2016. The gift was restricted to the financing of this particular research project. During the two-year research period, Jackson's gift receipts from the alumnus and research expenses related to the research project were as follows for each fiscal year (FY):</w:t>
            </w:r>
          </w:p>
        </w:tc>
      </w:tr>
    </w:tbl>
    <w:p w:rsidR="00342C12" w:rsidRPr="00342C12" w:rsidRDefault="008552B2" w:rsidP="00342C12">
      <w:pPr>
        <w:spacing w:line="240" w:lineRule="auto"/>
        <w:rPr>
          <w:rFonts w:ascii="Times New Roman" w:eastAsia="Times New Roman" w:hAnsi="Times New Roman" w:cs="Times New Roman"/>
          <w:color w:val="6B6B6B"/>
          <w:sz w:val="21"/>
          <w:szCs w:val="21"/>
        </w:rPr>
      </w:pPr>
      <w:r>
        <w:rPr>
          <w:color w:val="000000"/>
          <w:sz w:val="20"/>
          <w:szCs w:val="20"/>
        </w:rPr>
        <w:t xml:space="preserve">Answer:   </w:t>
      </w:r>
      <w:r w:rsidR="00342C12" w:rsidRPr="00342C12">
        <w:rPr>
          <w:rFonts w:ascii="Times New Roman" w:eastAsia="Times New Roman" w:hAnsi="Times New Roman" w:cs="Times New Roman"/>
          <w:color w:val="6B6B6B"/>
          <w:sz w:val="21"/>
          <w:szCs w:val="21"/>
        </w:rPr>
        <w:t> </w:t>
      </w:r>
    </w:p>
    <w:tbl>
      <w:tblPr>
        <w:tblW w:w="4950" w:type="dxa"/>
        <w:tblCellSpacing w:w="0" w:type="dxa"/>
        <w:tblCellMar>
          <w:left w:w="0" w:type="dxa"/>
          <w:right w:w="0" w:type="dxa"/>
        </w:tblCellMar>
        <w:tblLook w:val="04A0" w:firstRow="1" w:lastRow="0" w:firstColumn="1" w:lastColumn="0" w:noHBand="0" w:noVBand="1"/>
      </w:tblPr>
      <w:tblGrid>
        <w:gridCol w:w="2672"/>
        <w:gridCol w:w="1139"/>
        <w:gridCol w:w="1139"/>
      </w:tblGrid>
      <w:tr w:rsidR="00342C12" w:rsidRPr="00342C12" w:rsidTr="00342C12">
        <w:trPr>
          <w:tblCellSpacing w:w="0" w:type="dxa"/>
        </w:trPr>
        <w:tc>
          <w:tcPr>
            <w:tcW w:w="2700" w:type="pct"/>
            <w:shd w:val="clear" w:color="auto" w:fill="D7DCE6"/>
            <w:hideMark/>
          </w:tcPr>
          <w:p w:rsidR="00342C12" w:rsidRPr="00342C12" w:rsidRDefault="00342C12" w:rsidP="00342C12">
            <w:pPr>
              <w:spacing w:after="0" w:line="240" w:lineRule="auto"/>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 </w:t>
            </w:r>
          </w:p>
        </w:tc>
        <w:tc>
          <w:tcPr>
            <w:tcW w:w="1150" w:type="pct"/>
            <w:shd w:val="clear" w:color="auto" w:fill="D7DCE6"/>
            <w:hideMark/>
          </w:tcPr>
          <w:p w:rsidR="00342C12" w:rsidRPr="00342C12" w:rsidRDefault="00342C12" w:rsidP="00342C12">
            <w:pPr>
              <w:spacing w:after="0" w:line="240" w:lineRule="auto"/>
              <w:jc w:val="center"/>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FY 2017</w:t>
            </w:r>
          </w:p>
        </w:tc>
        <w:tc>
          <w:tcPr>
            <w:tcW w:w="1150" w:type="pct"/>
            <w:shd w:val="clear" w:color="auto" w:fill="D7DCE6"/>
            <w:hideMark/>
          </w:tcPr>
          <w:p w:rsidR="00342C12" w:rsidRPr="00342C12" w:rsidRDefault="00342C12" w:rsidP="00342C12">
            <w:pPr>
              <w:spacing w:after="0" w:line="240" w:lineRule="auto"/>
              <w:jc w:val="center"/>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FY 2018</w:t>
            </w:r>
          </w:p>
        </w:tc>
      </w:tr>
      <w:tr w:rsidR="00342C12" w:rsidRPr="00342C12" w:rsidTr="00342C12">
        <w:trPr>
          <w:tblCellSpacing w:w="0" w:type="dxa"/>
        </w:trPr>
        <w:tc>
          <w:tcPr>
            <w:tcW w:w="2700" w:type="pct"/>
            <w:hideMark/>
          </w:tcPr>
          <w:p w:rsidR="00342C12" w:rsidRPr="00342C12" w:rsidRDefault="00342C12" w:rsidP="00342C12">
            <w:pPr>
              <w:spacing w:after="0" w:line="240" w:lineRule="auto"/>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  Gift receipts</w:t>
            </w:r>
          </w:p>
        </w:tc>
        <w:tc>
          <w:tcPr>
            <w:tcW w:w="1150" w:type="pct"/>
            <w:hideMark/>
          </w:tcPr>
          <w:p w:rsidR="00342C12" w:rsidRPr="00342C12" w:rsidRDefault="00342C12" w:rsidP="00342C12">
            <w:pPr>
              <w:spacing w:after="0" w:line="240" w:lineRule="auto"/>
              <w:jc w:val="center"/>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$200,000</w:t>
            </w:r>
          </w:p>
        </w:tc>
        <w:tc>
          <w:tcPr>
            <w:tcW w:w="1150" w:type="pct"/>
            <w:hideMark/>
          </w:tcPr>
          <w:p w:rsidR="00342C12" w:rsidRPr="00342C12" w:rsidRDefault="00342C12" w:rsidP="00342C12">
            <w:pPr>
              <w:spacing w:after="0" w:line="240" w:lineRule="auto"/>
              <w:jc w:val="center"/>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$800,000</w:t>
            </w:r>
          </w:p>
        </w:tc>
      </w:tr>
      <w:tr w:rsidR="00342C12" w:rsidRPr="00342C12" w:rsidTr="00342C12">
        <w:trPr>
          <w:tblCellSpacing w:w="0" w:type="dxa"/>
        </w:trPr>
        <w:tc>
          <w:tcPr>
            <w:tcW w:w="2700" w:type="pct"/>
            <w:shd w:val="clear" w:color="auto" w:fill="F7F7F7"/>
            <w:hideMark/>
          </w:tcPr>
          <w:p w:rsidR="00342C12" w:rsidRPr="00342C12" w:rsidRDefault="00342C12" w:rsidP="00342C12">
            <w:pPr>
              <w:spacing w:after="0" w:line="240" w:lineRule="auto"/>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  Cancer research expenses</w:t>
            </w:r>
          </w:p>
        </w:tc>
        <w:tc>
          <w:tcPr>
            <w:tcW w:w="1150" w:type="pct"/>
            <w:shd w:val="clear" w:color="auto" w:fill="F7F7F7"/>
            <w:hideMark/>
          </w:tcPr>
          <w:p w:rsidR="00342C12" w:rsidRPr="00342C12" w:rsidRDefault="00342C12" w:rsidP="00342C12">
            <w:pPr>
              <w:spacing w:after="0" w:line="240" w:lineRule="auto"/>
              <w:jc w:val="center"/>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$100,000</w:t>
            </w:r>
          </w:p>
        </w:tc>
        <w:tc>
          <w:tcPr>
            <w:tcW w:w="1150" w:type="pct"/>
            <w:shd w:val="clear" w:color="auto" w:fill="F7F7F7"/>
            <w:hideMark/>
          </w:tcPr>
          <w:p w:rsidR="00342C12" w:rsidRPr="00342C12" w:rsidRDefault="00342C12" w:rsidP="00342C12">
            <w:pPr>
              <w:spacing w:after="0" w:line="240" w:lineRule="auto"/>
              <w:jc w:val="center"/>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$900,000</w:t>
            </w:r>
          </w:p>
        </w:tc>
      </w:tr>
      <w:tr w:rsidR="00342C12" w:rsidRPr="00342C12" w:rsidTr="00342C12">
        <w:trPr>
          <w:tblCellSpacing w:w="0" w:type="dxa"/>
        </w:trPr>
        <w:tc>
          <w:tcPr>
            <w:tcW w:w="0" w:type="auto"/>
            <w:gridSpan w:val="3"/>
            <w:hideMark/>
          </w:tcPr>
          <w:p w:rsidR="00342C12" w:rsidRPr="00342C12" w:rsidRDefault="008552B2" w:rsidP="00342C12">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pict>
                <v:rect id="_x0000_i1034" style="width:468pt;height:3.75pt" o:hrstd="t" o:hrnoshade="t" o:hr="t" fillcolor="#cdd4e0" stroked="f"/>
              </w:pict>
            </w:r>
          </w:p>
        </w:tc>
      </w:tr>
    </w:tbl>
    <w:p w:rsidR="00342C12" w:rsidRPr="00342C12" w:rsidRDefault="00342C12" w:rsidP="00342C12">
      <w:pPr>
        <w:spacing w:line="240" w:lineRule="auto"/>
        <w:rPr>
          <w:rFonts w:ascii="Times New Roman" w:eastAsia="Times New Roman" w:hAnsi="Times New Roman" w:cs="Times New Roman"/>
          <w:color w:val="6B6B6B"/>
          <w:sz w:val="21"/>
          <w:szCs w:val="21"/>
        </w:rPr>
      </w:pPr>
      <w:r w:rsidRPr="00342C12">
        <w:rPr>
          <w:rFonts w:ascii="Times New Roman" w:eastAsia="Times New Roman" w:hAnsi="Times New Roman" w:cs="Times New Roman"/>
          <w:color w:val="6B6B6B"/>
          <w:sz w:val="21"/>
          <w:szCs w:val="21"/>
        </w:rPr>
        <w:t> </w:t>
      </w:r>
      <w:r w:rsidR="008552B2">
        <w:rPr>
          <w:rFonts w:ascii="Times New Roman" w:eastAsia="Times New Roman" w:hAnsi="Times New Roman" w:cs="Times New Roman"/>
          <w:color w:val="6B6B6B"/>
          <w:sz w:val="21"/>
          <w:szCs w:val="21"/>
        </w:rPr>
        <w:t xml:space="preserve">42) </w:t>
      </w:r>
      <w:r w:rsidRPr="00342C12">
        <w:rPr>
          <w:rFonts w:ascii="Times New Roman" w:eastAsia="Times New Roman" w:hAnsi="Times New Roman" w:cs="Times New Roman"/>
          <w:color w:val="6B6B6B"/>
          <w:sz w:val="21"/>
          <w:szCs w:val="21"/>
        </w:rPr>
        <w:t> </w:t>
      </w:r>
    </w:p>
    <w:tbl>
      <w:tblPr>
        <w:tblW w:w="9300" w:type="dxa"/>
        <w:tblCellSpacing w:w="0" w:type="dxa"/>
        <w:tblCellMar>
          <w:left w:w="0" w:type="dxa"/>
          <w:right w:w="0" w:type="dxa"/>
        </w:tblCellMar>
        <w:tblLook w:val="04A0" w:firstRow="1" w:lastRow="0" w:firstColumn="1" w:lastColumn="0" w:noHBand="0" w:noVBand="1"/>
      </w:tblPr>
      <w:tblGrid>
        <w:gridCol w:w="9300"/>
      </w:tblGrid>
      <w:tr w:rsidR="00342C12" w:rsidRPr="00342C12" w:rsidTr="00342C12">
        <w:trPr>
          <w:tblCellSpacing w:w="0" w:type="dxa"/>
        </w:trPr>
        <w:tc>
          <w:tcPr>
            <w:tcW w:w="5000" w:type="pct"/>
            <w:hideMark/>
          </w:tcPr>
          <w:p w:rsidR="00342C12" w:rsidRPr="00342C12" w:rsidRDefault="00342C12" w:rsidP="00342C12">
            <w:pPr>
              <w:spacing w:after="0" w:line="240" w:lineRule="auto"/>
              <w:rPr>
                <w:rFonts w:ascii="Times New Roman" w:eastAsia="Times New Roman" w:hAnsi="Times New Roman" w:cs="Times New Roman"/>
                <w:color w:val="000000"/>
                <w:sz w:val="20"/>
                <w:szCs w:val="20"/>
              </w:rPr>
            </w:pPr>
            <w:r w:rsidRPr="00342C12">
              <w:rPr>
                <w:rFonts w:ascii="Times New Roman" w:eastAsia="Times New Roman" w:hAnsi="Times New Roman" w:cs="Times New Roman"/>
                <w:color w:val="000000"/>
                <w:sz w:val="20"/>
                <w:szCs w:val="20"/>
              </w:rPr>
              <w:t>How much had temporarily restricted net assets increased as of the end of FY 2018?</w:t>
            </w:r>
          </w:p>
        </w:tc>
      </w:tr>
    </w:tbl>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$0.</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43) </w:t>
      </w:r>
      <w:r w:rsidR="00342C12">
        <w:rPr>
          <w:color w:val="000000"/>
          <w:sz w:val="20"/>
          <w:szCs w:val="20"/>
        </w:rPr>
        <w:t>Cactus College, a small private college, received a research grant from NACUBO to study whether service efforts and accomplishments measures improve institutional performance. In accordance with FASB standards the grant would be reported as an increase in:</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Temporarily restricted net assets.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44) </w:t>
      </w:r>
      <w:r w:rsidR="00342C12">
        <w:rPr>
          <w:color w:val="000000"/>
          <w:sz w:val="20"/>
          <w:szCs w:val="20"/>
        </w:rPr>
        <w:t xml:space="preserve">Which of the following statements usually will </w:t>
      </w:r>
      <w:r w:rsidR="00342C12">
        <w:rPr>
          <w:i/>
          <w:iCs/>
          <w:color w:val="000000"/>
          <w:sz w:val="20"/>
          <w:szCs w:val="20"/>
        </w:rPr>
        <w:t>not</w:t>
      </w:r>
      <w:r w:rsidR="00342C12">
        <w:rPr>
          <w:color w:val="000000"/>
          <w:sz w:val="20"/>
          <w:szCs w:val="20"/>
        </w:rPr>
        <w:t xml:space="preserve"> be included in the annual financial report of a governmentally owned public university engaged only in business-type activities?</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Statement of activities.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45) </w:t>
      </w:r>
      <w:r w:rsidR="00342C12">
        <w:rPr>
          <w:color w:val="000000"/>
          <w:sz w:val="20"/>
          <w:szCs w:val="20"/>
        </w:rPr>
        <w:t>Which of the following measures may be useful to decision makers evaluating the financial condition of a college or university?</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Current ratio.</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46) </w:t>
      </w:r>
      <w:r w:rsidR="00342C12">
        <w:rPr>
          <w:color w:val="000000"/>
          <w:sz w:val="20"/>
          <w:szCs w:val="20"/>
        </w:rPr>
        <w:t>How would a private college or university report its estimate for uncollectible tuition and fees on its statement of activities?</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A contra-revenue account titled Provision for Doubtful Accounts.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47) </w:t>
      </w:r>
      <w:r w:rsidR="00342C12">
        <w:rPr>
          <w:color w:val="000000"/>
          <w:sz w:val="20"/>
          <w:szCs w:val="20"/>
        </w:rPr>
        <w:t>Which of the following statements concerning the audits of colleges and universities is true?</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Both public and private colleges and universities are subject to the provisions of the single audit if they expend over $750,000 in federal funds in a fiscal year.</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48) </w:t>
      </w:r>
      <w:r w:rsidR="00342C12">
        <w:rPr>
          <w:color w:val="000000"/>
          <w:sz w:val="20"/>
          <w:szCs w:val="20"/>
        </w:rPr>
        <w:t>Colleges and universities often make loans to students. How would these loans be reported on the financial statements?</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A receivable.</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49) </w:t>
      </w:r>
      <w:r w:rsidR="00342C12">
        <w:rPr>
          <w:color w:val="000000"/>
          <w:sz w:val="20"/>
          <w:szCs w:val="20"/>
        </w:rPr>
        <w:t>Economic rationality would argue against a university accepting a split-interest agreement in which a fixed annuity is payable to the donor if:</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The present value of the future annuity payments and other liabilities exceed the fair market value of the assets.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50) </w:t>
      </w:r>
      <w:r w:rsidR="00342C12">
        <w:rPr>
          <w:color w:val="000000"/>
          <w:sz w:val="20"/>
          <w:szCs w:val="20"/>
        </w:rPr>
        <w:t xml:space="preserve">Which of the following is </w:t>
      </w:r>
      <w:r w:rsidR="00342C12">
        <w:rPr>
          <w:i/>
          <w:iCs/>
          <w:color w:val="000000"/>
          <w:sz w:val="20"/>
          <w:szCs w:val="20"/>
        </w:rPr>
        <w:t>not</w:t>
      </w:r>
      <w:r w:rsidR="00342C12">
        <w:rPr>
          <w:color w:val="000000"/>
          <w:sz w:val="20"/>
          <w:szCs w:val="20"/>
        </w:rPr>
        <w:t xml:space="preserve"> a classification of revenues for a college or university as recommended by the National Association of College and University Business Officers (NACUBO)?</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Sporting events.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51) </w:t>
      </w:r>
      <w:r w:rsidR="00342C12">
        <w:rPr>
          <w:color w:val="000000"/>
          <w:sz w:val="20"/>
          <w:szCs w:val="20"/>
        </w:rPr>
        <w:t>An alumnus donates securities to a private college and stipulates that the principal be held in perpetuity and income from the securities be used for faculty travel. Dividends received from the securities should be recognized as increases in:</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Temporarily restricted net assets.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52) </w:t>
      </w:r>
      <w:r w:rsidR="00342C12">
        <w:rPr>
          <w:color w:val="000000"/>
          <w:sz w:val="20"/>
          <w:szCs w:val="20"/>
        </w:rPr>
        <w:t>The FASB requires that private colleges and universities prepare which of the following financial statements?</w:t>
      </w:r>
    </w:p>
    <w:p w:rsidR="00342C12" w:rsidRDefault="008552B2" w:rsidP="00AA5250">
      <w:pPr>
        <w:spacing w:line="240" w:lineRule="auto"/>
        <w:rPr>
          <w:color w:val="000000"/>
          <w:sz w:val="20"/>
          <w:szCs w:val="20"/>
        </w:rPr>
      </w:pPr>
      <w:r>
        <w:rPr>
          <w:color w:val="000000"/>
          <w:sz w:val="20"/>
          <w:szCs w:val="20"/>
        </w:rPr>
        <w:t xml:space="preserve">Answer:   </w:t>
      </w:r>
      <w:r w:rsidR="00342C12">
        <w:rPr>
          <w:color w:val="000000"/>
          <w:sz w:val="20"/>
          <w:szCs w:val="20"/>
        </w:rPr>
        <w:t>A statement of activities.</w:t>
      </w:r>
    </w:p>
    <w:p w:rsidR="00342C12" w:rsidRDefault="00342C12" w:rsidP="00AA5250">
      <w:pPr>
        <w:spacing w:line="240" w:lineRule="auto"/>
        <w:rPr>
          <w:color w:val="000000"/>
          <w:sz w:val="20"/>
          <w:szCs w:val="20"/>
        </w:rPr>
      </w:pPr>
    </w:p>
    <w:p w:rsidR="00342C12" w:rsidRDefault="008552B2" w:rsidP="00AA5250">
      <w:pPr>
        <w:spacing w:line="240" w:lineRule="auto"/>
        <w:rPr>
          <w:color w:val="000000"/>
          <w:sz w:val="20"/>
          <w:szCs w:val="20"/>
        </w:rPr>
      </w:pPr>
      <w:r>
        <w:rPr>
          <w:color w:val="000000"/>
          <w:sz w:val="20"/>
          <w:szCs w:val="20"/>
        </w:rPr>
        <w:t xml:space="preserve">53) </w:t>
      </w:r>
      <w:r w:rsidR="002B48A5">
        <w:rPr>
          <w:color w:val="000000"/>
          <w:sz w:val="20"/>
          <w:szCs w:val="20"/>
        </w:rPr>
        <w:t>Where does a nongovernmental not-for-profit health care entity report increases that have occurred in its temporarily restricted net assets?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Statement of changes in net assets.</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54) </w:t>
      </w:r>
      <w:r w:rsidR="002B48A5">
        <w:rPr>
          <w:color w:val="000000"/>
          <w:sz w:val="20"/>
          <w:szCs w:val="20"/>
        </w:rPr>
        <w:t xml:space="preserve">In accordance with the FASB </w:t>
      </w:r>
      <w:r w:rsidR="002B48A5">
        <w:rPr>
          <w:i/>
          <w:iCs/>
          <w:color w:val="000000"/>
          <w:sz w:val="20"/>
          <w:szCs w:val="20"/>
        </w:rPr>
        <w:t>Codification</w:t>
      </w:r>
      <w:r w:rsidR="002B48A5">
        <w:rPr>
          <w:color w:val="000000"/>
          <w:sz w:val="20"/>
          <w:szCs w:val="20"/>
        </w:rPr>
        <w:t>, donated medicines that normally would be purchased by a hospital should be recorded at fair value and credited to which of the following?</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Other Revenue.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55) </w:t>
      </w:r>
      <w:r w:rsidR="002B48A5">
        <w:rPr>
          <w:color w:val="000000"/>
          <w:sz w:val="20"/>
          <w:szCs w:val="20"/>
        </w:rPr>
        <w:t>Contractual Adjustments is properly characterized as: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A contra revenue.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56) </w:t>
      </w:r>
      <w:r w:rsidR="002B48A5">
        <w:rPr>
          <w:color w:val="000000"/>
          <w:sz w:val="20"/>
          <w:szCs w:val="20"/>
        </w:rPr>
        <w:t xml:space="preserve">According to FASB standards, which of the following entities would </w:t>
      </w:r>
      <w:r w:rsidR="002B48A5">
        <w:rPr>
          <w:i/>
          <w:iCs/>
          <w:color w:val="000000"/>
          <w:sz w:val="20"/>
          <w:szCs w:val="20"/>
        </w:rPr>
        <w:t>not</w:t>
      </w:r>
      <w:r w:rsidR="002B48A5">
        <w:rPr>
          <w:color w:val="000000"/>
          <w:sz w:val="20"/>
          <w:szCs w:val="20"/>
        </w:rPr>
        <w:t xml:space="preserve"> be considered a health care organization?</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The Heart Research Institute.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57) </w:t>
      </w:r>
      <w:r w:rsidR="002B48A5">
        <w:rPr>
          <w:color w:val="000000"/>
          <w:sz w:val="20"/>
          <w:szCs w:val="20"/>
        </w:rPr>
        <w:t>Which of the following is (are) considered an authoritative source of GAAP for nongovernmental not-for-profit health care entities?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The FASB Accounting Standards Codification (ASC).</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58) </w:t>
      </w:r>
      <w:r w:rsidR="002B48A5">
        <w:rPr>
          <w:color w:val="000000"/>
          <w:sz w:val="20"/>
          <w:szCs w:val="20"/>
        </w:rPr>
        <w:t>Which of the following would usually be considered as temporarily restricted net assets in a nongovernmental not-for-profit hospital?</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A research grant from the federal government to study high blood pressure.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59) </w:t>
      </w:r>
      <w:r w:rsidR="002B48A5">
        <w:rPr>
          <w:color w:val="000000"/>
          <w:sz w:val="20"/>
          <w:szCs w:val="20"/>
        </w:rPr>
        <w:t>How would the cash acquisition of equipment be reported on a health care entity’s statement of cash flows?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Investing activity applying FASB standards.</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60) </w:t>
      </w:r>
      <w:r w:rsidR="002B48A5">
        <w:rPr>
          <w:color w:val="000000"/>
          <w:sz w:val="20"/>
          <w:szCs w:val="20"/>
        </w:rPr>
        <w:t xml:space="preserve">Which of the following is </w:t>
      </w:r>
      <w:r w:rsidR="002B48A5">
        <w:rPr>
          <w:i/>
          <w:iCs/>
          <w:color w:val="000000"/>
          <w:sz w:val="20"/>
          <w:szCs w:val="20"/>
        </w:rPr>
        <w:t>not</w:t>
      </w:r>
      <w:r w:rsidR="002B48A5">
        <w:rPr>
          <w:color w:val="000000"/>
          <w:sz w:val="20"/>
          <w:szCs w:val="20"/>
        </w:rPr>
        <w:t xml:space="preserve"> a financial statement prepared by nongovernmental not-for-profit health care entities?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Statement of revenues, expenses, and changes in net assets.</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61) </w:t>
      </w:r>
      <w:r w:rsidR="002B48A5">
        <w:rPr>
          <w:color w:val="000000"/>
          <w:sz w:val="20"/>
          <w:szCs w:val="20"/>
        </w:rPr>
        <w:t xml:space="preserve">Which of the following statements concerning the Patient Protection and Affordability Act (also known as the Affordable Care Act) is </w:t>
      </w:r>
      <w:r w:rsidR="002B48A5">
        <w:rPr>
          <w:i/>
          <w:iCs/>
          <w:color w:val="000000"/>
          <w:sz w:val="20"/>
          <w:szCs w:val="20"/>
        </w:rPr>
        <w:t>true</w:t>
      </w:r>
      <w:r w:rsidR="002B48A5">
        <w:rPr>
          <w:color w:val="000000"/>
          <w:sz w:val="20"/>
          <w:szCs w:val="20"/>
        </w:rPr>
        <w:t>?</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Since all portions of the Act have only recently been enacted the full impact on health care accounting is unknown.</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62) </w:t>
      </w:r>
      <w:r w:rsidR="002B48A5">
        <w:rPr>
          <w:color w:val="000000"/>
          <w:sz w:val="20"/>
          <w:szCs w:val="20"/>
        </w:rPr>
        <w:t>Which of the following is shown on a statement of changes in net assets?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An increase in temporarily restricted net assets.</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63) </w:t>
      </w:r>
      <w:r w:rsidR="002B48A5">
        <w:rPr>
          <w:color w:val="000000"/>
          <w:sz w:val="20"/>
          <w:szCs w:val="20"/>
        </w:rPr>
        <w:t xml:space="preserve">In accordance with the FASB </w:t>
      </w:r>
      <w:r w:rsidR="002B48A5">
        <w:rPr>
          <w:i/>
          <w:iCs/>
          <w:color w:val="000000"/>
          <w:sz w:val="20"/>
          <w:szCs w:val="20"/>
        </w:rPr>
        <w:t>Codification</w:t>
      </w:r>
      <w:r w:rsidR="002B48A5">
        <w:rPr>
          <w:color w:val="000000"/>
          <w:sz w:val="20"/>
          <w:szCs w:val="20"/>
        </w:rPr>
        <w:t>, which of the following would be an appropriate performance indicator for a not-for-profit health care organization?</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Excess of revenues and gains over expenses and losses.</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64) </w:t>
      </w:r>
      <w:r w:rsidR="002B48A5">
        <w:rPr>
          <w:color w:val="000000"/>
          <w:sz w:val="20"/>
          <w:szCs w:val="20"/>
        </w:rPr>
        <w:t>Charity service and bad debts in a government hospital that follows business-type accounting are:</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Reported differently, with charity service disclosed in the notes to the financial statements and bad debts reported as a deduction from revenue.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65) </w:t>
      </w:r>
      <w:r w:rsidR="002B48A5">
        <w:rPr>
          <w:color w:val="000000"/>
          <w:sz w:val="20"/>
          <w:szCs w:val="20"/>
        </w:rPr>
        <w:t xml:space="preserve">Contractual adjustments that arise from differences between the gross charge for patient services and the amount paid by a third party </w:t>
      </w:r>
      <w:proofErr w:type="spellStart"/>
      <w:r w:rsidR="002B48A5">
        <w:rPr>
          <w:color w:val="000000"/>
          <w:sz w:val="20"/>
          <w:szCs w:val="20"/>
        </w:rPr>
        <w:t>payor</w:t>
      </w:r>
      <w:proofErr w:type="spellEnd"/>
      <w:r w:rsidR="002B48A5">
        <w:rPr>
          <w:color w:val="000000"/>
          <w:sz w:val="20"/>
          <w:szCs w:val="20"/>
        </w:rPr>
        <w:t xml:space="preserve"> are reported as: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Deductions from gross patient revenue in arriving at net patient revenue.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66) </w:t>
      </w:r>
      <w:r w:rsidR="002B48A5">
        <w:rPr>
          <w:color w:val="000000"/>
          <w:sz w:val="20"/>
          <w:szCs w:val="20"/>
        </w:rPr>
        <w:t>The GASB requires business-type health care organizations to prepare which of the following financial statements?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Statement of revenues, expenses, and changes in net position; statement of net position; and statement of cash flows.</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67) </w:t>
      </w:r>
      <w:r w:rsidR="002B48A5">
        <w:rPr>
          <w:color w:val="000000"/>
          <w:sz w:val="20"/>
          <w:szCs w:val="20"/>
        </w:rPr>
        <w:t>Where would a capitation fee be reported on a health care entity’s financial statements?</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Service revenue.</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68) </w:t>
      </w:r>
      <w:r w:rsidR="002B48A5">
        <w:rPr>
          <w:color w:val="000000"/>
          <w:sz w:val="20"/>
          <w:szCs w:val="20"/>
        </w:rPr>
        <w:t>Which of the following volunteer services is most likely to be reported by a nongovernmental not-for-profit hospital as contribution revenue and an expense?</w:t>
      </w:r>
    </w:p>
    <w:p w:rsidR="002B48A5" w:rsidRDefault="008552B2" w:rsidP="00AA5250">
      <w:pPr>
        <w:spacing w:line="240" w:lineRule="auto"/>
        <w:rPr>
          <w:color w:val="000000"/>
          <w:sz w:val="20"/>
          <w:szCs w:val="20"/>
        </w:rPr>
      </w:pPr>
      <w:r>
        <w:rPr>
          <w:color w:val="000000"/>
          <w:sz w:val="20"/>
          <w:szCs w:val="20"/>
        </w:rPr>
        <w:t xml:space="preserve">Answer:   </w:t>
      </w:r>
      <w:r w:rsidR="002B48A5">
        <w:rPr>
          <w:color w:val="000000"/>
          <w:sz w:val="20"/>
          <w:szCs w:val="20"/>
        </w:rPr>
        <w:t>Nurses from a religious organization who volunteer to assist in the care of critically ill children.</w:t>
      </w:r>
    </w:p>
    <w:p w:rsidR="002B48A5" w:rsidRDefault="002B48A5" w:rsidP="00AA5250">
      <w:pPr>
        <w:spacing w:line="240" w:lineRule="auto"/>
        <w:rPr>
          <w:color w:val="000000"/>
          <w:sz w:val="20"/>
          <w:szCs w:val="20"/>
        </w:rPr>
      </w:pPr>
    </w:p>
    <w:p w:rsidR="002B48A5" w:rsidRDefault="008552B2" w:rsidP="00AA5250">
      <w:pPr>
        <w:spacing w:line="240" w:lineRule="auto"/>
        <w:rPr>
          <w:color w:val="000000"/>
          <w:sz w:val="20"/>
          <w:szCs w:val="20"/>
        </w:rPr>
      </w:pPr>
      <w:r>
        <w:rPr>
          <w:color w:val="000000"/>
          <w:sz w:val="20"/>
          <w:szCs w:val="20"/>
        </w:rPr>
        <w:t xml:space="preserve">69) </w:t>
      </w:r>
      <w:r w:rsidR="0076582B">
        <w:rPr>
          <w:color w:val="000000"/>
          <w:sz w:val="20"/>
          <w:szCs w:val="20"/>
        </w:rPr>
        <w:t>Which of the following would be considered service revenue of a health care entity?</w:t>
      </w:r>
    </w:p>
    <w:p w:rsidR="0076582B" w:rsidRDefault="008552B2" w:rsidP="00AA5250">
      <w:pPr>
        <w:spacing w:line="240" w:lineRule="auto"/>
        <w:rPr>
          <w:color w:val="000000"/>
          <w:sz w:val="20"/>
          <w:szCs w:val="20"/>
        </w:rPr>
      </w:pPr>
      <w:r>
        <w:rPr>
          <w:color w:val="000000"/>
          <w:sz w:val="20"/>
          <w:szCs w:val="20"/>
        </w:rPr>
        <w:t xml:space="preserve">Answer:   </w:t>
      </w:r>
      <w:r w:rsidR="0076582B">
        <w:rPr>
          <w:color w:val="000000"/>
          <w:sz w:val="20"/>
          <w:szCs w:val="20"/>
        </w:rPr>
        <w:t>Capitation fees received from a health maintenance organization.</w:t>
      </w:r>
    </w:p>
    <w:p w:rsidR="0076582B" w:rsidRDefault="0076582B" w:rsidP="00AA5250">
      <w:pPr>
        <w:spacing w:line="240" w:lineRule="auto"/>
        <w:rPr>
          <w:color w:val="000000"/>
          <w:sz w:val="20"/>
          <w:szCs w:val="20"/>
        </w:rPr>
      </w:pPr>
    </w:p>
    <w:p w:rsidR="0076582B" w:rsidRDefault="008552B2" w:rsidP="00AA5250">
      <w:pPr>
        <w:spacing w:line="240" w:lineRule="auto"/>
        <w:rPr>
          <w:color w:val="000000"/>
          <w:sz w:val="20"/>
          <w:szCs w:val="20"/>
        </w:rPr>
      </w:pPr>
      <w:r>
        <w:rPr>
          <w:color w:val="000000"/>
          <w:sz w:val="20"/>
          <w:szCs w:val="20"/>
        </w:rPr>
        <w:t xml:space="preserve">70) </w:t>
      </w:r>
      <w:r w:rsidR="0076582B">
        <w:rPr>
          <w:color w:val="000000"/>
          <w:sz w:val="20"/>
          <w:szCs w:val="20"/>
        </w:rPr>
        <w:t>Which of the following could be included in the performance indicator measure provided by a nongovernmental not-for-profit hospital?</w:t>
      </w:r>
    </w:p>
    <w:p w:rsidR="0076582B" w:rsidRDefault="008552B2" w:rsidP="00AA5250">
      <w:pPr>
        <w:spacing w:line="240" w:lineRule="auto"/>
        <w:rPr>
          <w:color w:val="000000"/>
          <w:sz w:val="20"/>
          <w:szCs w:val="20"/>
        </w:rPr>
      </w:pPr>
      <w:r>
        <w:rPr>
          <w:color w:val="000000"/>
          <w:sz w:val="20"/>
          <w:szCs w:val="20"/>
        </w:rPr>
        <w:t xml:space="preserve">Answer:   </w:t>
      </w:r>
      <w:r w:rsidR="0076582B">
        <w:rPr>
          <w:color w:val="000000"/>
          <w:sz w:val="20"/>
          <w:szCs w:val="20"/>
        </w:rPr>
        <w:t>Gain on sale of equipment.</w:t>
      </w:r>
    </w:p>
    <w:p w:rsidR="0076582B" w:rsidRDefault="0076582B" w:rsidP="00AA5250">
      <w:pPr>
        <w:spacing w:line="240" w:lineRule="auto"/>
        <w:rPr>
          <w:color w:val="000000"/>
          <w:sz w:val="20"/>
          <w:szCs w:val="20"/>
        </w:rPr>
      </w:pPr>
    </w:p>
    <w:p w:rsidR="0076582B" w:rsidRDefault="008552B2" w:rsidP="00AA5250">
      <w:pPr>
        <w:spacing w:line="240" w:lineRule="auto"/>
        <w:rPr>
          <w:color w:val="000000"/>
          <w:sz w:val="20"/>
          <w:szCs w:val="20"/>
        </w:rPr>
      </w:pPr>
      <w:r>
        <w:rPr>
          <w:color w:val="000000"/>
          <w:sz w:val="20"/>
          <w:szCs w:val="20"/>
        </w:rPr>
        <w:t xml:space="preserve">71) </w:t>
      </w:r>
      <w:r w:rsidR="0076582B">
        <w:rPr>
          <w:color w:val="000000"/>
          <w:sz w:val="20"/>
          <w:szCs w:val="20"/>
        </w:rPr>
        <w:t>An annual contributor to a nongovernmental not-for-profit hospital made an unrestricted pledge in October 2016 that will be paid in March 2017. Assuming the hospital's fiscal year-end is December 31, 2016, the pledge should be credited to:</w:t>
      </w:r>
    </w:p>
    <w:p w:rsidR="0076582B" w:rsidRDefault="008552B2" w:rsidP="00AA5250">
      <w:pPr>
        <w:spacing w:line="240" w:lineRule="auto"/>
        <w:rPr>
          <w:color w:val="000000"/>
          <w:sz w:val="20"/>
          <w:szCs w:val="20"/>
        </w:rPr>
      </w:pPr>
      <w:r>
        <w:rPr>
          <w:color w:val="000000"/>
          <w:sz w:val="20"/>
          <w:szCs w:val="20"/>
        </w:rPr>
        <w:t xml:space="preserve">Answer:   </w:t>
      </w:r>
      <w:r w:rsidR="0076582B">
        <w:rPr>
          <w:color w:val="000000"/>
          <w:sz w:val="20"/>
          <w:szCs w:val="20"/>
        </w:rPr>
        <w:t>Contributions—Temporarily Restricted in 2016.</w:t>
      </w:r>
    </w:p>
    <w:p w:rsidR="0076582B" w:rsidRDefault="0076582B" w:rsidP="00AA5250">
      <w:pPr>
        <w:spacing w:line="240" w:lineRule="auto"/>
        <w:rPr>
          <w:color w:val="000000"/>
          <w:sz w:val="20"/>
          <w:szCs w:val="20"/>
        </w:rPr>
      </w:pPr>
    </w:p>
    <w:p w:rsidR="0076582B" w:rsidRDefault="008552B2" w:rsidP="00AA5250">
      <w:pPr>
        <w:spacing w:line="240" w:lineRule="auto"/>
        <w:rPr>
          <w:color w:val="000000"/>
          <w:sz w:val="20"/>
          <w:szCs w:val="20"/>
        </w:rPr>
      </w:pPr>
      <w:r>
        <w:rPr>
          <w:color w:val="000000"/>
          <w:sz w:val="20"/>
          <w:szCs w:val="20"/>
        </w:rPr>
        <w:t xml:space="preserve">72) </w:t>
      </w:r>
      <w:r w:rsidR="0076582B">
        <w:rPr>
          <w:color w:val="000000"/>
          <w:sz w:val="20"/>
          <w:szCs w:val="20"/>
        </w:rPr>
        <w:t>The primary source of revenue for most hospitals is:</w:t>
      </w:r>
    </w:p>
    <w:p w:rsidR="0076582B" w:rsidRDefault="008552B2" w:rsidP="00AA5250">
      <w:pPr>
        <w:spacing w:line="240" w:lineRule="auto"/>
        <w:rPr>
          <w:color w:val="000000"/>
          <w:sz w:val="20"/>
          <w:szCs w:val="20"/>
        </w:rPr>
      </w:pPr>
      <w:r>
        <w:rPr>
          <w:color w:val="000000"/>
          <w:sz w:val="20"/>
          <w:szCs w:val="20"/>
        </w:rPr>
        <w:t xml:space="preserve">Answer:   </w:t>
      </w:r>
      <w:r w:rsidR="0076582B">
        <w:rPr>
          <w:color w:val="000000"/>
          <w:sz w:val="20"/>
          <w:szCs w:val="20"/>
        </w:rPr>
        <w:t>Exchange transactions, such as fees for services.</w:t>
      </w:r>
    </w:p>
    <w:p w:rsidR="0076582B" w:rsidRDefault="0076582B" w:rsidP="00AA5250">
      <w:pPr>
        <w:spacing w:line="240" w:lineRule="auto"/>
        <w:rPr>
          <w:color w:val="000000"/>
          <w:sz w:val="20"/>
          <w:szCs w:val="20"/>
        </w:rPr>
      </w:pPr>
    </w:p>
    <w:p w:rsidR="0076582B" w:rsidRDefault="008552B2" w:rsidP="00AA5250">
      <w:pPr>
        <w:spacing w:line="240" w:lineRule="auto"/>
        <w:rPr>
          <w:color w:val="000000"/>
          <w:sz w:val="20"/>
          <w:szCs w:val="20"/>
        </w:rPr>
      </w:pPr>
      <w:r>
        <w:rPr>
          <w:color w:val="000000"/>
          <w:sz w:val="20"/>
          <w:szCs w:val="20"/>
        </w:rPr>
        <w:t xml:space="preserve">73) </w:t>
      </w:r>
      <w:r w:rsidR="0076582B">
        <w:rPr>
          <w:color w:val="000000"/>
          <w:sz w:val="20"/>
          <w:szCs w:val="20"/>
        </w:rPr>
        <w:t>Which of the following statements is true about diagnosis-related groups (DRGs)?</w:t>
      </w:r>
    </w:p>
    <w:p w:rsidR="0076582B" w:rsidRDefault="008552B2" w:rsidP="00AA5250">
      <w:pPr>
        <w:spacing w:line="240" w:lineRule="auto"/>
        <w:rPr>
          <w:color w:val="000000"/>
          <w:sz w:val="20"/>
          <w:szCs w:val="20"/>
        </w:rPr>
      </w:pPr>
      <w:r>
        <w:rPr>
          <w:color w:val="000000"/>
          <w:sz w:val="20"/>
          <w:szCs w:val="20"/>
        </w:rPr>
        <w:t xml:space="preserve">Answer:   </w:t>
      </w:r>
      <w:r w:rsidR="0076582B">
        <w:rPr>
          <w:color w:val="000000"/>
          <w:sz w:val="20"/>
          <w:szCs w:val="20"/>
        </w:rPr>
        <w:t>A DRG is a case-mix classification scheme that is used to determine the payment provided to the hospital for inpatient services, regardless of how much the hospital spends to treat a patient.</w:t>
      </w:r>
    </w:p>
    <w:p w:rsidR="0076582B" w:rsidRDefault="0076582B" w:rsidP="00AA5250">
      <w:pPr>
        <w:spacing w:line="240" w:lineRule="auto"/>
        <w:rPr>
          <w:color w:val="000000"/>
          <w:sz w:val="20"/>
          <w:szCs w:val="20"/>
        </w:rPr>
      </w:pPr>
    </w:p>
    <w:p w:rsidR="0076582B" w:rsidRDefault="008552B2" w:rsidP="00AA5250">
      <w:pPr>
        <w:spacing w:line="240" w:lineRule="auto"/>
        <w:rPr>
          <w:color w:val="000000"/>
          <w:sz w:val="20"/>
          <w:szCs w:val="20"/>
        </w:rPr>
      </w:pPr>
      <w:r>
        <w:rPr>
          <w:color w:val="000000"/>
          <w:sz w:val="20"/>
          <w:szCs w:val="20"/>
        </w:rPr>
        <w:t xml:space="preserve">74) </w:t>
      </w:r>
      <w:r w:rsidR="0076582B">
        <w:rPr>
          <w:color w:val="000000"/>
          <w:sz w:val="20"/>
          <w:szCs w:val="20"/>
        </w:rPr>
        <w:t>Which of the following would be considered an asset limited as to use?</w:t>
      </w:r>
    </w:p>
    <w:p w:rsidR="0076582B" w:rsidRDefault="008552B2" w:rsidP="00AA5250">
      <w:pPr>
        <w:spacing w:line="240" w:lineRule="auto"/>
        <w:rPr>
          <w:color w:val="000000"/>
          <w:sz w:val="20"/>
          <w:szCs w:val="20"/>
        </w:rPr>
      </w:pPr>
      <w:r>
        <w:rPr>
          <w:color w:val="000000"/>
          <w:sz w:val="20"/>
          <w:szCs w:val="20"/>
        </w:rPr>
        <w:t xml:space="preserve">Answer:   </w:t>
      </w:r>
      <w:r w:rsidR="0076582B">
        <w:rPr>
          <w:color w:val="000000"/>
          <w:sz w:val="20"/>
          <w:szCs w:val="20"/>
        </w:rPr>
        <w:t>Cash the board of directors has designated for equipment acquisitions.</w:t>
      </w:r>
    </w:p>
    <w:p w:rsidR="0076582B" w:rsidRDefault="0076582B" w:rsidP="00AA5250">
      <w:pPr>
        <w:spacing w:line="240" w:lineRule="auto"/>
        <w:rPr>
          <w:color w:val="000000"/>
          <w:sz w:val="20"/>
          <w:szCs w:val="20"/>
        </w:rPr>
      </w:pPr>
    </w:p>
    <w:p w:rsidR="0076582B" w:rsidRDefault="008552B2" w:rsidP="00AA5250">
      <w:pPr>
        <w:spacing w:line="240" w:lineRule="auto"/>
        <w:rPr>
          <w:color w:val="000000"/>
          <w:sz w:val="20"/>
          <w:szCs w:val="20"/>
        </w:rPr>
      </w:pPr>
      <w:r>
        <w:rPr>
          <w:color w:val="000000"/>
          <w:sz w:val="20"/>
          <w:szCs w:val="20"/>
        </w:rPr>
        <w:t xml:space="preserve">75) </w:t>
      </w:r>
      <w:r w:rsidR="0076582B">
        <w:rPr>
          <w:color w:val="000000"/>
          <w:sz w:val="20"/>
          <w:szCs w:val="20"/>
        </w:rPr>
        <w:t>A hospital originally recorded all patient services it provided as a $500,000 debit to accounts receivable. Upon review the hospital determined that a contractual adjustment of $200,000 needs to be made, and estimated bad debts of $5,000 need to be recorded. In addition, at the time the receivable was recorded the hospital did not realize $100,000 should be considered charity services. Based on the information provided, what is the net amount of accounts receivable that the hospital would report on its financial statements?</w:t>
      </w:r>
    </w:p>
    <w:p w:rsidR="0076582B" w:rsidRPr="00AA5250" w:rsidRDefault="008552B2" w:rsidP="00AA5250">
      <w:pPr>
        <w:spacing w:line="240" w:lineRule="auto"/>
        <w:rPr>
          <w:rFonts w:ascii="Times New Roman" w:eastAsia="Times New Roman" w:hAnsi="Times New Roman" w:cs="Times New Roman"/>
          <w:color w:val="6B6B6B"/>
          <w:sz w:val="21"/>
          <w:szCs w:val="21"/>
        </w:rPr>
      </w:pPr>
      <w:r>
        <w:rPr>
          <w:color w:val="000000"/>
          <w:sz w:val="20"/>
          <w:szCs w:val="20"/>
        </w:rPr>
        <w:t xml:space="preserve">Answer:   </w:t>
      </w:r>
      <w:bookmarkStart w:id="0" w:name="_GoBack"/>
      <w:bookmarkEnd w:id="0"/>
      <w:r w:rsidR="009C71F9">
        <w:rPr>
          <w:color w:val="000000"/>
          <w:sz w:val="20"/>
          <w:szCs w:val="20"/>
        </w:rPr>
        <w:t>$195</w:t>
      </w:r>
      <w:r w:rsidR="0074216C">
        <w:rPr>
          <w:color w:val="000000"/>
          <w:sz w:val="20"/>
          <w:szCs w:val="20"/>
        </w:rPr>
        <w:t>000</w:t>
      </w:r>
    </w:p>
    <w:p w:rsidR="0097304E" w:rsidRPr="0097304E" w:rsidRDefault="0097304E" w:rsidP="0097304E">
      <w:pPr>
        <w:spacing w:line="240" w:lineRule="auto"/>
        <w:rPr>
          <w:rFonts w:ascii="Times New Roman" w:eastAsia="Times New Roman" w:hAnsi="Times New Roman" w:cs="Times New Roman"/>
          <w:color w:val="6B6B6B"/>
          <w:sz w:val="21"/>
          <w:szCs w:val="21"/>
        </w:rPr>
      </w:pPr>
    </w:p>
    <w:p w:rsidR="0097304E" w:rsidRDefault="0097304E">
      <w:pPr>
        <w:rPr>
          <w:color w:val="000000"/>
          <w:sz w:val="20"/>
          <w:szCs w:val="20"/>
        </w:rPr>
      </w:pPr>
    </w:p>
    <w:p w:rsidR="0097304E" w:rsidRDefault="0097304E">
      <w:pPr>
        <w:rPr>
          <w:color w:val="000000"/>
          <w:sz w:val="20"/>
          <w:szCs w:val="20"/>
        </w:rPr>
      </w:pPr>
    </w:p>
    <w:p w:rsidR="0097304E" w:rsidRDefault="0097304E">
      <w:pPr>
        <w:rPr>
          <w:color w:val="000000"/>
          <w:sz w:val="20"/>
          <w:szCs w:val="20"/>
        </w:rPr>
      </w:pPr>
    </w:p>
    <w:p w:rsidR="0097304E" w:rsidRDefault="0097304E">
      <w:pPr>
        <w:rPr>
          <w:color w:val="000000"/>
          <w:sz w:val="20"/>
          <w:szCs w:val="20"/>
        </w:rPr>
      </w:pPr>
    </w:p>
    <w:p w:rsidR="006E545D" w:rsidRDefault="006E545D">
      <w:pPr>
        <w:rPr>
          <w:color w:val="000000"/>
          <w:sz w:val="20"/>
          <w:szCs w:val="20"/>
        </w:rPr>
      </w:pPr>
    </w:p>
    <w:p w:rsidR="006E545D" w:rsidRDefault="006E545D"/>
    <w:sectPr w:rsidR="006E5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F065C47"/>
    <w:multiLevelType w:val="hybridMultilevel"/>
    <w:tmpl w:val="1010B05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EA7"/>
    <w:rsid w:val="002B48A5"/>
    <w:rsid w:val="00342C12"/>
    <w:rsid w:val="00386726"/>
    <w:rsid w:val="006E545D"/>
    <w:rsid w:val="0074216C"/>
    <w:rsid w:val="0076582B"/>
    <w:rsid w:val="00770EA7"/>
    <w:rsid w:val="00834252"/>
    <w:rsid w:val="008552B2"/>
    <w:rsid w:val="008556D4"/>
    <w:rsid w:val="008F7C87"/>
    <w:rsid w:val="0097304E"/>
    <w:rsid w:val="009C71F9"/>
    <w:rsid w:val="00AA5250"/>
    <w:rsid w:val="00AD5869"/>
    <w:rsid w:val="00DC2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83CA51-EA1F-4A90-B4CA-C7C3C74B8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2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006747">
      <w:bodyDiv w:val="1"/>
      <w:marLeft w:val="0"/>
      <w:marRight w:val="0"/>
      <w:marTop w:val="0"/>
      <w:marBottom w:val="0"/>
      <w:divBdr>
        <w:top w:val="none" w:sz="0" w:space="0" w:color="auto"/>
        <w:left w:val="none" w:sz="0" w:space="0" w:color="auto"/>
        <w:bottom w:val="none" w:sz="0" w:space="0" w:color="auto"/>
        <w:right w:val="none" w:sz="0" w:space="0" w:color="auto"/>
      </w:divBdr>
      <w:divsChild>
        <w:div w:id="1866404105">
          <w:marLeft w:val="0"/>
          <w:marRight w:val="0"/>
          <w:marTop w:val="0"/>
          <w:marBottom w:val="0"/>
          <w:divBdr>
            <w:top w:val="none" w:sz="0" w:space="0" w:color="auto"/>
            <w:left w:val="none" w:sz="0" w:space="0" w:color="auto"/>
            <w:bottom w:val="none" w:sz="0" w:space="0" w:color="auto"/>
            <w:right w:val="none" w:sz="0" w:space="0" w:color="auto"/>
          </w:divBdr>
          <w:divsChild>
            <w:div w:id="494418354">
              <w:marLeft w:val="180"/>
              <w:marRight w:val="180"/>
              <w:marTop w:val="0"/>
              <w:marBottom w:val="300"/>
              <w:divBdr>
                <w:top w:val="none" w:sz="0" w:space="0" w:color="auto"/>
                <w:left w:val="none" w:sz="0" w:space="0" w:color="auto"/>
                <w:bottom w:val="none" w:sz="0" w:space="0" w:color="auto"/>
                <w:right w:val="none" w:sz="0" w:space="0" w:color="auto"/>
              </w:divBdr>
              <w:divsChild>
                <w:div w:id="1005746305">
                  <w:marLeft w:val="210"/>
                  <w:marRight w:val="0"/>
                  <w:marTop w:val="0"/>
                  <w:marBottom w:val="0"/>
                  <w:divBdr>
                    <w:top w:val="none" w:sz="0" w:space="0" w:color="auto"/>
                    <w:left w:val="none" w:sz="0" w:space="0" w:color="auto"/>
                    <w:bottom w:val="none" w:sz="0" w:space="0" w:color="auto"/>
                    <w:right w:val="none" w:sz="0" w:space="0" w:color="auto"/>
                  </w:divBdr>
                  <w:divsChild>
                    <w:div w:id="2078093670">
                      <w:marLeft w:val="0"/>
                      <w:marRight w:val="0"/>
                      <w:marTop w:val="0"/>
                      <w:marBottom w:val="0"/>
                      <w:divBdr>
                        <w:top w:val="none" w:sz="0" w:space="0" w:color="auto"/>
                        <w:left w:val="none" w:sz="0" w:space="0" w:color="auto"/>
                        <w:bottom w:val="none" w:sz="0" w:space="0" w:color="auto"/>
                        <w:right w:val="none" w:sz="0" w:space="0" w:color="auto"/>
                      </w:divBdr>
                      <w:divsChild>
                        <w:div w:id="122070407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 w:id="602231458">
      <w:bodyDiv w:val="1"/>
      <w:marLeft w:val="0"/>
      <w:marRight w:val="0"/>
      <w:marTop w:val="0"/>
      <w:marBottom w:val="0"/>
      <w:divBdr>
        <w:top w:val="none" w:sz="0" w:space="0" w:color="auto"/>
        <w:left w:val="none" w:sz="0" w:space="0" w:color="auto"/>
        <w:bottom w:val="none" w:sz="0" w:space="0" w:color="auto"/>
        <w:right w:val="none" w:sz="0" w:space="0" w:color="auto"/>
      </w:divBdr>
      <w:divsChild>
        <w:div w:id="1830052835">
          <w:marLeft w:val="0"/>
          <w:marRight w:val="0"/>
          <w:marTop w:val="0"/>
          <w:marBottom w:val="0"/>
          <w:divBdr>
            <w:top w:val="none" w:sz="0" w:space="0" w:color="auto"/>
            <w:left w:val="none" w:sz="0" w:space="0" w:color="auto"/>
            <w:bottom w:val="none" w:sz="0" w:space="0" w:color="auto"/>
            <w:right w:val="none" w:sz="0" w:space="0" w:color="auto"/>
          </w:divBdr>
          <w:divsChild>
            <w:div w:id="377752960">
              <w:marLeft w:val="180"/>
              <w:marRight w:val="180"/>
              <w:marTop w:val="0"/>
              <w:marBottom w:val="300"/>
              <w:divBdr>
                <w:top w:val="none" w:sz="0" w:space="0" w:color="auto"/>
                <w:left w:val="none" w:sz="0" w:space="0" w:color="auto"/>
                <w:bottom w:val="none" w:sz="0" w:space="0" w:color="auto"/>
                <w:right w:val="none" w:sz="0" w:space="0" w:color="auto"/>
              </w:divBdr>
              <w:divsChild>
                <w:div w:id="465129311">
                  <w:marLeft w:val="210"/>
                  <w:marRight w:val="0"/>
                  <w:marTop w:val="0"/>
                  <w:marBottom w:val="0"/>
                  <w:divBdr>
                    <w:top w:val="none" w:sz="0" w:space="0" w:color="auto"/>
                    <w:left w:val="none" w:sz="0" w:space="0" w:color="auto"/>
                    <w:bottom w:val="none" w:sz="0" w:space="0" w:color="auto"/>
                    <w:right w:val="none" w:sz="0" w:space="0" w:color="auto"/>
                  </w:divBdr>
                  <w:divsChild>
                    <w:div w:id="1282763541">
                      <w:marLeft w:val="0"/>
                      <w:marRight w:val="0"/>
                      <w:marTop w:val="0"/>
                      <w:marBottom w:val="0"/>
                      <w:divBdr>
                        <w:top w:val="none" w:sz="0" w:space="0" w:color="auto"/>
                        <w:left w:val="none" w:sz="0" w:space="0" w:color="auto"/>
                        <w:bottom w:val="none" w:sz="0" w:space="0" w:color="auto"/>
                        <w:right w:val="none" w:sz="0" w:space="0" w:color="auto"/>
                      </w:divBdr>
                      <w:divsChild>
                        <w:div w:id="1324507762">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 w:id="1264919597">
      <w:bodyDiv w:val="1"/>
      <w:marLeft w:val="0"/>
      <w:marRight w:val="0"/>
      <w:marTop w:val="0"/>
      <w:marBottom w:val="0"/>
      <w:divBdr>
        <w:top w:val="none" w:sz="0" w:space="0" w:color="auto"/>
        <w:left w:val="none" w:sz="0" w:space="0" w:color="auto"/>
        <w:bottom w:val="none" w:sz="0" w:space="0" w:color="auto"/>
        <w:right w:val="none" w:sz="0" w:space="0" w:color="auto"/>
      </w:divBdr>
      <w:divsChild>
        <w:div w:id="279534737">
          <w:marLeft w:val="0"/>
          <w:marRight w:val="0"/>
          <w:marTop w:val="0"/>
          <w:marBottom w:val="0"/>
          <w:divBdr>
            <w:top w:val="none" w:sz="0" w:space="0" w:color="auto"/>
            <w:left w:val="none" w:sz="0" w:space="0" w:color="auto"/>
            <w:bottom w:val="none" w:sz="0" w:space="0" w:color="auto"/>
            <w:right w:val="none" w:sz="0" w:space="0" w:color="auto"/>
          </w:divBdr>
          <w:divsChild>
            <w:div w:id="1557470767">
              <w:marLeft w:val="180"/>
              <w:marRight w:val="180"/>
              <w:marTop w:val="0"/>
              <w:marBottom w:val="300"/>
              <w:divBdr>
                <w:top w:val="none" w:sz="0" w:space="0" w:color="auto"/>
                <w:left w:val="none" w:sz="0" w:space="0" w:color="auto"/>
                <w:bottom w:val="none" w:sz="0" w:space="0" w:color="auto"/>
                <w:right w:val="none" w:sz="0" w:space="0" w:color="auto"/>
              </w:divBdr>
              <w:divsChild>
                <w:div w:id="1600598205">
                  <w:marLeft w:val="210"/>
                  <w:marRight w:val="0"/>
                  <w:marTop w:val="0"/>
                  <w:marBottom w:val="0"/>
                  <w:divBdr>
                    <w:top w:val="none" w:sz="0" w:space="0" w:color="auto"/>
                    <w:left w:val="none" w:sz="0" w:space="0" w:color="auto"/>
                    <w:bottom w:val="none" w:sz="0" w:space="0" w:color="auto"/>
                    <w:right w:val="none" w:sz="0" w:space="0" w:color="auto"/>
                  </w:divBdr>
                  <w:divsChild>
                    <w:div w:id="1486893399">
                      <w:marLeft w:val="0"/>
                      <w:marRight w:val="0"/>
                      <w:marTop w:val="0"/>
                      <w:marBottom w:val="0"/>
                      <w:divBdr>
                        <w:top w:val="none" w:sz="0" w:space="0" w:color="auto"/>
                        <w:left w:val="none" w:sz="0" w:space="0" w:color="auto"/>
                        <w:bottom w:val="none" w:sz="0" w:space="0" w:color="auto"/>
                        <w:right w:val="none" w:sz="0" w:space="0" w:color="auto"/>
                      </w:divBdr>
                      <w:divsChild>
                        <w:div w:id="1760757052">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 w:id="1277253925">
      <w:bodyDiv w:val="1"/>
      <w:marLeft w:val="0"/>
      <w:marRight w:val="0"/>
      <w:marTop w:val="0"/>
      <w:marBottom w:val="0"/>
      <w:divBdr>
        <w:top w:val="none" w:sz="0" w:space="0" w:color="auto"/>
        <w:left w:val="none" w:sz="0" w:space="0" w:color="auto"/>
        <w:bottom w:val="none" w:sz="0" w:space="0" w:color="auto"/>
        <w:right w:val="none" w:sz="0" w:space="0" w:color="auto"/>
      </w:divBdr>
      <w:divsChild>
        <w:div w:id="873615171">
          <w:marLeft w:val="0"/>
          <w:marRight w:val="0"/>
          <w:marTop w:val="0"/>
          <w:marBottom w:val="0"/>
          <w:divBdr>
            <w:top w:val="none" w:sz="0" w:space="0" w:color="auto"/>
            <w:left w:val="none" w:sz="0" w:space="0" w:color="auto"/>
            <w:bottom w:val="none" w:sz="0" w:space="0" w:color="auto"/>
            <w:right w:val="none" w:sz="0" w:space="0" w:color="auto"/>
          </w:divBdr>
          <w:divsChild>
            <w:div w:id="1150904679">
              <w:marLeft w:val="0"/>
              <w:marRight w:val="0"/>
              <w:marTop w:val="0"/>
              <w:marBottom w:val="0"/>
              <w:divBdr>
                <w:top w:val="none" w:sz="0" w:space="0" w:color="auto"/>
                <w:left w:val="none" w:sz="0" w:space="0" w:color="auto"/>
                <w:bottom w:val="none" w:sz="0" w:space="0" w:color="auto"/>
                <w:right w:val="none" w:sz="0" w:space="0" w:color="auto"/>
              </w:divBdr>
              <w:divsChild>
                <w:div w:id="860584300">
                  <w:marLeft w:val="180"/>
                  <w:marRight w:val="180"/>
                  <w:marTop w:val="0"/>
                  <w:marBottom w:val="300"/>
                  <w:divBdr>
                    <w:top w:val="none" w:sz="0" w:space="0" w:color="auto"/>
                    <w:left w:val="none" w:sz="0" w:space="0" w:color="auto"/>
                    <w:bottom w:val="none" w:sz="0" w:space="0" w:color="auto"/>
                    <w:right w:val="none" w:sz="0" w:space="0" w:color="auto"/>
                  </w:divBdr>
                  <w:divsChild>
                    <w:div w:id="1466659769">
                      <w:marLeft w:val="210"/>
                      <w:marRight w:val="0"/>
                      <w:marTop w:val="0"/>
                      <w:marBottom w:val="0"/>
                      <w:divBdr>
                        <w:top w:val="none" w:sz="0" w:space="0" w:color="auto"/>
                        <w:left w:val="none" w:sz="0" w:space="0" w:color="auto"/>
                        <w:bottom w:val="none" w:sz="0" w:space="0" w:color="auto"/>
                        <w:right w:val="none" w:sz="0" w:space="0" w:color="auto"/>
                      </w:divBdr>
                      <w:divsChild>
                        <w:div w:id="1776091145">
                          <w:marLeft w:val="0"/>
                          <w:marRight w:val="0"/>
                          <w:marTop w:val="0"/>
                          <w:marBottom w:val="0"/>
                          <w:divBdr>
                            <w:top w:val="none" w:sz="0" w:space="0" w:color="auto"/>
                            <w:left w:val="none" w:sz="0" w:space="0" w:color="auto"/>
                            <w:bottom w:val="none" w:sz="0" w:space="0" w:color="auto"/>
                            <w:right w:val="none" w:sz="0" w:space="0" w:color="auto"/>
                          </w:divBdr>
                          <w:divsChild>
                            <w:div w:id="1330526895">
                              <w:marLeft w:val="0"/>
                              <w:marRight w:val="0"/>
                              <w:marTop w:val="0"/>
                              <w:marBottom w:val="0"/>
                              <w:divBdr>
                                <w:top w:val="none" w:sz="0" w:space="0" w:color="auto"/>
                                <w:left w:val="none" w:sz="0" w:space="0" w:color="auto"/>
                                <w:bottom w:val="none" w:sz="0" w:space="0" w:color="auto"/>
                                <w:right w:val="none" w:sz="0" w:space="0" w:color="auto"/>
                              </w:divBdr>
                              <w:divsChild>
                                <w:div w:id="10867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080453">
      <w:bodyDiv w:val="1"/>
      <w:marLeft w:val="0"/>
      <w:marRight w:val="0"/>
      <w:marTop w:val="0"/>
      <w:marBottom w:val="0"/>
      <w:divBdr>
        <w:top w:val="none" w:sz="0" w:space="0" w:color="auto"/>
        <w:left w:val="none" w:sz="0" w:space="0" w:color="auto"/>
        <w:bottom w:val="none" w:sz="0" w:space="0" w:color="auto"/>
        <w:right w:val="none" w:sz="0" w:space="0" w:color="auto"/>
      </w:divBdr>
      <w:divsChild>
        <w:div w:id="321470604">
          <w:marLeft w:val="0"/>
          <w:marRight w:val="0"/>
          <w:marTop w:val="0"/>
          <w:marBottom w:val="0"/>
          <w:divBdr>
            <w:top w:val="none" w:sz="0" w:space="0" w:color="auto"/>
            <w:left w:val="none" w:sz="0" w:space="0" w:color="auto"/>
            <w:bottom w:val="none" w:sz="0" w:space="0" w:color="auto"/>
            <w:right w:val="none" w:sz="0" w:space="0" w:color="auto"/>
          </w:divBdr>
          <w:divsChild>
            <w:div w:id="1841307073">
              <w:marLeft w:val="180"/>
              <w:marRight w:val="180"/>
              <w:marTop w:val="0"/>
              <w:marBottom w:val="300"/>
              <w:divBdr>
                <w:top w:val="none" w:sz="0" w:space="0" w:color="auto"/>
                <w:left w:val="none" w:sz="0" w:space="0" w:color="auto"/>
                <w:bottom w:val="none" w:sz="0" w:space="0" w:color="auto"/>
                <w:right w:val="none" w:sz="0" w:space="0" w:color="auto"/>
              </w:divBdr>
              <w:divsChild>
                <w:div w:id="1243904308">
                  <w:marLeft w:val="210"/>
                  <w:marRight w:val="0"/>
                  <w:marTop w:val="0"/>
                  <w:marBottom w:val="0"/>
                  <w:divBdr>
                    <w:top w:val="none" w:sz="0" w:space="0" w:color="auto"/>
                    <w:left w:val="none" w:sz="0" w:space="0" w:color="auto"/>
                    <w:bottom w:val="none" w:sz="0" w:space="0" w:color="auto"/>
                    <w:right w:val="none" w:sz="0" w:space="0" w:color="auto"/>
                  </w:divBdr>
                  <w:divsChild>
                    <w:div w:id="823472207">
                      <w:marLeft w:val="0"/>
                      <w:marRight w:val="0"/>
                      <w:marTop w:val="0"/>
                      <w:marBottom w:val="0"/>
                      <w:divBdr>
                        <w:top w:val="none" w:sz="0" w:space="0" w:color="auto"/>
                        <w:left w:val="none" w:sz="0" w:space="0" w:color="auto"/>
                        <w:bottom w:val="none" w:sz="0" w:space="0" w:color="auto"/>
                        <w:right w:val="none" w:sz="0" w:space="0" w:color="auto"/>
                      </w:divBdr>
                      <w:divsChild>
                        <w:div w:id="195836699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TotalTime>
  <Pages>1</Pages>
  <Words>2557</Words>
  <Characters>14577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Browne</dc:creator>
  <cp:keywords/>
  <dc:description/>
  <cp:lastModifiedBy>Sonal</cp:lastModifiedBy>
  <cp:revision>9</cp:revision>
  <dcterms:created xsi:type="dcterms:W3CDTF">2017-07-24T03:30:00Z</dcterms:created>
  <dcterms:modified xsi:type="dcterms:W3CDTF">2021-01-22T05:16:00Z</dcterms:modified>
</cp:coreProperties>
</file>