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619" w:rsidRPr="003507F0" w:rsidRDefault="00707619" w:rsidP="002E5563">
      <w:pPr>
        <w:spacing w:after="0" w:line="480" w:lineRule="auto"/>
        <w:ind w:firstLine="0"/>
        <w:jc w:val="center"/>
        <w:rPr>
          <w:rFonts w:ascii="Times New Roman" w:eastAsia="Cambria" w:hAnsi="Times New Roman"/>
          <w:b/>
          <w:sz w:val="24"/>
          <w:szCs w:val="24"/>
        </w:rPr>
      </w:pPr>
      <w:r w:rsidRPr="003507F0">
        <w:rPr>
          <w:rFonts w:ascii="Times New Roman" w:eastAsia="Cambria" w:hAnsi="Times New Roman"/>
          <w:b/>
          <w:sz w:val="24"/>
          <w:szCs w:val="24"/>
        </w:rPr>
        <w:t xml:space="preserve">Best Alternative </w:t>
      </w:r>
      <w:r w:rsidR="003507F0" w:rsidRPr="003507F0">
        <w:rPr>
          <w:rFonts w:ascii="Times New Roman" w:eastAsia="Cambria" w:hAnsi="Times New Roman"/>
          <w:b/>
          <w:sz w:val="24"/>
          <w:szCs w:val="24"/>
        </w:rPr>
        <w:t xml:space="preserve">Investment </w:t>
      </w:r>
      <w:r w:rsidRPr="003507F0">
        <w:rPr>
          <w:rFonts w:ascii="Times New Roman" w:eastAsia="Cambria" w:hAnsi="Times New Roman"/>
          <w:b/>
          <w:sz w:val="24"/>
          <w:szCs w:val="24"/>
        </w:rPr>
        <w:t>Option</w:t>
      </w:r>
    </w:p>
    <w:p w:rsidR="00707619" w:rsidRPr="002E5563" w:rsidRDefault="00707619" w:rsidP="002E5563">
      <w:pPr>
        <w:spacing w:after="0" w:line="480" w:lineRule="auto"/>
        <w:jc w:val="left"/>
        <w:rPr>
          <w:rFonts w:ascii="Times New Roman" w:eastAsia="Cambria" w:hAnsi="Times New Roman"/>
          <w:sz w:val="12"/>
          <w:szCs w:val="12"/>
        </w:rPr>
      </w:pPr>
    </w:p>
    <w:p w:rsidR="003507F0" w:rsidRDefault="002E5563" w:rsidP="002E5563">
      <w:pPr>
        <w:spacing w:after="0" w:line="480" w:lineRule="auto"/>
        <w:jc w:val="left"/>
        <w:rPr>
          <w:rFonts w:ascii="Times New Roman" w:eastAsia="Cambria" w:hAnsi="Times New Roman"/>
          <w:sz w:val="24"/>
          <w:szCs w:val="24"/>
        </w:rPr>
      </w:pPr>
      <w:r>
        <w:rPr>
          <w:rFonts w:ascii="Times New Roman" w:eastAsia="Cambria" w:hAnsi="Times New Roman"/>
          <w:sz w:val="24"/>
          <w:szCs w:val="24"/>
        </w:rPr>
        <w:t xml:space="preserve">      </w:t>
      </w:r>
      <w:r w:rsidR="0082137D" w:rsidRPr="003507F0">
        <w:rPr>
          <w:rFonts w:ascii="Times New Roman" w:eastAsia="Cambria" w:hAnsi="Times New Roman"/>
          <w:sz w:val="24"/>
          <w:szCs w:val="24"/>
        </w:rPr>
        <w:t xml:space="preserve">Western Technology </w:t>
      </w:r>
      <w:r w:rsidR="0082137D" w:rsidRPr="003507F0">
        <w:rPr>
          <w:rFonts w:ascii="Times New Roman" w:eastAsia="Cambria" w:hAnsi="Times New Roman"/>
          <w:sz w:val="24"/>
          <w:szCs w:val="24"/>
        </w:rPr>
        <w:t>Inc.</w:t>
      </w:r>
      <w:r w:rsidR="0082137D" w:rsidRPr="003507F0">
        <w:rPr>
          <w:rFonts w:ascii="Times New Roman" w:eastAsia="Cambria" w:hAnsi="Times New Roman"/>
          <w:sz w:val="24"/>
          <w:szCs w:val="24"/>
        </w:rPr>
        <w:t xml:space="preserve"> has </w:t>
      </w:r>
      <w:r w:rsidR="0082137D" w:rsidRPr="003507F0">
        <w:rPr>
          <w:rFonts w:ascii="Times New Roman" w:eastAsia="Cambria" w:hAnsi="Times New Roman"/>
          <w:sz w:val="24"/>
          <w:szCs w:val="24"/>
        </w:rPr>
        <w:t>$100, 000</w:t>
      </w:r>
      <w:r w:rsidR="0082137D" w:rsidRPr="003507F0">
        <w:rPr>
          <w:rFonts w:ascii="Times New Roman" w:eastAsia="Cambria" w:hAnsi="Times New Roman"/>
          <w:sz w:val="24"/>
          <w:szCs w:val="24"/>
        </w:rPr>
        <w:t xml:space="preserve"> available to make investment</w:t>
      </w:r>
      <w:r w:rsidR="0082137D" w:rsidRPr="003507F0">
        <w:rPr>
          <w:rFonts w:ascii="Times New Roman" w:eastAsia="Cambria" w:hAnsi="Times New Roman"/>
          <w:sz w:val="24"/>
          <w:szCs w:val="24"/>
        </w:rPr>
        <w:t xml:space="preserve"> in a short term security for one-year</w:t>
      </w:r>
      <w:r w:rsidR="0082137D" w:rsidRPr="003507F0">
        <w:rPr>
          <w:rFonts w:ascii="Times New Roman" w:eastAsia="Cambria" w:hAnsi="Times New Roman"/>
          <w:sz w:val="24"/>
          <w:szCs w:val="24"/>
        </w:rPr>
        <w:t xml:space="preserve">. There are four investment options available to </w:t>
      </w:r>
      <w:r w:rsidR="0082137D" w:rsidRPr="003507F0">
        <w:rPr>
          <w:rFonts w:ascii="Times New Roman" w:eastAsia="Cambria" w:hAnsi="Times New Roman"/>
          <w:sz w:val="24"/>
          <w:szCs w:val="24"/>
        </w:rPr>
        <w:t>CD with a 12-month maturity wit</w:t>
      </w:r>
      <w:bookmarkStart w:id="0" w:name="_GoBack"/>
      <w:bookmarkEnd w:id="0"/>
      <w:r w:rsidR="0082137D" w:rsidRPr="003507F0">
        <w:rPr>
          <w:rFonts w:ascii="Times New Roman" w:eastAsia="Cambria" w:hAnsi="Times New Roman"/>
          <w:sz w:val="24"/>
          <w:szCs w:val="24"/>
        </w:rPr>
        <w:t>h 1.88% APR, CD with a 12-month maturity with 1.71% APR, Treasury bill with a maturity of one year, and Money Market Account</w:t>
      </w:r>
      <w:r w:rsidR="0082137D" w:rsidRPr="003507F0">
        <w:rPr>
          <w:rFonts w:ascii="Times New Roman" w:eastAsia="Cambria" w:hAnsi="Times New Roman"/>
          <w:sz w:val="24"/>
          <w:szCs w:val="24"/>
        </w:rPr>
        <w:t xml:space="preserve">. The nominal effective rate of return (EAR) of all these investment alternative are higher than that of the </w:t>
      </w:r>
      <w:r w:rsidR="0082137D" w:rsidRPr="003507F0">
        <w:rPr>
          <w:rFonts w:ascii="Times New Roman" w:eastAsia="Cambria" w:hAnsi="Times New Roman"/>
          <w:sz w:val="24"/>
          <w:szCs w:val="24"/>
        </w:rPr>
        <w:t>nominal effective rate of return (EAR) of</w:t>
      </w:r>
      <w:r w:rsidR="0082137D" w:rsidRPr="003507F0">
        <w:rPr>
          <w:rFonts w:ascii="Times New Roman" w:eastAsia="Cambria" w:hAnsi="Times New Roman"/>
          <w:sz w:val="24"/>
          <w:szCs w:val="24"/>
        </w:rPr>
        <w:t xml:space="preserve"> current checking account. Thus, it will be better for </w:t>
      </w:r>
      <w:r w:rsidR="0082137D" w:rsidRPr="003507F0">
        <w:rPr>
          <w:rFonts w:ascii="Times New Roman" w:eastAsia="Cambria" w:hAnsi="Times New Roman"/>
          <w:sz w:val="24"/>
          <w:szCs w:val="24"/>
        </w:rPr>
        <w:t>Western Technology Inc.</w:t>
      </w:r>
      <w:r w:rsidR="0082137D" w:rsidRPr="003507F0">
        <w:rPr>
          <w:rFonts w:ascii="Times New Roman" w:eastAsia="Cambria" w:hAnsi="Times New Roman"/>
          <w:sz w:val="24"/>
          <w:szCs w:val="24"/>
        </w:rPr>
        <w:t xml:space="preserve"> to invest money </w:t>
      </w:r>
      <w:r w:rsidR="00AB0217" w:rsidRPr="003507F0">
        <w:rPr>
          <w:rFonts w:ascii="Times New Roman" w:eastAsia="Cambria" w:hAnsi="Times New Roman"/>
          <w:sz w:val="24"/>
          <w:szCs w:val="24"/>
        </w:rPr>
        <w:t xml:space="preserve">among any one of the four investment options available. </w:t>
      </w:r>
      <w:r w:rsidR="001860FC" w:rsidRPr="003507F0">
        <w:rPr>
          <w:rFonts w:ascii="Times New Roman" w:eastAsia="Cambria" w:hAnsi="Times New Roman"/>
          <w:sz w:val="24"/>
          <w:szCs w:val="24"/>
        </w:rPr>
        <w:t xml:space="preserve">Now, the nominal effective interest rates are 1.90%, 1.72%, 0.30%, and 1.11% for the </w:t>
      </w:r>
      <w:r w:rsidR="001860FC" w:rsidRPr="003507F0">
        <w:rPr>
          <w:rFonts w:ascii="Times New Roman" w:eastAsia="Cambria" w:hAnsi="Times New Roman"/>
          <w:sz w:val="24"/>
          <w:szCs w:val="24"/>
        </w:rPr>
        <w:t>CD with a 12-month maturity</w:t>
      </w:r>
      <w:r w:rsidR="001860FC" w:rsidRPr="003507F0">
        <w:rPr>
          <w:rFonts w:ascii="Times New Roman" w:eastAsia="Cambria" w:hAnsi="Times New Roman"/>
          <w:sz w:val="24"/>
          <w:szCs w:val="24"/>
        </w:rPr>
        <w:t xml:space="preserve"> yielding 1.88% monthly compounded APR,  </w:t>
      </w:r>
      <w:r w:rsidR="001860FC" w:rsidRPr="003507F0">
        <w:rPr>
          <w:rFonts w:ascii="Times New Roman" w:eastAsia="Cambria" w:hAnsi="Times New Roman"/>
          <w:sz w:val="24"/>
          <w:szCs w:val="24"/>
        </w:rPr>
        <w:t>CD with a yielding</w:t>
      </w:r>
      <w:r w:rsidR="001860FC" w:rsidRPr="003507F0">
        <w:rPr>
          <w:rFonts w:ascii="Times New Roman" w:eastAsia="Cambria" w:hAnsi="Times New Roman"/>
          <w:sz w:val="24"/>
          <w:szCs w:val="24"/>
        </w:rPr>
        <w:t xml:space="preserve"> 1.72</w:t>
      </w:r>
      <w:r w:rsidR="001860FC" w:rsidRPr="003507F0">
        <w:rPr>
          <w:rFonts w:ascii="Times New Roman" w:eastAsia="Cambria" w:hAnsi="Times New Roman"/>
          <w:sz w:val="24"/>
          <w:szCs w:val="24"/>
        </w:rPr>
        <w:t xml:space="preserve">% </w:t>
      </w:r>
      <w:r w:rsidR="001860FC" w:rsidRPr="003507F0">
        <w:rPr>
          <w:rFonts w:ascii="Times New Roman" w:eastAsia="Cambria" w:hAnsi="Times New Roman"/>
          <w:sz w:val="24"/>
          <w:szCs w:val="24"/>
        </w:rPr>
        <w:t>quarterly</w:t>
      </w:r>
      <w:r w:rsidR="001860FC" w:rsidRPr="003507F0">
        <w:rPr>
          <w:rFonts w:ascii="Times New Roman" w:eastAsia="Cambria" w:hAnsi="Times New Roman"/>
          <w:sz w:val="24"/>
          <w:szCs w:val="24"/>
        </w:rPr>
        <w:t xml:space="preserve"> compounded APR</w:t>
      </w:r>
      <w:r w:rsidR="001860FC" w:rsidRPr="003507F0">
        <w:rPr>
          <w:rFonts w:ascii="Times New Roman" w:eastAsia="Cambria" w:hAnsi="Times New Roman"/>
          <w:sz w:val="24"/>
          <w:szCs w:val="24"/>
        </w:rPr>
        <w:t>, t</w:t>
      </w:r>
      <w:r w:rsidR="001860FC" w:rsidRPr="003507F0">
        <w:rPr>
          <w:rFonts w:ascii="Times New Roman" w:eastAsia="Cambria" w:hAnsi="Times New Roman"/>
          <w:sz w:val="24"/>
          <w:szCs w:val="24"/>
        </w:rPr>
        <w:t>reasury bill with a maturity of one year</w:t>
      </w:r>
      <w:r w:rsidR="001860FC" w:rsidRPr="003507F0">
        <w:rPr>
          <w:rFonts w:ascii="Times New Roman" w:eastAsia="Cambria" w:hAnsi="Times New Roman"/>
          <w:sz w:val="24"/>
          <w:szCs w:val="24"/>
        </w:rPr>
        <w:t>, and money m</w:t>
      </w:r>
      <w:r w:rsidR="001860FC" w:rsidRPr="003507F0">
        <w:rPr>
          <w:rFonts w:ascii="Times New Roman" w:eastAsia="Cambria" w:hAnsi="Times New Roman"/>
          <w:sz w:val="24"/>
          <w:szCs w:val="24"/>
        </w:rPr>
        <w:t xml:space="preserve">arket </w:t>
      </w:r>
      <w:r w:rsidR="001860FC" w:rsidRPr="003507F0">
        <w:rPr>
          <w:rFonts w:ascii="Times New Roman" w:eastAsia="Cambria" w:hAnsi="Times New Roman"/>
          <w:sz w:val="24"/>
          <w:szCs w:val="24"/>
        </w:rPr>
        <w:t>a</w:t>
      </w:r>
      <w:r w:rsidR="001860FC" w:rsidRPr="003507F0">
        <w:rPr>
          <w:rFonts w:ascii="Times New Roman" w:eastAsia="Cambria" w:hAnsi="Times New Roman"/>
          <w:sz w:val="24"/>
          <w:szCs w:val="24"/>
        </w:rPr>
        <w:t>ccount</w:t>
      </w:r>
      <w:r w:rsidR="001860FC" w:rsidRPr="003507F0">
        <w:rPr>
          <w:rFonts w:ascii="Times New Roman" w:eastAsia="Cambria" w:hAnsi="Times New Roman"/>
          <w:sz w:val="24"/>
          <w:szCs w:val="24"/>
        </w:rPr>
        <w:t xml:space="preserve"> yielding </w:t>
      </w:r>
      <w:r w:rsidR="001860FC" w:rsidRPr="003507F0">
        <w:rPr>
          <w:rFonts w:ascii="Times New Roman" w:eastAsia="Cambria" w:hAnsi="Times New Roman"/>
          <w:sz w:val="24"/>
          <w:szCs w:val="24"/>
        </w:rPr>
        <w:t>1.</w:t>
      </w:r>
      <w:r w:rsidR="008C1AB9" w:rsidRPr="003507F0">
        <w:rPr>
          <w:rFonts w:ascii="Times New Roman" w:eastAsia="Cambria" w:hAnsi="Times New Roman"/>
          <w:sz w:val="24"/>
          <w:szCs w:val="24"/>
        </w:rPr>
        <w:t>10</w:t>
      </w:r>
      <w:r w:rsidR="001860FC" w:rsidRPr="003507F0">
        <w:rPr>
          <w:rFonts w:ascii="Times New Roman" w:eastAsia="Cambria" w:hAnsi="Times New Roman"/>
          <w:sz w:val="24"/>
          <w:szCs w:val="24"/>
        </w:rPr>
        <w:t>% monthly compounded APR</w:t>
      </w:r>
      <w:r w:rsidR="008C1AB9" w:rsidRPr="003507F0">
        <w:rPr>
          <w:rFonts w:ascii="Times New Roman" w:eastAsia="Cambria" w:hAnsi="Times New Roman"/>
          <w:sz w:val="24"/>
          <w:szCs w:val="24"/>
        </w:rPr>
        <w:t xml:space="preserve"> (</w:t>
      </w:r>
      <w:r w:rsidR="004E7293" w:rsidRPr="003507F0">
        <w:rPr>
          <w:rFonts w:ascii="Times New Roman" w:eastAsia="Cambria" w:hAnsi="Times New Roman"/>
          <w:sz w:val="24"/>
          <w:szCs w:val="24"/>
        </w:rPr>
        <w:t>Appendix</w:t>
      </w:r>
      <w:r w:rsidR="008C1AB9" w:rsidRPr="003507F0">
        <w:rPr>
          <w:rFonts w:ascii="Times New Roman" w:eastAsia="Cambria" w:hAnsi="Times New Roman"/>
          <w:sz w:val="24"/>
          <w:szCs w:val="24"/>
        </w:rPr>
        <w:t xml:space="preserve"> 01). As the nominal interest rate is highest for </w:t>
      </w:r>
      <w:r w:rsidR="008C1AB9" w:rsidRPr="003507F0">
        <w:rPr>
          <w:rFonts w:ascii="Times New Roman" w:eastAsia="Cambria" w:hAnsi="Times New Roman"/>
          <w:sz w:val="24"/>
          <w:szCs w:val="24"/>
        </w:rPr>
        <w:t>CD with a 12-month maturity yielding 1.88% monthly compounded APR</w:t>
      </w:r>
      <w:r w:rsidR="008C1AB9" w:rsidRPr="003507F0">
        <w:rPr>
          <w:rFonts w:ascii="Times New Roman" w:eastAsia="Cambria" w:hAnsi="Times New Roman"/>
          <w:sz w:val="24"/>
          <w:szCs w:val="24"/>
        </w:rPr>
        <w:t xml:space="preserve"> as compared to other available investment options, </w:t>
      </w:r>
      <w:r w:rsidR="008C1AB9" w:rsidRPr="003507F0">
        <w:rPr>
          <w:rFonts w:ascii="Times New Roman" w:eastAsia="Cambria" w:hAnsi="Times New Roman"/>
          <w:sz w:val="24"/>
          <w:szCs w:val="24"/>
        </w:rPr>
        <w:t>Western Technology Inc.</w:t>
      </w:r>
      <w:r w:rsidR="008C1AB9" w:rsidRPr="003507F0">
        <w:rPr>
          <w:rFonts w:ascii="Times New Roman" w:eastAsia="Cambria" w:hAnsi="Times New Roman"/>
          <w:sz w:val="24"/>
          <w:szCs w:val="24"/>
        </w:rPr>
        <w:t xml:space="preserve"> should consider to make investment of $100000 fund in </w:t>
      </w:r>
      <w:r w:rsidR="008C1AB9" w:rsidRPr="003507F0">
        <w:rPr>
          <w:rFonts w:ascii="Times New Roman" w:eastAsia="Cambria" w:hAnsi="Times New Roman"/>
          <w:sz w:val="24"/>
          <w:szCs w:val="24"/>
        </w:rPr>
        <w:t>CD with a 12-month maturity yielding 1.88% monthly compounded APR</w:t>
      </w:r>
      <w:r w:rsidR="008C1AB9" w:rsidRPr="003507F0">
        <w:rPr>
          <w:rFonts w:ascii="Times New Roman" w:eastAsia="Cambria" w:hAnsi="Times New Roman"/>
          <w:sz w:val="24"/>
          <w:szCs w:val="24"/>
        </w:rPr>
        <w:t xml:space="preserve">. </w:t>
      </w:r>
    </w:p>
    <w:p w:rsidR="003507F0" w:rsidRPr="003507F0" w:rsidRDefault="003507F0" w:rsidP="002E5563">
      <w:pPr>
        <w:spacing w:after="0" w:line="480" w:lineRule="auto"/>
        <w:jc w:val="center"/>
        <w:rPr>
          <w:rFonts w:ascii="Times New Roman" w:eastAsia="Cambria" w:hAnsi="Times New Roman"/>
          <w:b/>
          <w:sz w:val="24"/>
          <w:szCs w:val="24"/>
        </w:rPr>
      </w:pPr>
      <w:r w:rsidRPr="003507F0">
        <w:rPr>
          <w:rFonts w:ascii="Times New Roman" w:eastAsia="Cambria" w:hAnsi="Times New Roman"/>
          <w:b/>
          <w:sz w:val="24"/>
          <w:szCs w:val="24"/>
        </w:rPr>
        <w:lastRenderedPageBreak/>
        <w:t>Impact of Taxation on Investment Decision</w:t>
      </w:r>
    </w:p>
    <w:p w:rsidR="001860FC" w:rsidRPr="002E5563" w:rsidRDefault="001860FC" w:rsidP="002E5563">
      <w:pPr>
        <w:spacing w:after="0" w:line="480" w:lineRule="auto"/>
        <w:jc w:val="left"/>
        <w:rPr>
          <w:rFonts w:ascii="Times New Roman" w:eastAsia="Cambria" w:hAnsi="Times New Roman"/>
          <w:sz w:val="12"/>
          <w:szCs w:val="12"/>
        </w:rPr>
      </w:pPr>
    </w:p>
    <w:p w:rsidR="00707619" w:rsidRPr="003507F0" w:rsidRDefault="002E5563" w:rsidP="002E5563">
      <w:pPr>
        <w:spacing w:after="0" w:line="480" w:lineRule="auto"/>
        <w:jc w:val="left"/>
        <w:rPr>
          <w:rFonts w:ascii="Times New Roman" w:eastAsia="Cambria" w:hAnsi="Times New Roman"/>
          <w:sz w:val="24"/>
          <w:szCs w:val="24"/>
        </w:rPr>
      </w:pPr>
      <w:r>
        <w:rPr>
          <w:rFonts w:ascii="Times New Roman" w:eastAsia="Cambria" w:hAnsi="Times New Roman"/>
          <w:sz w:val="24"/>
          <w:szCs w:val="24"/>
        </w:rPr>
        <w:t xml:space="preserve">       </w:t>
      </w:r>
      <w:r w:rsidR="004E7293" w:rsidRPr="003507F0">
        <w:rPr>
          <w:rFonts w:ascii="Times New Roman" w:eastAsia="Cambria" w:hAnsi="Times New Roman"/>
          <w:sz w:val="24"/>
          <w:szCs w:val="24"/>
        </w:rPr>
        <w:t xml:space="preserve">Tax will have an effect on the investment decision of </w:t>
      </w:r>
      <w:r w:rsidR="004E7293" w:rsidRPr="003507F0">
        <w:rPr>
          <w:rFonts w:ascii="Times New Roman" w:eastAsia="Cambria" w:hAnsi="Times New Roman"/>
          <w:sz w:val="24"/>
          <w:szCs w:val="24"/>
        </w:rPr>
        <w:t>Western Technology Inc.</w:t>
      </w:r>
      <w:r w:rsidR="004E7293" w:rsidRPr="003507F0">
        <w:rPr>
          <w:rFonts w:ascii="Times New Roman" w:eastAsia="Cambria" w:hAnsi="Times New Roman"/>
          <w:sz w:val="24"/>
          <w:szCs w:val="24"/>
        </w:rPr>
        <w:t xml:space="preserve"> The return on the </w:t>
      </w:r>
      <w:r w:rsidR="00D85C4A" w:rsidRPr="003507F0">
        <w:rPr>
          <w:rFonts w:ascii="Times New Roman" w:eastAsia="Cambria" w:hAnsi="Times New Roman"/>
          <w:sz w:val="24"/>
          <w:szCs w:val="24"/>
        </w:rPr>
        <w:t>Treasury</w:t>
      </w:r>
      <w:r w:rsidR="004E7293" w:rsidRPr="003507F0">
        <w:rPr>
          <w:rFonts w:ascii="Times New Roman" w:eastAsia="Cambria" w:hAnsi="Times New Roman"/>
          <w:sz w:val="24"/>
          <w:szCs w:val="24"/>
        </w:rPr>
        <w:t xml:space="preserve"> bill is tax exempted</w:t>
      </w:r>
      <w:r w:rsidR="00D85C4A" w:rsidRPr="003507F0">
        <w:rPr>
          <w:rFonts w:ascii="Times New Roman" w:eastAsia="Cambria" w:hAnsi="Times New Roman"/>
          <w:sz w:val="24"/>
          <w:szCs w:val="24"/>
        </w:rPr>
        <w:t xml:space="preserve"> investment, whereas t</w:t>
      </w:r>
      <w:r w:rsidR="00D85C4A" w:rsidRPr="003507F0">
        <w:rPr>
          <w:rFonts w:ascii="Times New Roman" w:eastAsia="Cambria" w:hAnsi="Times New Roman"/>
          <w:sz w:val="24"/>
          <w:szCs w:val="24"/>
        </w:rPr>
        <w:t>he return on the</w:t>
      </w:r>
      <w:r w:rsidR="00574D79" w:rsidRPr="003507F0">
        <w:rPr>
          <w:rFonts w:ascii="Times New Roman" w:eastAsia="Cambria" w:hAnsi="Times New Roman"/>
          <w:sz w:val="24"/>
          <w:szCs w:val="24"/>
        </w:rPr>
        <w:t xml:space="preserve"> CD is </w:t>
      </w:r>
      <w:r w:rsidR="00574D79" w:rsidRPr="003507F0">
        <w:rPr>
          <w:rFonts w:ascii="Times New Roman" w:eastAsia="Cambria" w:hAnsi="Times New Roman"/>
          <w:sz w:val="24"/>
          <w:szCs w:val="24"/>
        </w:rPr>
        <w:t xml:space="preserve">subject </w:t>
      </w:r>
      <w:r w:rsidR="00574D79" w:rsidRPr="003507F0">
        <w:rPr>
          <w:rFonts w:ascii="Times New Roman" w:hAnsi="Times New Roman"/>
          <w:sz w:val="24"/>
          <w:szCs w:val="24"/>
        </w:rPr>
        <w:t>federal tax</w:t>
      </w:r>
      <w:r w:rsidR="00574D79" w:rsidRPr="003507F0">
        <w:rPr>
          <w:rFonts w:ascii="Times New Roman" w:hAnsi="Times New Roman"/>
          <w:sz w:val="24"/>
          <w:szCs w:val="24"/>
        </w:rPr>
        <w:t>,</w:t>
      </w:r>
      <w:r w:rsidR="00D85C4A" w:rsidRPr="003507F0">
        <w:rPr>
          <w:rFonts w:ascii="Times New Roman" w:eastAsia="Cambria" w:hAnsi="Times New Roman"/>
          <w:sz w:val="24"/>
          <w:szCs w:val="24"/>
        </w:rPr>
        <w:t xml:space="preserve"> and money market account </w:t>
      </w:r>
      <w:r w:rsidR="00FB679C" w:rsidRPr="003507F0">
        <w:rPr>
          <w:rFonts w:ascii="Times New Roman" w:eastAsia="Cambria" w:hAnsi="Times New Roman"/>
          <w:sz w:val="24"/>
          <w:szCs w:val="24"/>
        </w:rPr>
        <w:t xml:space="preserve">is subject to </w:t>
      </w:r>
      <w:r w:rsidR="00FB679C" w:rsidRPr="003507F0">
        <w:rPr>
          <w:rFonts w:ascii="Times New Roman" w:hAnsi="Times New Roman"/>
          <w:sz w:val="24"/>
          <w:szCs w:val="24"/>
        </w:rPr>
        <w:t>regular state and feder</w:t>
      </w:r>
      <w:r w:rsidR="00FB679C" w:rsidRPr="003507F0">
        <w:rPr>
          <w:rFonts w:ascii="Times New Roman" w:hAnsi="Times New Roman"/>
          <w:sz w:val="24"/>
          <w:szCs w:val="24"/>
        </w:rPr>
        <w:t>al tax</w:t>
      </w:r>
      <w:r w:rsidR="00B66E8E" w:rsidRPr="003507F0">
        <w:rPr>
          <w:rFonts w:ascii="Times New Roman" w:hAnsi="Times New Roman"/>
          <w:sz w:val="24"/>
          <w:szCs w:val="24"/>
        </w:rPr>
        <w:t xml:space="preserve"> </w:t>
      </w:r>
      <w:sdt>
        <w:sdtPr>
          <w:rPr>
            <w:rFonts w:ascii="Times New Roman" w:hAnsi="Times New Roman"/>
            <w:sz w:val="24"/>
            <w:szCs w:val="24"/>
          </w:rPr>
          <w:id w:val="-204788626"/>
          <w:citation/>
        </w:sdtPr>
        <w:sdtContent>
          <w:r w:rsidR="00B66E8E" w:rsidRPr="003507F0">
            <w:rPr>
              <w:rFonts w:ascii="Times New Roman" w:hAnsi="Times New Roman"/>
              <w:sz w:val="24"/>
              <w:szCs w:val="24"/>
            </w:rPr>
            <w:fldChar w:fldCharType="begin"/>
          </w:r>
          <w:r w:rsidR="00B66E8E" w:rsidRPr="003507F0">
            <w:rPr>
              <w:rFonts w:ascii="Times New Roman" w:hAnsi="Times New Roman"/>
              <w:sz w:val="24"/>
              <w:szCs w:val="24"/>
            </w:rPr>
            <w:instrText xml:space="preserve"> CITATION Pet15 \l 1033 </w:instrText>
          </w:r>
          <w:r w:rsidR="00B66E8E" w:rsidRPr="003507F0">
            <w:rPr>
              <w:rFonts w:ascii="Times New Roman" w:hAnsi="Times New Roman"/>
              <w:sz w:val="24"/>
              <w:szCs w:val="24"/>
            </w:rPr>
            <w:fldChar w:fldCharType="separate"/>
          </w:r>
          <w:r w:rsidR="00B66E8E" w:rsidRPr="003507F0">
            <w:rPr>
              <w:rFonts w:ascii="Times New Roman" w:hAnsi="Times New Roman"/>
              <w:noProof/>
              <w:sz w:val="24"/>
              <w:szCs w:val="24"/>
            </w:rPr>
            <w:t>(Petty, Titman, Keown, &amp; Martin, 2015)</w:t>
          </w:r>
          <w:r w:rsidR="00B66E8E" w:rsidRPr="003507F0">
            <w:rPr>
              <w:rFonts w:ascii="Times New Roman" w:hAnsi="Times New Roman"/>
              <w:sz w:val="24"/>
              <w:szCs w:val="24"/>
            </w:rPr>
            <w:fldChar w:fldCharType="end"/>
          </w:r>
        </w:sdtContent>
      </w:sdt>
      <w:r w:rsidR="00D85C4A" w:rsidRPr="003507F0">
        <w:rPr>
          <w:rFonts w:ascii="Times New Roman" w:eastAsia="Cambria" w:hAnsi="Times New Roman"/>
          <w:sz w:val="24"/>
          <w:szCs w:val="24"/>
        </w:rPr>
        <w:t xml:space="preserve">. Thus, the treasury manager of </w:t>
      </w:r>
      <w:r w:rsidR="00D85C4A" w:rsidRPr="003507F0">
        <w:rPr>
          <w:rFonts w:ascii="Times New Roman" w:eastAsia="Cambria" w:hAnsi="Times New Roman"/>
          <w:sz w:val="24"/>
          <w:szCs w:val="24"/>
        </w:rPr>
        <w:t>Western Technology Inc.</w:t>
      </w:r>
      <w:r w:rsidR="00D85C4A" w:rsidRPr="003507F0">
        <w:rPr>
          <w:rFonts w:ascii="Times New Roman" w:eastAsia="Cambria" w:hAnsi="Times New Roman"/>
          <w:sz w:val="24"/>
          <w:szCs w:val="24"/>
        </w:rPr>
        <w:t xml:space="preserve"> will require to consider after tax return of the investment alternatives. The investment option with highest after tax return will be chosen from making investment of $100000 for one year. </w:t>
      </w:r>
      <w:r w:rsidR="00B71247" w:rsidRPr="003507F0">
        <w:rPr>
          <w:rFonts w:ascii="Times New Roman" w:eastAsia="Cambria" w:hAnsi="Times New Roman"/>
          <w:sz w:val="24"/>
          <w:szCs w:val="24"/>
        </w:rPr>
        <w:t xml:space="preserve">Now, after tax </w:t>
      </w:r>
      <w:r w:rsidR="00B71247" w:rsidRPr="003507F0">
        <w:rPr>
          <w:rFonts w:ascii="Times New Roman" w:eastAsia="Cambria" w:hAnsi="Times New Roman"/>
          <w:sz w:val="24"/>
          <w:szCs w:val="24"/>
        </w:rPr>
        <w:t>nominal effective interest rates are 1.</w:t>
      </w:r>
      <w:r w:rsidR="00AB215D" w:rsidRPr="003507F0">
        <w:rPr>
          <w:rFonts w:ascii="Times New Roman" w:eastAsia="Cambria" w:hAnsi="Times New Roman"/>
          <w:sz w:val="24"/>
          <w:szCs w:val="24"/>
        </w:rPr>
        <w:t>27</w:t>
      </w:r>
      <w:r w:rsidR="00B71247" w:rsidRPr="003507F0">
        <w:rPr>
          <w:rFonts w:ascii="Times New Roman" w:eastAsia="Cambria" w:hAnsi="Times New Roman"/>
          <w:sz w:val="24"/>
          <w:szCs w:val="24"/>
        </w:rPr>
        <w:t>%, 1.</w:t>
      </w:r>
      <w:r w:rsidR="00AB215D" w:rsidRPr="003507F0">
        <w:rPr>
          <w:rFonts w:ascii="Times New Roman" w:eastAsia="Cambria" w:hAnsi="Times New Roman"/>
          <w:sz w:val="24"/>
          <w:szCs w:val="24"/>
        </w:rPr>
        <w:t>15%, 0.30%, and 0.70</w:t>
      </w:r>
      <w:r w:rsidR="00B71247" w:rsidRPr="003507F0">
        <w:rPr>
          <w:rFonts w:ascii="Times New Roman" w:eastAsia="Cambria" w:hAnsi="Times New Roman"/>
          <w:sz w:val="24"/>
          <w:szCs w:val="24"/>
        </w:rPr>
        <w:t>% for the CD with a 12-month maturity yielding 1.88% monthly compounded APR,  CD with a yielding 1.72% quarterly compounded APR, treasury bill with a maturity of one year, and money market account yielding 1.10% monthly compounded APR (Appendix 0</w:t>
      </w:r>
      <w:r w:rsidR="00B71247" w:rsidRPr="003507F0">
        <w:rPr>
          <w:rFonts w:ascii="Times New Roman" w:eastAsia="Cambria" w:hAnsi="Times New Roman"/>
          <w:sz w:val="24"/>
          <w:szCs w:val="24"/>
        </w:rPr>
        <w:t>2</w:t>
      </w:r>
      <w:r w:rsidR="00B71247" w:rsidRPr="003507F0">
        <w:rPr>
          <w:rFonts w:ascii="Times New Roman" w:eastAsia="Cambria" w:hAnsi="Times New Roman"/>
          <w:sz w:val="24"/>
          <w:szCs w:val="24"/>
        </w:rPr>
        <w:t>).</w:t>
      </w:r>
      <w:r w:rsidR="00AB215D" w:rsidRPr="003507F0">
        <w:rPr>
          <w:rFonts w:ascii="Times New Roman" w:eastAsia="Cambria" w:hAnsi="Times New Roman"/>
          <w:sz w:val="24"/>
          <w:szCs w:val="24"/>
        </w:rPr>
        <w:t xml:space="preserve"> </w:t>
      </w:r>
      <w:r w:rsidR="00AB215D" w:rsidRPr="003507F0">
        <w:rPr>
          <w:rFonts w:ascii="Times New Roman" w:eastAsia="Cambria" w:hAnsi="Times New Roman"/>
          <w:sz w:val="24"/>
          <w:szCs w:val="24"/>
        </w:rPr>
        <w:t xml:space="preserve">As the </w:t>
      </w:r>
      <w:r w:rsidR="00AB215D" w:rsidRPr="003507F0">
        <w:rPr>
          <w:rFonts w:ascii="Times New Roman" w:eastAsia="Cambria" w:hAnsi="Times New Roman"/>
          <w:sz w:val="24"/>
          <w:szCs w:val="24"/>
        </w:rPr>
        <w:t xml:space="preserve">after tax </w:t>
      </w:r>
      <w:r w:rsidR="00AB215D" w:rsidRPr="003507F0">
        <w:rPr>
          <w:rFonts w:ascii="Times New Roman" w:eastAsia="Cambria" w:hAnsi="Times New Roman"/>
          <w:sz w:val="24"/>
          <w:szCs w:val="24"/>
        </w:rPr>
        <w:t>nominal interest rate is highest for CD with a 12-month maturity yielding 1.88% monthly compounded APR as compared to other available investment options, Western Technology Inc. should consider to make investment of $100000 fund in CD with a 12-month maturity yielding 1.88% monthly compounded APR</w:t>
      </w:r>
      <w:r>
        <w:rPr>
          <w:rFonts w:ascii="Times New Roman" w:eastAsia="Cambria" w:hAnsi="Times New Roman"/>
          <w:sz w:val="24"/>
          <w:szCs w:val="24"/>
        </w:rPr>
        <w:t>.</w:t>
      </w:r>
    </w:p>
    <w:p w:rsidR="0073133B" w:rsidRPr="002E5563" w:rsidRDefault="003507F0" w:rsidP="002E5563">
      <w:pPr>
        <w:spacing w:after="0" w:line="480" w:lineRule="auto"/>
        <w:jc w:val="left"/>
        <w:rPr>
          <w:rFonts w:ascii="Times New Roman" w:eastAsia="Cambria" w:hAnsi="Times New Roman"/>
          <w:b/>
          <w:sz w:val="24"/>
          <w:szCs w:val="24"/>
        </w:rPr>
      </w:pPr>
      <w:r w:rsidRPr="003507F0">
        <w:rPr>
          <w:rFonts w:ascii="Times New Roman" w:eastAsia="Cambria" w:hAnsi="Times New Roman"/>
          <w:b/>
          <w:sz w:val="24"/>
          <w:szCs w:val="24"/>
        </w:rPr>
        <w:lastRenderedPageBreak/>
        <w:t>Difference</w:t>
      </w:r>
      <w:r w:rsidRPr="003507F0">
        <w:rPr>
          <w:rFonts w:ascii="Times New Roman" w:eastAsia="Cambria" w:hAnsi="Times New Roman"/>
          <w:b/>
          <w:sz w:val="24"/>
          <w:szCs w:val="24"/>
        </w:rPr>
        <w:t xml:space="preserve"> in between the concepts of compounding and discounting</w:t>
      </w:r>
    </w:p>
    <w:p w:rsidR="00BB5B6F" w:rsidRPr="002E5563" w:rsidRDefault="00BB5B6F" w:rsidP="002E5563">
      <w:pPr>
        <w:spacing w:after="0" w:line="480" w:lineRule="auto"/>
        <w:jc w:val="left"/>
        <w:rPr>
          <w:rFonts w:ascii="Times New Roman" w:eastAsia="Cambria" w:hAnsi="Times New Roman"/>
          <w:sz w:val="12"/>
          <w:szCs w:val="12"/>
        </w:rPr>
      </w:pPr>
    </w:p>
    <w:p w:rsidR="005A262A" w:rsidRDefault="0004189C" w:rsidP="002E5563">
      <w:pPr>
        <w:spacing w:after="0" w:line="48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 w:rsidRPr="003507F0">
        <w:rPr>
          <w:rFonts w:ascii="Times New Roman" w:eastAsia="Cambria" w:hAnsi="Times New Roman"/>
          <w:sz w:val="24"/>
          <w:szCs w:val="24"/>
        </w:rPr>
        <w:t xml:space="preserve">       </w:t>
      </w:r>
      <w:r w:rsidR="002E5563">
        <w:rPr>
          <w:rFonts w:ascii="Times New Roman" w:eastAsia="Cambria" w:hAnsi="Times New Roman"/>
          <w:sz w:val="24"/>
          <w:szCs w:val="24"/>
        </w:rPr>
        <w:t xml:space="preserve">    </w:t>
      </w:r>
      <w:r w:rsidRPr="003507F0">
        <w:rPr>
          <w:rFonts w:ascii="Times New Roman" w:eastAsia="Cambria" w:hAnsi="Times New Roman"/>
          <w:sz w:val="24"/>
          <w:szCs w:val="24"/>
        </w:rPr>
        <w:t xml:space="preserve"> There </w:t>
      </w:r>
      <w:r w:rsidR="00616FD7" w:rsidRPr="003507F0">
        <w:rPr>
          <w:rFonts w:ascii="Times New Roman" w:eastAsia="Cambria" w:hAnsi="Times New Roman"/>
          <w:sz w:val="24"/>
          <w:szCs w:val="24"/>
        </w:rPr>
        <w:t>is</w:t>
      </w:r>
      <w:r w:rsidRPr="003507F0">
        <w:rPr>
          <w:rFonts w:ascii="Times New Roman" w:eastAsia="Cambria" w:hAnsi="Times New Roman"/>
          <w:sz w:val="24"/>
          <w:szCs w:val="24"/>
        </w:rPr>
        <w:t xml:space="preserve"> difference in between the concepts of</w:t>
      </w:r>
      <w:r w:rsidRPr="003507F0">
        <w:rPr>
          <w:rFonts w:ascii="Times New Roman" w:eastAsia="Cambria" w:hAnsi="Times New Roman"/>
          <w:sz w:val="24"/>
          <w:szCs w:val="24"/>
        </w:rPr>
        <w:t xml:space="preserve"> compounding and discounting</w:t>
      </w:r>
      <w:r w:rsidRPr="003507F0">
        <w:rPr>
          <w:rFonts w:ascii="Times New Roman" w:eastAsia="Cambria" w:hAnsi="Times New Roman"/>
          <w:sz w:val="24"/>
          <w:szCs w:val="24"/>
        </w:rPr>
        <w:t xml:space="preserve">. </w:t>
      </w:r>
      <w:r w:rsidR="00E41E75" w:rsidRPr="003507F0">
        <w:rPr>
          <w:rFonts w:ascii="Times New Roman" w:eastAsia="Cambria" w:hAnsi="Times New Roman"/>
          <w:sz w:val="24"/>
          <w:szCs w:val="24"/>
        </w:rPr>
        <w:t>Compounding involves</w:t>
      </w:r>
      <w:r w:rsidRPr="003507F0">
        <w:rPr>
          <w:rFonts w:ascii="Times New Roman" w:eastAsia="Cambria" w:hAnsi="Times New Roman"/>
          <w:sz w:val="24"/>
          <w:szCs w:val="24"/>
        </w:rPr>
        <w:t xml:space="preserve"> with </w:t>
      </w:r>
      <w:r w:rsidR="00487FDF" w:rsidRPr="003507F0">
        <w:rPr>
          <w:rFonts w:ascii="Times New Roman" w:eastAsia="Cambria" w:hAnsi="Times New Roman"/>
          <w:sz w:val="24"/>
          <w:szCs w:val="24"/>
        </w:rPr>
        <w:t xml:space="preserve">increasing the </w:t>
      </w:r>
      <w:r w:rsidR="00616FD7" w:rsidRPr="003507F0">
        <w:rPr>
          <w:rFonts w:ascii="Times New Roman" w:eastAsia="Cambria" w:hAnsi="Times New Roman"/>
          <w:sz w:val="24"/>
          <w:szCs w:val="24"/>
        </w:rPr>
        <w:t xml:space="preserve">current </w:t>
      </w:r>
      <w:r w:rsidR="00487FDF" w:rsidRPr="003507F0">
        <w:rPr>
          <w:rFonts w:ascii="Times New Roman" w:eastAsia="Cambria" w:hAnsi="Times New Roman"/>
          <w:sz w:val="24"/>
          <w:szCs w:val="24"/>
        </w:rPr>
        <w:t xml:space="preserve">value of investment </w:t>
      </w:r>
      <w:r w:rsidR="003F0CA0" w:rsidRPr="003507F0">
        <w:rPr>
          <w:rFonts w:ascii="Times New Roman" w:eastAsia="Cambria" w:hAnsi="Times New Roman"/>
          <w:sz w:val="24"/>
          <w:szCs w:val="24"/>
        </w:rPr>
        <w:t>because earning from investment (principal and interest) earns interest up-to the date of maturity.</w:t>
      </w:r>
      <w:r w:rsidR="00616FD7" w:rsidRPr="003507F0">
        <w:rPr>
          <w:rFonts w:ascii="Times New Roman" w:eastAsia="Cambria" w:hAnsi="Times New Roman"/>
          <w:sz w:val="24"/>
          <w:szCs w:val="24"/>
        </w:rPr>
        <w:t xml:space="preserve"> </w:t>
      </w:r>
      <w:r w:rsidR="003F0CA0" w:rsidRPr="003507F0">
        <w:rPr>
          <w:rFonts w:ascii="Times New Roman" w:eastAsia="Cambria" w:hAnsi="Times New Roman"/>
          <w:sz w:val="24"/>
          <w:szCs w:val="24"/>
        </w:rPr>
        <w:t xml:space="preserve"> </w:t>
      </w:r>
      <w:r w:rsidR="00EF317E" w:rsidRPr="003507F0">
        <w:rPr>
          <w:rFonts w:ascii="Times New Roman" w:eastAsia="Cambria" w:hAnsi="Times New Roman"/>
          <w:sz w:val="24"/>
          <w:szCs w:val="24"/>
        </w:rPr>
        <w:t>Discount</w:t>
      </w:r>
      <w:r w:rsidR="00616FD7" w:rsidRPr="003507F0">
        <w:rPr>
          <w:rFonts w:ascii="Times New Roman" w:eastAsia="Cambria" w:hAnsi="Times New Roman"/>
          <w:sz w:val="24"/>
          <w:szCs w:val="24"/>
        </w:rPr>
        <w:t xml:space="preserve">ing involves with </w:t>
      </w:r>
      <w:r w:rsidR="00EF317E" w:rsidRPr="003507F0">
        <w:rPr>
          <w:rFonts w:ascii="Times New Roman" w:eastAsia="Cambria" w:hAnsi="Times New Roman"/>
          <w:sz w:val="24"/>
          <w:szCs w:val="24"/>
        </w:rPr>
        <w:t xml:space="preserve">decreasing the future value to be received after a certain time period or at equal interval up-to a certain time period for determining the time equivalent value at present date. Whereas compounding is used to determine the future value, discounting is used to determine the present value </w:t>
      </w:r>
      <w:sdt>
        <w:sdtPr>
          <w:rPr>
            <w:rFonts w:ascii="Times New Roman" w:eastAsia="Cambria" w:hAnsi="Times New Roman"/>
            <w:sz w:val="24"/>
            <w:szCs w:val="24"/>
          </w:rPr>
          <w:id w:val="-302851675"/>
          <w:citation/>
        </w:sdtPr>
        <w:sdtContent>
          <w:r w:rsidR="00EF317E" w:rsidRPr="003507F0">
            <w:rPr>
              <w:rFonts w:ascii="Times New Roman" w:eastAsia="Cambria" w:hAnsi="Times New Roman"/>
              <w:sz w:val="24"/>
              <w:szCs w:val="24"/>
            </w:rPr>
            <w:fldChar w:fldCharType="begin"/>
          </w:r>
          <w:r w:rsidR="00EF317E" w:rsidRPr="003507F0">
            <w:rPr>
              <w:rFonts w:ascii="Times New Roman" w:eastAsia="Cambria" w:hAnsi="Times New Roman"/>
              <w:sz w:val="24"/>
              <w:szCs w:val="24"/>
            </w:rPr>
            <w:instrText xml:space="preserve"> CITATION Sur16 \l 1033 </w:instrText>
          </w:r>
          <w:r w:rsidR="00EF317E" w:rsidRPr="003507F0">
            <w:rPr>
              <w:rFonts w:ascii="Times New Roman" w:eastAsia="Cambria" w:hAnsi="Times New Roman"/>
              <w:sz w:val="24"/>
              <w:szCs w:val="24"/>
            </w:rPr>
            <w:fldChar w:fldCharType="separate"/>
          </w:r>
          <w:r w:rsidR="00EF317E" w:rsidRPr="003507F0">
            <w:rPr>
              <w:rFonts w:ascii="Times New Roman" w:eastAsia="Cambria" w:hAnsi="Times New Roman"/>
              <w:noProof/>
              <w:sz w:val="24"/>
              <w:szCs w:val="24"/>
            </w:rPr>
            <w:t>(Surbhi, 2015)</w:t>
          </w:r>
          <w:r w:rsidR="00EF317E" w:rsidRPr="003507F0">
            <w:rPr>
              <w:rFonts w:ascii="Times New Roman" w:eastAsia="Cambria" w:hAnsi="Times New Roman"/>
              <w:sz w:val="24"/>
              <w:szCs w:val="24"/>
            </w:rPr>
            <w:fldChar w:fldCharType="end"/>
          </w:r>
        </w:sdtContent>
      </w:sdt>
      <w:r w:rsidR="00EF317E" w:rsidRPr="003507F0">
        <w:rPr>
          <w:rFonts w:ascii="Times New Roman" w:eastAsia="Cambria" w:hAnsi="Times New Roman"/>
          <w:sz w:val="24"/>
          <w:szCs w:val="24"/>
        </w:rPr>
        <w:t xml:space="preserve">. </w:t>
      </w:r>
    </w:p>
    <w:p w:rsidR="002E5563" w:rsidRPr="002E5563" w:rsidRDefault="002E5563" w:rsidP="002E5563">
      <w:pPr>
        <w:spacing w:after="0" w:line="480" w:lineRule="auto"/>
        <w:ind w:firstLine="0"/>
        <w:jc w:val="left"/>
        <w:rPr>
          <w:rFonts w:ascii="Times New Roman" w:eastAsia="Cambria" w:hAnsi="Times New Roman"/>
          <w:sz w:val="12"/>
          <w:szCs w:val="12"/>
        </w:rPr>
      </w:pPr>
    </w:p>
    <w:p w:rsidR="00F13CFC" w:rsidRPr="002E5563" w:rsidRDefault="002E5563" w:rsidP="002E5563">
      <w:pPr>
        <w:spacing w:after="0" w:line="480" w:lineRule="auto"/>
        <w:ind w:firstLine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eastAsia="Cambria" w:hAnsi="Times New Roman"/>
          <w:sz w:val="24"/>
          <w:szCs w:val="24"/>
        </w:rPr>
        <w:t xml:space="preserve">            </w:t>
      </w:r>
      <w:r w:rsidR="005A262A" w:rsidRPr="003507F0">
        <w:rPr>
          <w:rFonts w:ascii="Times New Roman" w:eastAsia="Cambria" w:hAnsi="Times New Roman"/>
          <w:sz w:val="24"/>
          <w:szCs w:val="24"/>
        </w:rPr>
        <w:t xml:space="preserve">Here, a </w:t>
      </w:r>
      <w:r w:rsidR="005A262A" w:rsidRPr="003507F0">
        <w:rPr>
          <w:rFonts w:ascii="Times New Roman" w:hAnsi="Times New Roman"/>
          <w:sz w:val="24"/>
          <w:szCs w:val="24"/>
        </w:rPr>
        <w:t>certificates of deposit compound</w:t>
      </w:r>
      <w:r w:rsidR="005A262A" w:rsidRPr="003507F0">
        <w:rPr>
          <w:rFonts w:ascii="Times New Roman" w:hAnsi="Times New Roman"/>
          <w:sz w:val="24"/>
          <w:szCs w:val="24"/>
        </w:rPr>
        <w:t>s</w:t>
      </w:r>
      <w:r w:rsidR="005A262A" w:rsidRPr="003507F0">
        <w:rPr>
          <w:rFonts w:ascii="Times New Roman" w:hAnsi="Times New Roman"/>
          <w:sz w:val="24"/>
          <w:szCs w:val="24"/>
        </w:rPr>
        <w:t xml:space="preserve"> monthly</w:t>
      </w:r>
      <w:r w:rsidR="005A262A" w:rsidRPr="003507F0">
        <w:rPr>
          <w:rFonts w:ascii="Times New Roman" w:hAnsi="Times New Roman"/>
          <w:sz w:val="24"/>
          <w:szCs w:val="24"/>
        </w:rPr>
        <w:t xml:space="preserve">, and another compounds quarterly, and </w:t>
      </w:r>
      <w:r w:rsidR="005A262A" w:rsidRPr="003507F0">
        <w:rPr>
          <w:rFonts w:ascii="Times New Roman" w:eastAsia="Cambria" w:hAnsi="Times New Roman"/>
          <w:sz w:val="24"/>
          <w:szCs w:val="24"/>
        </w:rPr>
        <w:t>Money Market Account</w:t>
      </w:r>
      <w:r w:rsidR="005A262A" w:rsidRPr="003507F0">
        <w:rPr>
          <w:rFonts w:ascii="Times New Roman" w:eastAsia="Cambria" w:hAnsi="Times New Roman"/>
          <w:sz w:val="24"/>
          <w:szCs w:val="24"/>
        </w:rPr>
        <w:t xml:space="preserve"> compounds monthly. </w:t>
      </w:r>
      <w:r w:rsidR="005A262A" w:rsidRPr="003507F0">
        <w:rPr>
          <w:rFonts w:ascii="Times New Roman" w:hAnsi="Times New Roman"/>
          <w:sz w:val="24"/>
          <w:szCs w:val="24"/>
        </w:rPr>
        <w:t xml:space="preserve">The </w:t>
      </w:r>
      <w:r w:rsidR="005A262A" w:rsidRPr="003507F0">
        <w:rPr>
          <w:rFonts w:ascii="Times New Roman" w:hAnsi="Times New Roman"/>
          <w:sz w:val="24"/>
          <w:szCs w:val="24"/>
        </w:rPr>
        <w:t xml:space="preserve">certificates of deposit </w:t>
      </w:r>
      <w:r w:rsidR="005A262A" w:rsidRPr="003507F0">
        <w:rPr>
          <w:rFonts w:ascii="Times New Roman" w:hAnsi="Times New Roman"/>
          <w:sz w:val="24"/>
          <w:szCs w:val="24"/>
        </w:rPr>
        <w:t xml:space="preserve">which </w:t>
      </w:r>
      <w:r w:rsidR="005A262A" w:rsidRPr="003507F0">
        <w:rPr>
          <w:rFonts w:ascii="Times New Roman" w:hAnsi="Times New Roman"/>
          <w:sz w:val="24"/>
          <w:szCs w:val="24"/>
        </w:rPr>
        <w:t>compounds monthly</w:t>
      </w:r>
      <w:r w:rsidR="005A262A" w:rsidRPr="003507F0">
        <w:rPr>
          <w:rFonts w:ascii="Times New Roman" w:hAnsi="Times New Roman"/>
          <w:sz w:val="24"/>
          <w:szCs w:val="24"/>
        </w:rPr>
        <w:t>, 1/12</w:t>
      </w:r>
      <w:r w:rsidR="005A262A" w:rsidRPr="003507F0">
        <w:rPr>
          <w:rFonts w:ascii="Times New Roman" w:hAnsi="Times New Roman"/>
          <w:sz w:val="24"/>
          <w:szCs w:val="24"/>
        </w:rPr>
        <w:t xml:space="preserve">th of the year’s interest </w:t>
      </w:r>
      <w:r w:rsidR="005A262A" w:rsidRPr="003507F0">
        <w:rPr>
          <w:rFonts w:ascii="Times New Roman" w:hAnsi="Times New Roman"/>
          <w:sz w:val="24"/>
          <w:szCs w:val="24"/>
        </w:rPr>
        <w:t xml:space="preserve">is accrued and paid </w:t>
      </w:r>
      <w:r w:rsidR="005A262A" w:rsidRPr="003507F0">
        <w:rPr>
          <w:rFonts w:ascii="Times New Roman" w:hAnsi="Times New Roman"/>
          <w:sz w:val="24"/>
          <w:szCs w:val="24"/>
        </w:rPr>
        <w:t>at the end of each month</w:t>
      </w:r>
      <w:r w:rsidR="005A262A" w:rsidRPr="003507F0">
        <w:rPr>
          <w:rFonts w:ascii="Times New Roman" w:hAnsi="Times New Roman"/>
          <w:sz w:val="24"/>
          <w:szCs w:val="24"/>
        </w:rPr>
        <w:t xml:space="preserve">. </w:t>
      </w:r>
      <w:r w:rsidR="005A262A" w:rsidRPr="003507F0">
        <w:rPr>
          <w:rFonts w:ascii="Times New Roman" w:hAnsi="Times New Roman"/>
          <w:sz w:val="24"/>
          <w:szCs w:val="24"/>
        </w:rPr>
        <w:t xml:space="preserve">The certificates of deposit which compounds </w:t>
      </w:r>
      <w:r w:rsidR="005A262A" w:rsidRPr="003507F0">
        <w:rPr>
          <w:rFonts w:ascii="Times New Roman" w:hAnsi="Times New Roman"/>
          <w:sz w:val="24"/>
          <w:szCs w:val="24"/>
        </w:rPr>
        <w:t>quarterly, 1/4</w:t>
      </w:r>
      <w:r w:rsidR="005A262A" w:rsidRPr="003507F0">
        <w:rPr>
          <w:rFonts w:ascii="Times New Roman" w:hAnsi="Times New Roman"/>
          <w:sz w:val="24"/>
          <w:szCs w:val="24"/>
        </w:rPr>
        <w:t xml:space="preserve">th of the year’s interest is accrued and paid at the end of each </w:t>
      </w:r>
      <w:r w:rsidR="005A262A" w:rsidRPr="003507F0">
        <w:rPr>
          <w:rFonts w:ascii="Times New Roman" w:hAnsi="Times New Roman"/>
          <w:sz w:val="24"/>
          <w:szCs w:val="24"/>
        </w:rPr>
        <w:t xml:space="preserve">three </w:t>
      </w:r>
      <w:r w:rsidR="005A262A" w:rsidRPr="003507F0">
        <w:rPr>
          <w:rFonts w:ascii="Times New Roman" w:hAnsi="Times New Roman"/>
          <w:sz w:val="24"/>
          <w:szCs w:val="24"/>
        </w:rPr>
        <w:t>month</w:t>
      </w:r>
      <w:r w:rsidR="005A262A" w:rsidRPr="003507F0">
        <w:rPr>
          <w:rFonts w:ascii="Times New Roman" w:hAnsi="Times New Roman"/>
          <w:sz w:val="24"/>
          <w:szCs w:val="24"/>
        </w:rPr>
        <w:t xml:space="preserve">s. </w:t>
      </w:r>
      <w:r w:rsidR="005A262A" w:rsidRPr="003507F0">
        <w:rPr>
          <w:rFonts w:ascii="Times New Roman" w:hAnsi="Times New Roman"/>
          <w:sz w:val="24"/>
          <w:szCs w:val="24"/>
        </w:rPr>
        <w:t xml:space="preserve">The </w:t>
      </w:r>
      <w:r w:rsidR="005A262A" w:rsidRPr="003507F0">
        <w:rPr>
          <w:rFonts w:ascii="Times New Roman" w:hAnsi="Times New Roman"/>
          <w:sz w:val="24"/>
          <w:szCs w:val="24"/>
        </w:rPr>
        <w:t xml:space="preserve">money market accounts </w:t>
      </w:r>
      <w:r w:rsidR="005A262A" w:rsidRPr="003507F0">
        <w:rPr>
          <w:rFonts w:ascii="Times New Roman" w:hAnsi="Times New Roman"/>
          <w:sz w:val="24"/>
          <w:szCs w:val="24"/>
        </w:rPr>
        <w:t>which compounds monthly, 1/12th of the year’s interest is accrued and paid at the end of each month</w:t>
      </w:r>
      <w:r w:rsidR="005A262A" w:rsidRPr="003507F0">
        <w:rPr>
          <w:rFonts w:ascii="Times New Roman" w:hAnsi="Times New Roman"/>
          <w:sz w:val="24"/>
          <w:szCs w:val="24"/>
        </w:rPr>
        <w:t xml:space="preserve">. As the </w:t>
      </w:r>
      <w:r w:rsidR="005A262A" w:rsidRPr="003507F0">
        <w:rPr>
          <w:rFonts w:ascii="Times New Roman" w:hAnsi="Times New Roman"/>
          <w:sz w:val="24"/>
          <w:szCs w:val="24"/>
        </w:rPr>
        <w:t>interest</w:t>
      </w:r>
      <w:r w:rsidR="005A262A" w:rsidRPr="003507F0">
        <w:rPr>
          <w:rFonts w:ascii="Times New Roman" w:hAnsi="Times New Roman"/>
          <w:sz w:val="24"/>
          <w:szCs w:val="24"/>
        </w:rPr>
        <w:t xml:space="preserve">s </w:t>
      </w:r>
      <w:r w:rsidR="005A262A" w:rsidRPr="003507F0">
        <w:rPr>
          <w:rFonts w:ascii="Times New Roman" w:hAnsi="Times New Roman"/>
          <w:sz w:val="24"/>
          <w:szCs w:val="24"/>
        </w:rPr>
        <w:t>earned</w:t>
      </w:r>
      <w:r w:rsidR="005A262A" w:rsidRPr="003507F0">
        <w:rPr>
          <w:rFonts w:ascii="Times New Roman" w:hAnsi="Times New Roman"/>
          <w:sz w:val="24"/>
          <w:szCs w:val="24"/>
        </w:rPr>
        <w:t xml:space="preserve"> in each period of these instruments are put</w:t>
      </w:r>
      <w:r w:rsidR="005A262A" w:rsidRPr="003507F0">
        <w:rPr>
          <w:rFonts w:ascii="Times New Roman" w:hAnsi="Times New Roman"/>
          <w:sz w:val="24"/>
          <w:szCs w:val="24"/>
        </w:rPr>
        <w:t xml:space="preserve"> directly onto the </w:t>
      </w:r>
      <w:r w:rsidR="005A262A" w:rsidRPr="003507F0">
        <w:rPr>
          <w:rFonts w:ascii="Times New Roman" w:hAnsi="Times New Roman"/>
          <w:sz w:val="24"/>
          <w:szCs w:val="24"/>
        </w:rPr>
        <w:t xml:space="preserve">remaining </w:t>
      </w:r>
      <w:r w:rsidR="005A262A" w:rsidRPr="003507F0">
        <w:rPr>
          <w:rFonts w:ascii="Times New Roman" w:hAnsi="Times New Roman"/>
          <w:sz w:val="24"/>
          <w:szCs w:val="24"/>
        </w:rPr>
        <w:t>balance</w:t>
      </w:r>
      <w:r w:rsidR="005A262A" w:rsidRPr="003507F0">
        <w:rPr>
          <w:rFonts w:ascii="Times New Roman" w:hAnsi="Times New Roman"/>
          <w:sz w:val="24"/>
          <w:szCs w:val="24"/>
        </w:rPr>
        <w:t xml:space="preserve">, interest on interest is carried forward up to the maturity of </w:t>
      </w:r>
      <w:r w:rsidR="005A262A" w:rsidRPr="003507F0">
        <w:rPr>
          <w:rFonts w:ascii="Times New Roman" w:hAnsi="Times New Roman"/>
          <w:sz w:val="24"/>
          <w:szCs w:val="24"/>
        </w:rPr>
        <w:lastRenderedPageBreak/>
        <w:t>the instruments. Principal and interest earned in each period is increased up to the period of maturity. The interest amount is compounded up to the maturity of the instrument.</w:t>
      </w:r>
      <w:r>
        <w:rPr>
          <w:rFonts w:ascii="Times New Roman" w:hAnsi="Times New Roman"/>
          <w:sz w:val="24"/>
          <w:szCs w:val="24"/>
        </w:rPr>
        <w:t xml:space="preserve"> </w:t>
      </w:r>
      <w:r w:rsidR="00F13CFC" w:rsidRPr="003507F0">
        <w:rPr>
          <w:rFonts w:ascii="Times New Roman" w:hAnsi="Times New Roman"/>
          <w:sz w:val="24"/>
          <w:szCs w:val="24"/>
        </w:rPr>
        <w:t xml:space="preserve">Treasury bill is </w:t>
      </w:r>
      <w:r>
        <w:rPr>
          <w:rFonts w:ascii="Times New Roman" w:hAnsi="Times New Roman"/>
          <w:sz w:val="24"/>
          <w:szCs w:val="24"/>
        </w:rPr>
        <w:t xml:space="preserve">a </w:t>
      </w:r>
      <w:r w:rsidR="00F13CFC" w:rsidRPr="003507F0">
        <w:rPr>
          <w:rFonts w:ascii="Times New Roman" w:hAnsi="Times New Roman"/>
          <w:sz w:val="24"/>
          <w:szCs w:val="24"/>
        </w:rPr>
        <w:t>discounted instrument. The bill is issued at $</w:t>
      </w:r>
      <w:r w:rsidR="00F13CFC" w:rsidRPr="003507F0">
        <w:rPr>
          <w:rFonts w:ascii="Times New Roman" w:eastAsia="Cambria" w:hAnsi="Times New Roman"/>
          <w:sz w:val="24"/>
          <w:szCs w:val="24"/>
        </w:rPr>
        <w:t>49850</w:t>
      </w:r>
      <w:r w:rsidR="00F13CFC" w:rsidRPr="003507F0">
        <w:rPr>
          <w:rFonts w:ascii="Times New Roman" w:eastAsia="Cambria" w:hAnsi="Times New Roman"/>
          <w:sz w:val="24"/>
          <w:szCs w:val="24"/>
        </w:rPr>
        <w:t xml:space="preserve">. At the end of one year, the investor will receive $50000 (face or par value). Here, $50000 to be received in future is discounted back at the present value of </w:t>
      </w:r>
      <w:r w:rsidR="00F13CFC" w:rsidRPr="003507F0">
        <w:rPr>
          <w:rFonts w:ascii="Times New Roman" w:hAnsi="Times New Roman"/>
          <w:sz w:val="24"/>
          <w:szCs w:val="24"/>
        </w:rPr>
        <w:t>$</w:t>
      </w:r>
      <w:r w:rsidR="00F13CFC" w:rsidRPr="003507F0">
        <w:rPr>
          <w:rFonts w:ascii="Times New Roman" w:eastAsia="Cambria" w:hAnsi="Times New Roman"/>
          <w:sz w:val="24"/>
          <w:szCs w:val="24"/>
        </w:rPr>
        <w:t>49850</w:t>
      </w:r>
      <w:r w:rsidR="00F13CFC" w:rsidRPr="003507F0">
        <w:rPr>
          <w:rFonts w:ascii="Times New Roman" w:eastAsia="Cambria" w:hAnsi="Times New Roman"/>
          <w:sz w:val="24"/>
          <w:szCs w:val="24"/>
        </w:rPr>
        <w:t xml:space="preserve">. The difference in between present value and par value of $50000 is the implied interest rate to be accrued over one year.  </w:t>
      </w:r>
    </w:p>
    <w:p w:rsidR="002E5563" w:rsidRDefault="002E5563" w:rsidP="002E5563">
      <w:pPr>
        <w:spacing w:after="0" w:line="48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2E5563" w:rsidRPr="003507F0" w:rsidRDefault="002E5563" w:rsidP="002E5563">
      <w:pPr>
        <w:spacing w:after="0" w:line="480" w:lineRule="auto"/>
        <w:jc w:val="center"/>
        <w:rPr>
          <w:rFonts w:ascii="Times New Roman" w:eastAsia="Cambria" w:hAnsi="Times New Roman"/>
          <w:b/>
          <w:sz w:val="24"/>
          <w:szCs w:val="24"/>
        </w:rPr>
      </w:pPr>
      <w:r w:rsidRPr="003507F0">
        <w:rPr>
          <w:rFonts w:ascii="Times New Roman" w:eastAsia="Cambria" w:hAnsi="Times New Roman"/>
          <w:b/>
          <w:sz w:val="24"/>
          <w:szCs w:val="24"/>
        </w:rPr>
        <w:t xml:space="preserve">Impact of </w:t>
      </w:r>
      <w:r>
        <w:rPr>
          <w:rFonts w:ascii="Times New Roman" w:eastAsia="Cambria" w:hAnsi="Times New Roman"/>
          <w:b/>
          <w:sz w:val="24"/>
          <w:szCs w:val="24"/>
        </w:rPr>
        <w:t>Relative Riskiness consideration</w:t>
      </w:r>
      <w:r w:rsidRPr="003507F0">
        <w:rPr>
          <w:rFonts w:ascii="Times New Roman" w:eastAsia="Cambria" w:hAnsi="Times New Roman"/>
          <w:b/>
          <w:sz w:val="24"/>
          <w:szCs w:val="24"/>
        </w:rPr>
        <w:t xml:space="preserve"> on Investment Decision</w:t>
      </w:r>
    </w:p>
    <w:p w:rsidR="0004189C" w:rsidRPr="002E5563" w:rsidRDefault="0004189C" w:rsidP="002E5563">
      <w:pPr>
        <w:spacing w:after="0" w:line="480" w:lineRule="auto"/>
        <w:ind w:firstLine="0"/>
        <w:jc w:val="left"/>
        <w:rPr>
          <w:rFonts w:ascii="Times New Roman" w:eastAsia="Cambria" w:hAnsi="Times New Roman"/>
          <w:sz w:val="12"/>
          <w:szCs w:val="12"/>
        </w:rPr>
      </w:pPr>
    </w:p>
    <w:p w:rsidR="0004189C" w:rsidRPr="003507F0" w:rsidRDefault="002E5563" w:rsidP="002E5563">
      <w:pPr>
        <w:spacing w:after="0" w:line="480" w:lineRule="auto"/>
        <w:jc w:val="left"/>
        <w:rPr>
          <w:rFonts w:ascii="Times New Roman" w:eastAsia="Cambria" w:hAnsi="Times New Roman"/>
          <w:sz w:val="24"/>
          <w:szCs w:val="24"/>
        </w:rPr>
      </w:pPr>
      <w:r>
        <w:rPr>
          <w:rFonts w:ascii="Times New Roman" w:eastAsia="Cambria" w:hAnsi="Times New Roman"/>
          <w:sz w:val="24"/>
          <w:szCs w:val="24"/>
        </w:rPr>
        <w:t xml:space="preserve">     </w:t>
      </w:r>
      <w:r w:rsidR="0004189C" w:rsidRPr="003507F0">
        <w:rPr>
          <w:rFonts w:ascii="Times New Roman" w:eastAsia="Cambria" w:hAnsi="Times New Roman"/>
          <w:sz w:val="24"/>
          <w:szCs w:val="24"/>
        </w:rPr>
        <w:t>Among the four investment options available (</w:t>
      </w:r>
      <w:r w:rsidR="0004189C" w:rsidRPr="003507F0">
        <w:rPr>
          <w:rFonts w:ascii="Times New Roman" w:eastAsia="Cambria" w:hAnsi="Times New Roman"/>
          <w:sz w:val="24"/>
          <w:szCs w:val="24"/>
        </w:rPr>
        <w:t>CD with a 12-month maturity</w:t>
      </w:r>
      <w:r w:rsidR="0004189C" w:rsidRPr="003507F0">
        <w:rPr>
          <w:rFonts w:ascii="Times New Roman" w:eastAsia="Cambria" w:hAnsi="Times New Roman"/>
          <w:sz w:val="24"/>
          <w:szCs w:val="24"/>
        </w:rPr>
        <w:t xml:space="preserve"> with 1.88% APR, </w:t>
      </w:r>
      <w:r w:rsidR="0004189C" w:rsidRPr="003507F0">
        <w:rPr>
          <w:rFonts w:ascii="Times New Roman" w:eastAsia="Cambria" w:hAnsi="Times New Roman"/>
          <w:sz w:val="24"/>
          <w:szCs w:val="24"/>
        </w:rPr>
        <w:t>CD with a 12-month maturity</w:t>
      </w:r>
      <w:r w:rsidR="0004189C" w:rsidRPr="003507F0">
        <w:rPr>
          <w:rFonts w:ascii="Times New Roman" w:eastAsia="Cambria" w:hAnsi="Times New Roman"/>
          <w:sz w:val="24"/>
          <w:szCs w:val="24"/>
        </w:rPr>
        <w:t xml:space="preserve"> with 1.71</w:t>
      </w:r>
      <w:r w:rsidR="0004189C" w:rsidRPr="003507F0">
        <w:rPr>
          <w:rFonts w:ascii="Times New Roman" w:eastAsia="Cambria" w:hAnsi="Times New Roman"/>
          <w:sz w:val="24"/>
          <w:szCs w:val="24"/>
        </w:rPr>
        <w:t>% APR</w:t>
      </w:r>
      <w:r w:rsidR="0004189C" w:rsidRPr="003507F0">
        <w:rPr>
          <w:rFonts w:ascii="Times New Roman" w:eastAsia="Cambria" w:hAnsi="Times New Roman"/>
          <w:sz w:val="24"/>
          <w:szCs w:val="24"/>
        </w:rPr>
        <w:t xml:space="preserve">, </w:t>
      </w:r>
      <w:r w:rsidR="0004189C" w:rsidRPr="003507F0">
        <w:rPr>
          <w:rFonts w:ascii="Times New Roman" w:eastAsia="Cambria" w:hAnsi="Times New Roman"/>
          <w:sz w:val="24"/>
          <w:szCs w:val="24"/>
        </w:rPr>
        <w:t>Treasury bill with a maturity of one year</w:t>
      </w:r>
      <w:r w:rsidR="0004189C" w:rsidRPr="003507F0">
        <w:rPr>
          <w:rFonts w:ascii="Times New Roman" w:eastAsia="Cambria" w:hAnsi="Times New Roman"/>
          <w:sz w:val="24"/>
          <w:szCs w:val="24"/>
        </w:rPr>
        <w:t xml:space="preserve">, and </w:t>
      </w:r>
      <w:r w:rsidR="0004189C" w:rsidRPr="003507F0">
        <w:rPr>
          <w:rFonts w:ascii="Times New Roman" w:eastAsia="Cambria" w:hAnsi="Times New Roman"/>
          <w:sz w:val="24"/>
          <w:szCs w:val="24"/>
        </w:rPr>
        <w:t>Money Market Account</w:t>
      </w:r>
      <w:r w:rsidR="0004189C" w:rsidRPr="003507F0">
        <w:rPr>
          <w:rFonts w:ascii="Times New Roman" w:eastAsia="Cambria" w:hAnsi="Times New Roman"/>
          <w:sz w:val="24"/>
          <w:szCs w:val="24"/>
        </w:rPr>
        <w:t xml:space="preserve">), </w:t>
      </w:r>
      <w:r w:rsidR="003507F0" w:rsidRPr="003507F0">
        <w:rPr>
          <w:rFonts w:ascii="Times New Roman" w:eastAsia="Cambria" w:hAnsi="Times New Roman"/>
          <w:sz w:val="24"/>
          <w:szCs w:val="24"/>
        </w:rPr>
        <w:t>Treasury</w:t>
      </w:r>
      <w:r w:rsidR="0004189C" w:rsidRPr="003507F0">
        <w:rPr>
          <w:rFonts w:ascii="Times New Roman" w:eastAsia="Cambria" w:hAnsi="Times New Roman"/>
          <w:sz w:val="24"/>
          <w:szCs w:val="24"/>
        </w:rPr>
        <w:t xml:space="preserve"> bill</w:t>
      </w:r>
      <w:r w:rsidR="0004189C" w:rsidRPr="003507F0">
        <w:rPr>
          <w:rFonts w:ascii="Times New Roman" w:eastAsia="Cambria" w:hAnsi="Times New Roman"/>
          <w:sz w:val="24"/>
          <w:szCs w:val="24"/>
        </w:rPr>
        <w:t xml:space="preserve"> is riskless. Treasury bill is free of credit risk. All other investment options (Certificate of Deposits, </w:t>
      </w:r>
      <w:r w:rsidR="0004189C" w:rsidRPr="003507F0">
        <w:rPr>
          <w:rFonts w:ascii="Times New Roman" w:eastAsia="Cambria" w:hAnsi="Times New Roman"/>
          <w:sz w:val="24"/>
          <w:szCs w:val="24"/>
        </w:rPr>
        <w:t>Money Market Account</w:t>
      </w:r>
      <w:r w:rsidR="0004189C" w:rsidRPr="003507F0">
        <w:rPr>
          <w:rFonts w:ascii="Times New Roman" w:eastAsia="Cambria" w:hAnsi="Times New Roman"/>
          <w:sz w:val="24"/>
          <w:szCs w:val="24"/>
        </w:rPr>
        <w:t xml:space="preserve">) has credit risk. Due to absence of credit risk, the return of </w:t>
      </w:r>
      <w:r w:rsidR="00E41E75" w:rsidRPr="003507F0">
        <w:rPr>
          <w:rFonts w:ascii="Times New Roman" w:eastAsia="Cambria" w:hAnsi="Times New Roman"/>
          <w:sz w:val="24"/>
          <w:szCs w:val="24"/>
        </w:rPr>
        <w:t xml:space="preserve">Treasury bill is lower as compared to </w:t>
      </w:r>
      <w:r w:rsidR="00E41E75" w:rsidRPr="003507F0">
        <w:rPr>
          <w:rFonts w:ascii="Times New Roman" w:eastAsia="Cambria" w:hAnsi="Times New Roman"/>
          <w:sz w:val="24"/>
          <w:szCs w:val="24"/>
        </w:rPr>
        <w:t>Money Market Account</w:t>
      </w:r>
      <w:r w:rsidR="00E41E75" w:rsidRPr="003507F0">
        <w:rPr>
          <w:rFonts w:ascii="Times New Roman" w:eastAsia="Cambria" w:hAnsi="Times New Roman"/>
          <w:sz w:val="24"/>
          <w:szCs w:val="24"/>
        </w:rPr>
        <w:t xml:space="preserve">, and </w:t>
      </w:r>
      <w:r w:rsidR="00E41E75" w:rsidRPr="003507F0">
        <w:rPr>
          <w:rFonts w:ascii="Times New Roman" w:eastAsia="Cambria" w:hAnsi="Times New Roman"/>
          <w:sz w:val="24"/>
          <w:szCs w:val="24"/>
        </w:rPr>
        <w:t>Certificate of Deposits</w:t>
      </w:r>
      <w:r w:rsidR="00E41E75" w:rsidRPr="003507F0">
        <w:rPr>
          <w:rFonts w:ascii="Times New Roman" w:eastAsia="Cambria" w:hAnsi="Times New Roman"/>
          <w:sz w:val="24"/>
          <w:szCs w:val="24"/>
        </w:rPr>
        <w:t xml:space="preserve">. Higher risk should be accompanied with higher return, and vice versa. </w:t>
      </w:r>
    </w:p>
    <w:p w:rsidR="00E41E75" w:rsidRPr="002E5563" w:rsidRDefault="00E41E75" w:rsidP="002E5563">
      <w:pPr>
        <w:spacing w:after="0" w:line="480" w:lineRule="auto"/>
        <w:ind w:firstLine="0"/>
        <w:jc w:val="left"/>
        <w:rPr>
          <w:rFonts w:ascii="Times New Roman" w:eastAsia="Cambria" w:hAnsi="Times New Roman"/>
          <w:sz w:val="12"/>
          <w:szCs w:val="12"/>
        </w:rPr>
      </w:pPr>
    </w:p>
    <w:p w:rsidR="00E41E75" w:rsidRPr="003507F0" w:rsidRDefault="002E5563" w:rsidP="002E5563">
      <w:pPr>
        <w:spacing w:after="0" w:line="48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>
        <w:rPr>
          <w:rFonts w:ascii="Times New Roman" w:eastAsia="Cambria" w:hAnsi="Times New Roman"/>
          <w:sz w:val="24"/>
          <w:szCs w:val="24"/>
        </w:rPr>
        <w:lastRenderedPageBreak/>
        <w:t xml:space="preserve">            </w:t>
      </w:r>
      <w:r w:rsidR="00E41E75" w:rsidRPr="003507F0">
        <w:rPr>
          <w:rFonts w:ascii="Times New Roman" w:eastAsia="Cambria" w:hAnsi="Times New Roman"/>
          <w:sz w:val="24"/>
          <w:szCs w:val="24"/>
        </w:rPr>
        <w:t xml:space="preserve">If the treasury manager of Western Technology </w:t>
      </w:r>
      <w:r w:rsidR="00E41E75" w:rsidRPr="003507F0">
        <w:rPr>
          <w:rFonts w:ascii="Times New Roman" w:eastAsia="Cambria" w:hAnsi="Times New Roman"/>
          <w:sz w:val="24"/>
          <w:szCs w:val="24"/>
        </w:rPr>
        <w:t>Inc</w:t>
      </w:r>
      <w:r w:rsidR="00B46F43" w:rsidRPr="003507F0">
        <w:rPr>
          <w:rFonts w:ascii="Times New Roman" w:eastAsia="Cambria" w:hAnsi="Times New Roman"/>
          <w:sz w:val="24"/>
          <w:szCs w:val="24"/>
        </w:rPr>
        <w:t>.</w:t>
      </w:r>
      <w:r w:rsidR="00E41E75" w:rsidRPr="003507F0">
        <w:rPr>
          <w:rFonts w:ascii="Times New Roman" w:eastAsia="Cambria" w:hAnsi="Times New Roman"/>
          <w:sz w:val="24"/>
          <w:szCs w:val="24"/>
        </w:rPr>
        <w:t xml:space="preserve"> wants to make risk free investment, then </w:t>
      </w:r>
      <w:r w:rsidR="00E41E75" w:rsidRPr="003507F0">
        <w:rPr>
          <w:rFonts w:ascii="Times New Roman" w:eastAsia="Cambria" w:hAnsi="Times New Roman"/>
          <w:sz w:val="24"/>
          <w:szCs w:val="24"/>
        </w:rPr>
        <w:t>Treasury bill with a maturity of one year</w:t>
      </w:r>
      <w:r w:rsidR="00AB6800" w:rsidRPr="003507F0">
        <w:rPr>
          <w:rFonts w:ascii="Times New Roman" w:eastAsia="Cambria" w:hAnsi="Times New Roman"/>
          <w:sz w:val="24"/>
          <w:szCs w:val="24"/>
        </w:rPr>
        <w:t xml:space="preserve"> yielding</w:t>
      </w:r>
      <w:r w:rsidR="00E41E75" w:rsidRPr="003507F0">
        <w:rPr>
          <w:rFonts w:ascii="Times New Roman" w:eastAsia="Cambria" w:hAnsi="Times New Roman"/>
          <w:sz w:val="24"/>
          <w:szCs w:val="24"/>
        </w:rPr>
        <w:t xml:space="preserve"> effective nominal</w:t>
      </w:r>
      <w:r w:rsidR="00AB6800" w:rsidRPr="003507F0">
        <w:rPr>
          <w:rFonts w:ascii="Times New Roman" w:eastAsia="Cambria" w:hAnsi="Times New Roman"/>
          <w:sz w:val="24"/>
          <w:szCs w:val="24"/>
        </w:rPr>
        <w:t xml:space="preserve"> yield of 0.30% will be chosen instead of </w:t>
      </w:r>
      <w:r w:rsidR="00AB6800" w:rsidRPr="003507F0">
        <w:rPr>
          <w:rFonts w:ascii="Times New Roman" w:eastAsia="Cambria" w:hAnsi="Times New Roman"/>
          <w:sz w:val="24"/>
          <w:szCs w:val="24"/>
        </w:rPr>
        <w:t>CD with a 12-month maturity</w:t>
      </w:r>
      <w:r w:rsidR="00AB6800" w:rsidRPr="003507F0">
        <w:rPr>
          <w:rFonts w:ascii="Times New Roman" w:eastAsia="Cambria" w:hAnsi="Times New Roman"/>
          <w:sz w:val="24"/>
          <w:szCs w:val="24"/>
        </w:rPr>
        <w:t xml:space="preserve"> yielding </w:t>
      </w:r>
      <w:r w:rsidR="00AB6800" w:rsidRPr="003507F0">
        <w:rPr>
          <w:rFonts w:ascii="Times New Roman" w:eastAsia="Cambria" w:hAnsi="Times New Roman"/>
          <w:sz w:val="24"/>
          <w:szCs w:val="24"/>
        </w:rPr>
        <w:t xml:space="preserve">effective nominal yield of </w:t>
      </w:r>
      <w:r w:rsidR="00AB6800" w:rsidRPr="003507F0">
        <w:rPr>
          <w:rFonts w:ascii="Times New Roman" w:eastAsia="Cambria" w:hAnsi="Times New Roman"/>
          <w:sz w:val="24"/>
          <w:szCs w:val="24"/>
        </w:rPr>
        <w:t>1.9</w:t>
      </w:r>
      <w:r w:rsidR="00AB6800" w:rsidRPr="003507F0">
        <w:rPr>
          <w:rFonts w:ascii="Times New Roman" w:eastAsia="Cambria" w:hAnsi="Times New Roman"/>
          <w:sz w:val="24"/>
          <w:szCs w:val="24"/>
        </w:rPr>
        <w:t>0%</w:t>
      </w:r>
      <w:r w:rsidR="00AB6800" w:rsidRPr="003507F0">
        <w:rPr>
          <w:rFonts w:ascii="Times New Roman" w:eastAsia="Cambria" w:hAnsi="Times New Roman"/>
          <w:sz w:val="24"/>
          <w:szCs w:val="24"/>
        </w:rPr>
        <w:t xml:space="preserve">. </w:t>
      </w:r>
    </w:p>
    <w:p w:rsidR="0004189C" w:rsidRDefault="0004189C" w:rsidP="002E5563">
      <w:pPr>
        <w:spacing w:after="0" w:line="48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3507F0" w:rsidRPr="003507F0" w:rsidRDefault="003507F0" w:rsidP="002E5563">
      <w:pPr>
        <w:spacing w:after="0" w:line="480" w:lineRule="auto"/>
        <w:ind w:firstLine="0"/>
        <w:jc w:val="center"/>
        <w:rPr>
          <w:rFonts w:ascii="Times New Roman" w:eastAsia="Cambria" w:hAnsi="Times New Roman"/>
          <w:b/>
          <w:sz w:val="24"/>
          <w:szCs w:val="24"/>
        </w:rPr>
      </w:pPr>
      <w:r w:rsidRPr="003507F0">
        <w:rPr>
          <w:rFonts w:ascii="Times New Roman" w:eastAsia="Cambria" w:hAnsi="Times New Roman"/>
          <w:b/>
          <w:sz w:val="24"/>
          <w:szCs w:val="24"/>
        </w:rPr>
        <w:t xml:space="preserve">Difference in the </w:t>
      </w:r>
      <w:r w:rsidRPr="003507F0">
        <w:rPr>
          <w:rFonts w:ascii="Times New Roman" w:eastAsia="Cambria" w:hAnsi="Times New Roman"/>
          <w:b/>
          <w:sz w:val="24"/>
          <w:szCs w:val="24"/>
        </w:rPr>
        <w:t>concepts of money market mutual fund and money market instruments</w:t>
      </w:r>
    </w:p>
    <w:p w:rsidR="002E5563" w:rsidRPr="002E5563" w:rsidRDefault="002E5563" w:rsidP="002E5563">
      <w:pPr>
        <w:spacing w:after="0" w:line="480" w:lineRule="auto"/>
        <w:ind w:firstLine="0"/>
        <w:jc w:val="left"/>
        <w:rPr>
          <w:rFonts w:ascii="Times New Roman" w:eastAsia="Cambria" w:hAnsi="Times New Roman"/>
          <w:sz w:val="12"/>
          <w:szCs w:val="12"/>
        </w:rPr>
      </w:pPr>
    </w:p>
    <w:p w:rsidR="0004189C" w:rsidRPr="003507F0" w:rsidRDefault="002E5563" w:rsidP="002E5563">
      <w:pPr>
        <w:spacing w:after="0" w:line="48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>
        <w:rPr>
          <w:rFonts w:ascii="Times New Roman" w:eastAsia="Cambria" w:hAnsi="Times New Roman"/>
          <w:sz w:val="24"/>
          <w:szCs w:val="24"/>
        </w:rPr>
        <w:t xml:space="preserve">             </w:t>
      </w:r>
      <w:r w:rsidR="00366901" w:rsidRPr="003507F0">
        <w:rPr>
          <w:rFonts w:ascii="Times New Roman" w:eastAsia="Cambria" w:hAnsi="Times New Roman"/>
          <w:sz w:val="24"/>
          <w:szCs w:val="24"/>
        </w:rPr>
        <w:t>The concepts of money market mutual fund and money market instruments are different. M</w:t>
      </w:r>
      <w:r w:rsidR="00366901" w:rsidRPr="003507F0">
        <w:rPr>
          <w:rFonts w:ascii="Times New Roman" w:eastAsia="Cambria" w:hAnsi="Times New Roman"/>
          <w:sz w:val="24"/>
          <w:szCs w:val="24"/>
        </w:rPr>
        <w:t>oney market mutual fund</w:t>
      </w:r>
      <w:r w:rsidR="00366901" w:rsidRPr="003507F0">
        <w:rPr>
          <w:rFonts w:ascii="Times New Roman" w:eastAsia="Cambria" w:hAnsi="Times New Roman"/>
          <w:sz w:val="24"/>
          <w:szCs w:val="24"/>
        </w:rPr>
        <w:t xml:space="preserve"> is sponsored by fund companies, and </w:t>
      </w:r>
      <w:r w:rsidR="00366901" w:rsidRPr="003507F0">
        <w:rPr>
          <w:rFonts w:ascii="Times New Roman" w:hAnsi="Times New Roman"/>
          <w:sz w:val="24"/>
          <w:szCs w:val="24"/>
        </w:rPr>
        <w:t>carries</w:t>
      </w:r>
      <w:r w:rsidR="00366901" w:rsidRPr="003507F0">
        <w:rPr>
          <w:rFonts w:ascii="Times New Roman" w:hAnsi="Times New Roman"/>
          <w:sz w:val="24"/>
          <w:szCs w:val="24"/>
        </w:rPr>
        <w:t xml:space="preserve"> no guarantee of principal</w:t>
      </w:r>
      <w:r w:rsidR="00366901" w:rsidRPr="003507F0">
        <w:rPr>
          <w:rFonts w:ascii="Times New Roman" w:hAnsi="Times New Roman"/>
          <w:sz w:val="24"/>
          <w:szCs w:val="24"/>
        </w:rPr>
        <w:t xml:space="preserve"> repayment. </w:t>
      </w:r>
      <w:r w:rsidR="00366901" w:rsidRPr="003507F0">
        <w:rPr>
          <w:rFonts w:ascii="Times New Roman" w:eastAsia="Cambria" w:hAnsi="Times New Roman"/>
          <w:sz w:val="24"/>
          <w:szCs w:val="24"/>
        </w:rPr>
        <w:t>M</w:t>
      </w:r>
      <w:r w:rsidR="00366901" w:rsidRPr="003507F0">
        <w:rPr>
          <w:rFonts w:ascii="Times New Roman" w:eastAsia="Cambria" w:hAnsi="Times New Roman"/>
          <w:sz w:val="24"/>
          <w:szCs w:val="24"/>
        </w:rPr>
        <w:t>oney market instruments</w:t>
      </w:r>
      <w:r w:rsidR="00B66E8E" w:rsidRPr="003507F0">
        <w:rPr>
          <w:rFonts w:ascii="Times New Roman" w:eastAsia="Cambria" w:hAnsi="Times New Roman"/>
          <w:sz w:val="24"/>
          <w:szCs w:val="24"/>
        </w:rPr>
        <w:t xml:space="preserve"> are the short term, low risk, and highly liquid financial instruments </w:t>
      </w:r>
      <w:sdt>
        <w:sdtPr>
          <w:rPr>
            <w:rFonts w:ascii="Times New Roman" w:eastAsia="Cambria" w:hAnsi="Times New Roman"/>
            <w:sz w:val="24"/>
            <w:szCs w:val="24"/>
          </w:rPr>
          <w:id w:val="1888685904"/>
          <w:citation/>
        </w:sdtPr>
        <w:sdtContent>
          <w:r w:rsidR="00B66E8E" w:rsidRPr="003507F0">
            <w:rPr>
              <w:rFonts w:ascii="Times New Roman" w:eastAsia="Cambria" w:hAnsi="Times New Roman"/>
              <w:sz w:val="24"/>
              <w:szCs w:val="24"/>
            </w:rPr>
            <w:fldChar w:fldCharType="begin"/>
          </w:r>
          <w:r w:rsidR="00B66E8E" w:rsidRPr="003507F0">
            <w:rPr>
              <w:rFonts w:ascii="Times New Roman" w:eastAsia="Cambria" w:hAnsi="Times New Roman"/>
              <w:sz w:val="24"/>
              <w:szCs w:val="24"/>
            </w:rPr>
            <w:instrText xml:space="preserve"> CITATION Ram14 \l 1033 </w:instrText>
          </w:r>
          <w:r w:rsidR="00B66E8E" w:rsidRPr="003507F0">
            <w:rPr>
              <w:rFonts w:ascii="Times New Roman" w:eastAsia="Cambria" w:hAnsi="Times New Roman"/>
              <w:sz w:val="24"/>
              <w:szCs w:val="24"/>
            </w:rPr>
            <w:fldChar w:fldCharType="separate"/>
          </w:r>
          <w:r w:rsidR="00B66E8E" w:rsidRPr="003507F0">
            <w:rPr>
              <w:rFonts w:ascii="Times New Roman" w:eastAsia="Cambria" w:hAnsi="Times New Roman"/>
              <w:noProof/>
              <w:sz w:val="24"/>
              <w:szCs w:val="24"/>
            </w:rPr>
            <w:t>(Kakoni &amp; Ramacharchan, 2014)</w:t>
          </w:r>
          <w:r w:rsidR="00B66E8E" w:rsidRPr="003507F0">
            <w:rPr>
              <w:rFonts w:ascii="Times New Roman" w:eastAsia="Cambria" w:hAnsi="Times New Roman"/>
              <w:sz w:val="24"/>
              <w:szCs w:val="24"/>
            </w:rPr>
            <w:fldChar w:fldCharType="end"/>
          </w:r>
        </w:sdtContent>
      </w:sdt>
      <w:r w:rsidR="00584C56" w:rsidRPr="003507F0">
        <w:rPr>
          <w:rFonts w:ascii="Times New Roman" w:eastAsia="Cambria" w:hAnsi="Times New Roman"/>
          <w:sz w:val="24"/>
          <w:szCs w:val="24"/>
        </w:rPr>
        <w:t xml:space="preserve">. Money market instruments include treasury bills, certificate of deposits (CDs), commercial paper, banker acceptance etc. </w:t>
      </w:r>
      <w:r w:rsidR="00584C56" w:rsidRPr="003507F0">
        <w:rPr>
          <w:rFonts w:ascii="Times New Roman" w:eastAsia="Cambria" w:hAnsi="Times New Roman"/>
          <w:sz w:val="24"/>
          <w:szCs w:val="24"/>
        </w:rPr>
        <w:t>Money market mutual fund</w:t>
      </w:r>
      <w:r w:rsidR="00584C56" w:rsidRPr="003507F0">
        <w:rPr>
          <w:rFonts w:ascii="Times New Roman" w:eastAsia="Cambria" w:hAnsi="Times New Roman"/>
          <w:sz w:val="24"/>
          <w:szCs w:val="24"/>
        </w:rPr>
        <w:t xml:space="preserve"> makes investment in money market instruments. </w:t>
      </w: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sdt>
      <w:sdtPr>
        <w:id w:val="-461579235"/>
        <w:docPartObj>
          <w:docPartGallery w:val="Bibliographies"/>
          <w:docPartUnique/>
        </w:docPartObj>
      </w:sdtPr>
      <w:sdtEndPr>
        <w:rPr>
          <w:rFonts w:eastAsia="Calibri"/>
          <w:b w:val="0"/>
          <w:bCs w:val="0"/>
          <w:smallCaps w:val="0"/>
          <w:noProof w:val="0"/>
          <w:kern w:val="0"/>
          <w:sz w:val="22"/>
          <w:szCs w:val="22"/>
        </w:rPr>
      </w:sdtEndPr>
      <w:sdtContent>
        <w:p w:rsidR="002E5563" w:rsidRPr="002E5563" w:rsidRDefault="002E5563" w:rsidP="002E5563">
          <w:pPr>
            <w:pStyle w:val="Heading1"/>
            <w:pBdr>
              <w:bottom w:val="single" w:sz="4" w:space="1" w:color="auto"/>
            </w:pBdr>
            <w:rPr>
              <w:rFonts w:ascii="Times New Roman" w:hAnsi="Times New Roman"/>
              <w:color w:val="1F4E79" w:themeColor="accent1" w:themeShade="80"/>
              <w:sz w:val="28"/>
              <w:szCs w:val="28"/>
            </w:rPr>
          </w:pPr>
          <w:r w:rsidRPr="002E5563">
            <w:rPr>
              <w:rFonts w:ascii="Times New Roman" w:hAnsi="Times New Roman"/>
              <w:color w:val="1F4E79" w:themeColor="accent1" w:themeShade="80"/>
              <w:sz w:val="28"/>
              <w:szCs w:val="28"/>
            </w:rPr>
            <w:t>Bibliography</w:t>
          </w:r>
        </w:p>
        <w:sdt>
          <w:sdtPr>
            <w:rPr>
              <w:rFonts w:ascii="Times New Roman" w:hAnsi="Times New Roman"/>
              <w:sz w:val="24"/>
              <w:szCs w:val="24"/>
            </w:rPr>
            <w:id w:val="111145805"/>
            <w:bibliography/>
          </w:sdtPr>
          <w:sdtEndPr>
            <w:rPr>
              <w:rFonts w:ascii="Georgia" w:hAnsi="Georgia"/>
              <w:sz w:val="22"/>
              <w:szCs w:val="22"/>
            </w:rPr>
          </w:sdtEndPr>
          <w:sdtContent>
            <w:p w:rsidR="002E5563" w:rsidRPr="002E5563" w:rsidRDefault="002E5563" w:rsidP="002E5563">
              <w:pPr>
                <w:pStyle w:val="Bibliography"/>
                <w:ind w:left="720" w:hanging="720"/>
                <w:rPr>
                  <w:rFonts w:ascii="Times New Roman" w:hAnsi="Times New Roman"/>
                  <w:noProof/>
                  <w:sz w:val="24"/>
                  <w:szCs w:val="24"/>
                </w:rPr>
              </w:pPr>
              <w:r w:rsidRPr="002E5563">
                <w:rPr>
                  <w:rFonts w:ascii="Times New Roman" w:hAnsi="Times New Roman"/>
                  <w:sz w:val="24"/>
                  <w:szCs w:val="24"/>
                </w:rPr>
                <w:fldChar w:fldCharType="begin"/>
              </w:r>
              <w:r w:rsidRPr="002E5563">
                <w:rPr>
                  <w:rFonts w:ascii="Times New Roman" w:hAnsi="Times New Roman"/>
                  <w:sz w:val="24"/>
                  <w:szCs w:val="24"/>
                </w:rPr>
                <w:instrText xml:space="preserve"> BIBLIOGRAPHY </w:instrText>
              </w:r>
              <w:r w:rsidRPr="002E5563">
                <w:rPr>
                  <w:rFonts w:ascii="Times New Roman" w:hAnsi="Times New Roman"/>
                  <w:sz w:val="24"/>
                  <w:szCs w:val="24"/>
                </w:rPr>
                <w:fldChar w:fldCharType="separate"/>
              </w:r>
              <w:r w:rsidRPr="002E5563">
                <w:rPr>
                  <w:rFonts w:ascii="Times New Roman" w:hAnsi="Times New Roman"/>
                  <w:noProof/>
                  <w:sz w:val="24"/>
                  <w:szCs w:val="24"/>
                </w:rPr>
                <w:t xml:space="preserve">Kakoni, R. K., &amp; Ramacharchan, N. (2014). </w:t>
              </w:r>
              <w:r w:rsidRPr="002E5563">
                <w:rPr>
                  <w:rFonts w:ascii="Times New Roman" w:hAnsi="Times New Roman"/>
                  <w:i/>
                  <w:iCs/>
                  <w:noProof/>
                  <w:sz w:val="24"/>
                  <w:szCs w:val="24"/>
                </w:rPr>
                <w:t>Financial Accounting Management.</w:t>
              </w:r>
              <w:r w:rsidRPr="002E5563">
                <w:rPr>
                  <w:rFonts w:ascii="Times New Roman" w:hAnsi="Times New Roman"/>
                  <w:noProof/>
                  <w:sz w:val="24"/>
                  <w:szCs w:val="24"/>
                </w:rPr>
                <w:t xml:space="preserve"> New York: Mc-Graw HIl.</w:t>
              </w:r>
            </w:p>
            <w:p w:rsidR="002E5563" w:rsidRPr="002E5563" w:rsidRDefault="002E5563" w:rsidP="002E5563">
              <w:pPr>
                <w:pStyle w:val="Bibliography"/>
                <w:ind w:left="720" w:hanging="720"/>
                <w:rPr>
                  <w:rFonts w:ascii="Times New Roman" w:hAnsi="Times New Roman"/>
                  <w:noProof/>
                  <w:sz w:val="24"/>
                  <w:szCs w:val="24"/>
                </w:rPr>
              </w:pPr>
              <w:r w:rsidRPr="002E5563">
                <w:rPr>
                  <w:rFonts w:ascii="Times New Roman" w:hAnsi="Times New Roman"/>
                  <w:noProof/>
                  <w:sz w:val="24"/>
                  <w:szCs w:val="24"/>
                </w:rPr>
                <w:t xml:space="preserve">Petty, J. W., Titman, S., Keown, A. J., &amp; Martin, J. D. (2015). </w:t>
              </w:r>
              <w:r w:rsidRPr="002E5563">
                <w:rPr>
                  <w:rFonts w:ascii="Times New Roman" w:hAnsi="Times New Roman"/>
                  <w:i/>
                  <w:iCs/>
                  <w:noProof/>
                  <w:sz w:val="24"/>
                  <w:szCs w:val="24"/>
                </w:rPr>
                <w:t>Financial Management: Principle and Application.</w:t>
              </w:r>
              <w:r w:rsidRPr="002E5563">
                <w:rPr>
                  <w:rFonts w:ascii="Times New Roman" w:hAnsi="Times New Roman"/>
                  <w:noProof/>
                  <w:sz w:val="24"/>
                  <w:szCs w:val="24"/>
                </w:rPr>
                <w:t xml:space="preserve"> New York: Peason Education.</w:t>
              </w:r>
            </w:p>
            <w:p w:rsidR="002E5563" w:rsidRPr="002E5563" w:rsidRDefault="002E5563" w:rsidP="002E5563">
              <w:pPr>
                <w:pStyle w:val="Bibliography"/>
                <w:ind w:left="720" w:hanging="720"/>
                <w:rPr>
                  <w:rFonts w:ascii="Times New Roman" w:hAnsi="Times New Roman"/>
                  <w:noProof/>
                  <w:sz w:val="24"/>
                  <w:szCs w:val="24"/>
                </w:rPr>
              </w:pPr>
              <w:r w:rsidRPr="002E5563">
                <w:rPr>
                  <w:rFonts w:ascii="Times New Roman" w:hAnsi="Times New Roman"/>
                  <w:noProof/>
                  <w:sz w:val="24"/>
                  <w:szCs w:val="24"/>
                </w:rPr>
                <w:t xml:space="preserve">Surbhi. (2015, July 02). </w:t>
              </w:r>
              <w:r w:rsidRPr="002E5563">
                <w:rPr>
                  <w:rFonts w:ascii="Times New Roman" w:hAnsi="Times New Roman"/>
                  <w:i/>
                  <w:iCs/>
                  <w:noProof/>
                  <w:sz w:val="24"/>
                  <w:szCs w:val="24"/>
                </w:rPr>
                <w:t>Key Differences</w:t>
              </w:r>
              <w:r w:rsidRPr="002E5563">
                <w:rPr>
                  <w:rFonts w:ascii="Times New Roman" w:hAnsi="Times New Roman"/>
                  <w:noProof/>
                  <w:sz w:val="24"/>
                  <w:szCs w:val="24"/>
                </w:rPr>
                <w:t>. Retrieved September 05, 2016, from Difference Between Compounding and Discounting: http://keydifferences.com/difference-between-compounding-and-discounting.html</w:t>
              </w:r>
            </w:p>
            <w:p w:rsidR="002E5563" w:rsidRDefault="002E5563" w:rsidP="002E5563">
              <w:r w:rsidRPr="002E5563">
                <w:rPr>
                  <w:rFonts w:ascii="Times New Roman" w:hAnsi="Times New Roman"/>
                  <w:b/>
                  <w:bCs/>
                  <w:noProof/>
                  <w:sz w:val="24"/>
                  <w:szCs w:val="24"/>
                </w:rPr>
                <w:fldChar w:fldCharType="end"/>
              </w:r>
            </w:p>
          </w:sdtContent>
        </w:sdt>
      </w:sdtContent>
    </w:sdt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3507F0" w:rsidRDefault="003507F0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2E5563" w:rsidRDefault="002E5563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3507F0" w:rsidRDefault="003507F0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3507F0" w:rsidRPr="003507F0" w:rsidRDefault="003507F0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66901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3507F0">
      <w:pPr>
        <w:pBdr>
          <w:bottom w:val="single" w:sz="4" w:space="1" w:color="auto"/>
        </w:pBdr>
        <w:spacing w:after="0" w:line="240" w:lineRule="auto"/>
        <w:ind w:firstLine="0"/>
        <w:jc w:val="center"/>
        <w:rPr>
          <w:rFonts w:ascii="Times New Roman" w:eastAsia="Cambria" w:hAnsi="Times New Roman"/>
          <w:b/>
          <w:color w:val="1F4E79" w:themeColor="accent1" w:themeShade="80"/>
          <w:sz w:val="28"/>
          <w:szCs w:val="28"/>
        </w:rPr>
      </w:pPr>
      <w:r w:rsidRPr="003507F0">
        <w:rPr>
          <w:rFonts w:ascii="Times New Roman" w:eastAsia="Cambria" w:hAnsi="Times New Roman"/>
          <w:b/>
          <w:color w:val="1F4E79" w:themeColor="accent1" w:themeShade="80"/>
          <w:sz w:val="28"/>
          <w:szCs w:val="28"/>
        </w:rPr>
        <w:lastRenderedPageBreak/>
        <w:t>Appendices</w:t>
      </w:r>
    </w:p>
    <w:p w:rsidR="00CC1097" w:rsidRPr="003507F0" w:rsidRDefault="00CC1097" w:rsidP="00CC1097">
      <w:pPr>
        <w:spacing w:after="0" w:line="240" w:lineRule="auto"/>
        <w:ind w:firstLine="0"/>
        <w:rPr>
          <w:rFonts w:ascii="Times New Roman" w:eastAsia="Cambria" w:hAnsi="Times New Roman"/>
          <w:b/>
          <w:color w:val="1F4E79" w:themeColor="accent1" w:themeShade="80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b/>
          <w:sz w:val="24"/>
          <w:szCs w:val="24"/>
        </w:rPr>
      </w:pPr>
      <w:r w:rsidRPr="003507F0">
        <w:rPr>
          <w:rFonts w:ascii="Times New Roman" w:eastAsia="Cambria" w:hAnsi="Times New Roman"/>
          <w:b/>
          <w:sz w:val="24"/>
          <w:szCs w:val="24"/>
        </w:rPr>
        <w:t>Appendix 01: Nominal Effective Rate of Return</w:t>
      </w:r>
      <w:r w:rsidRPr="003507F0">
        <w:rPr>
          <w:rFonts w:ascii="Times New Roman" w:eastAsia="Cambria" w:hAnsi="Times New Roman"/>
          <w:b/>
          <w:sz w:val="24"/>
          <w:szCs w:val="24"/>
        </w:rPr>
        <w:t xml:space="preserve"> (EAR)</w:t>
      </w:r>
      <w:r w:rsidRPr="003507F0">
        <w:rPr>
          <w:rFonts w:ascii="Times New Roman" w:eastAsia="Cambria" w:hAnsi="Times New Roman"/>
          <w:b/>
          <w:sz w:val="24"/>
          <w:szCs w:val="24"/>
        </w:rPr>
        <w:t xml:space="preserve"> Calculation</w:t>
      </w: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b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b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  <w:u w:val="single"/>
        </w:rPr>
      </w:pPr>
      <w:r w:rsidRPr="003507F0">
        <w:rPr>
          <w:rFonts w:ascii="Times New Roman" w:eastAsia="Cambria" w:hAnsi="Times New Roman"/>
          <w:sz w:val="24"/>
          <w:szCs w:val="24"/>
          <w:u w:val="single"/>
        </w:rPr>
        <w:t>Option 01 CD with a 12-month maturity</w:t>
      </w:r>
    </w:p>
    <w:p w:rsidR="00CC1097" w:rsidRPr="003507F0" w:rsidRDefault="00CC1097" w:rsidP="00CC1097">
      <w:pPr>
        <w:spacing w:after="0" w:line="240" w:lineRule="auto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 w:rsidRPr="003507F0">
        <w:rPr>
          <w:rFonts w:ascii="Times New Roman" w:eastAsia="Cambria" w:hAnsi="Times New Roman"/>
          <w:sz w:val="24"/>
          <w:szCs w:val="24"/>
        </w:rPr>
        <w:t>Here, APR = 1.88% monthly compounded</w:t>
      </w:r>
    </w:p>
    <w:p w:rsidR="00CC1097" w:rsidRPr="003507F0" w:rsidRDefault="00CC1097" w:rsidP="00CC1097">
      <w:pPr>
        <w:spacing w:after="0" w:line="240" w:lineRule="auto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 w:rsidRPr="003507F0">
        <w:rPr>
          <w:rFonts w:ascii="Times New Roman" w:eastAsia="Cambria" w:hAnsi="Times New Roman"/>
          <w:sz w:val="24"/>
          <w:szCs w:val="24"/>
        </w:rPr>
        <w:t>Nominal Effective Annual Return (EAR) = (1+1.88%/12)</w:t>
      </w:r>
      <w:r w:rsidRPr="003507F0">
        <w:rPr>
          <w:rFonts w:ascii="Times New Roman" w:eastAsia="Cambria" w:hAnsi="Times New Roman"/>
          <w:sz w:val="24"/>
          <w:szCs w:val="24"/>
          <w:vertAlign w:val="superscript"/>
        </w:rPr>
        <w:t>12</w:t>
      </w:r>
      <w:r w:rsidRPr="003507F0">
        <w:rPr>
          <w:rFonts w:ascii="Times New Roman" w:eastAsia="Cambria" w:hAnsi="Times New Roman"/>
          <w:sz w:val="24"/>
          <w:szCs w:val="24"/>
        </w:rPr>
        <w:t xml:space="preserve"> – 1 = 1.90%</w:t>
      </w:r>
    </w:p>
    <w:p w:rsidR="00CC1097" w:rsidRPr="003507F0" w:rsidRDefault="00CC1097" w:rsidP="00CC1097">
      <w:pPr>
        <w:spacing w:after="0" w:line="240" w:lineRule="auto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  <w:u w:val="single"/>
        </w:rPr>
      </w:pPr>
      <w:r w:rsidRPr="003507F0">
        <w:rPr>
          <w:rFonts w:ascii="Times New Roman" w:eastAsia="Cambria" w:hAnsi="Times New Roman"/>
          <w:sz w:val="24"/>
          <w:szCs w:val="24"/>
          <w:u w:val="single"/>
        </w:rPr>
        <w:t>Option 02: CD with a 12-month maturity</w:t>
      </w:r>
    </w:p>
    <w:p w:rsidR="00CC1097" w:rsidRPr="003507F0" w:rsidRDefault="00CC1097" w:rsidP="00CC1097">
      <w:pPr>
        <w:spacing w:after="0" w:line="240" w:lineRule="auto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 w:rsidRPr="003507F0">
        <w:rPr>
          <w:rFonts w:ascii="Times New Roman" w:eastAsia="Cambria" w:hAnsi="Times New Roman"/>
          <w:sz w:val="24"/>
          <w:szCs w:val="24"/>
        </w:rPr>
        <w:t>Here, APR = 1.71% quarterly compounded</w:t>
      </w:r>
    </w:p>
    <w:p w:rsidR="00CC1097" w:rsidRPr="003507F0" w:rsidRDefault="00CC1097" w:rsidP="00CC1097">
      <w:pPr>
        <w:spacing w:after="0" w:line="240" w:lineRule="auto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 w:rsidRPr="003507F0">
        <w:rPr>
          <w:rFonts w:ascii="Times New Roman" w:eastAsia="Cambria" w:hAnsi="Times New Roman"/>
          <w:sz w:val="24"/>
          <w:szCs w:val="24"/>
        </w:rPr>
        <w:t>Nominal Effective Annual Return (EAR) = (1+1.71%/4)</w:t>
      </w:r>
      <w:r w:rsidRPr="003507F0">
        <w:rPr>
          <w:rFonts w:ascii="Times New Roman" w:eastAsia="Cambria" w:hAnsi="Times New Roman"/>
          <w:sz w:val="24"/>
          <w:szCs w:val="24"/>
          <w:vertAlign w:val="superscript"/>
        </w:rPr>
        <w:t>4</w:t>
      </w:r>
      <w:r w:rsidRPr="003507F0">
        <w:rPr>
          <w:rFonts w:ascii="Times New Roman" w:eastAsia="Cambria" w:hAnsi="Times New Roman"/>
          <w:sz w:val="24"/>
          <w:szCs w:val="24"/>
        </w:rPr>
        <w:t xml:space="preserve"> – 1 = 1.72%</w:t>
      </w:r>
    </w:p>
    <w:p w:rsidR="00CC1097" w:rsidRPr="003507F0" w:rsidRDefault="00CC1097" w:rsidP="00CC1097">
      <w:pPr>
        <w:spacing w:after="0" w:line="240" w:lineRule="auto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  <w:u w:val="single"/>
        </w:rPr>
      </w:pPr>
      <w:r w:rsidRPr="003507F0">
        <w:rPr>
          <w:rFonts w:ascii="Times New Roman" w:eastAsia="Cambria" w:hAnsi="Times New Roman"/>
          <w:sz w:val="24"/>
          <w:szCs w:val="24"/>
          <w:u w:val="single"/>
        </w:rPr>
        <w:t>Option 03: Treasury bill with a maturity of one year</w:t>
      </w:r>
    </w:p>
    <w:p w:rsidR="00CC1097" w:rsidRPr="003507F0" w:rsidRDefault="00CC1097" w:rsidP="00CC1097">
      <w:pPr>
        <w:spacing w:after="0" w:line="240" w:lineRule="auto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 w:rsidRPr="003507F0">
        <w:rPr>
          <w:rFonts w:ascii="Times New Roman" w:eastAsia="Cambria" w:hAnsi="Times New Roman"/>
          <w:sz w:val="24"/>
          <w:szCs w:val="24"/>
        </w:rPr>
        <w:t>Nominal Value = $50000</w:t>
      </w: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 w:rsidRPr="003507F0">
        <w:rPr>
          <w:rFonts w:ascii="Times New Roman" w:eastAsia="Cambria" w:hAnsi="Times New Roman"/>
          <w:sz w:val="24"/>
          <w:szCs w:val="24"/>
        </w:rPr>
        <w:t>Discounted Value = $49850</w:t>
      </w: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 w:rsidRPr="003507F0">
        <w:rPr>
          <w:rFonts w:ascii="Times New Roman" w:eastAsia="Cambria" w:hAnsi="Times New Roman"/>
          <w:sz w:val="24"/>
          <w:szCs w:val="24"/>
        </w:rPr>
        <w:t>Nominal Effective Annual Return (EAR) = (50000-49850)/50000 = 0.30%</w:t>
      </w: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  <w:u w:val="single"/>
        </w:rPr>
      </w:pPr>
      <w:r w:rsidRPr="003507F0">
        <w:rPr>
          <w:rFonts w:ascii="Times New Roman" w:eastAsia="Cambria" w:hAnsi="Times New Roman"/>
          <w:sz w:val="24"/>
          <w:szCs w:val="24"/>
          <w:u w:val="single"/>
        </w:rPr>
        <w:t>Option 04: Money Market Account</w:t>
      </w:r>
    </w:p>
    <w:p w:rsidR="00CC1097" w:rsidRPr="003507F0" w:rsidRDefault="00CC1097" w:rsidP="00CC1097">
      <w:pPr>
        <w:spacing w:after="0" w:line="240" w:lineRule="auto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 w:rsidRPr="003507F0">
        <w:rPr>
          <w:rFonts w:ascii="Times New Roman" w:eastAsia="Cambria" w:hAnsi="Times New Roman"/>
          <w:sz w:val="24"/>
          <w:szCs w:val="24"/>
        </w:rPr>
        <w:t>Here, APR = 1.10% monthly compounded</w:t>
      </w: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 w:rsidRPr="003507F0">
        <w:rPr>
          <w:rFonts w:ascii="Times New Roman" w:eastAsia="Cambria" w:hAnsi="Times New Roman"/>
          <w:sz w:val="24"/>
          <w:szCs w:val="24"/>
        </w:rPr>
        <w:t>Nominal Effective Annual Return (EAR) = (1+1.10%/12)</w:t>
      </w:r>
      <w:r w:rsidRPr="003507F0">
        <w:rPr>
          <w:rFonts w:ascii="Times New Roman" w:eastAsia="Cambria" w:hAnsi="Times New Roman"/>
          <w:sz w:val="24"/>
          <w:szCs w:val="24"/>
          <w:vertAlign w:val="superscript"/>
        </w:rPr>
        <w:t>12</w:t>
      </w:r>
      <w:r w:rsidRPr="003507F0">
        <w:rPr>
          <w:rFonts w:ascii="Times New Roman" w:eastAsia="Cambria" w:hAnsi="Times New Roman"/>
          <w:sz w:val="24"/>
          <w:szCs w:val="24"/>
        </w:rPr>
        <w:t xml:space="preserve"> – 1 = 1.11%</w:t>
      </w: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b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b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b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b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b/>
          <w:sz w:val="24"/>
          <w:szCs w:val="24"/>
        </w:rPr>
      </w:pPr>
      <w:r w:rsidRPr="003507F0">
        <w:rPr>
          <w:rFonts w:ascii="Times New Roman" w:eastAsia="Cambria" w:hAnsi="Times New Roman"/>
          <w:b/>
          <w:sz w:val="24"/>
          <w:szCs w:val="24"/>
        </w:rPr>
        <w:lastRenderedPageBreak/>
        <w:t xml:space="preserve">Appendix 02: Nominal </w:t>
      </w:r>
      <w:proofErr w:type="gramStart"/>
      <w:r w:rsidRPr="003507F0">
        <w:rPr>
          <w:rFonts w:ascii="Times New Roman" w:eastAsia="Cambria" w:hAnsi="Times New Roman"/>
          <w:b/>
          <w:sz w:val="24"/>
          <w:szCs w:val="24"/>
        </w:rPr>
        <w:t>After</w:t>
      </w:r>
      <w:proofErr w:type="gramEnd"/>
      <w:r w:rsidRPr="003507F0">
        <w:rPr>
          <w:rFonts w:ascii="Times New Roman" w:eastAsia="Cambria" w:hAnsi="Times New Roman"/>
          <w:b/>
          <w:sz w:val="24"/>
          <w:szCs w:val="24"/>
        </w:rPr>
        <w:t xml:space="preserve"> Tax Effective Rate of Return (EAR) Calculation</w:t>
      </w: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  <w:u w:val="single"/>
        </w:rPr>
      </w:pPr>
      <w:r w:rsidRPr="003507F0">
        <w:rPr>
          <w:rFonts w:ascii="Times New Roman" w:eastAsia="Cambria" w:hAnsi="Times New Roman"/>
          <w:sz w:val="24"/>
          <w:szCs w:val="24"/>
          <w:u w:val="single"/>
        </w:rPr>
        <w:t>Option 01</w:t>
      </w:r>
      <w:r w:rsidRPr="003507F0">
        <w:rPr>
          <w:rFonts w:ascii="Times New Roman" w:eastAsia="Cambria" w:hAnsi="Times New Roman"/>
          <w:sz w:val="24"/>
          <w:szCs w:val="24"/>
          <w:u w:val="single"/>
        </w:rPr>
        <w:t>:</w:t>
      </w:r>
      <w:r w:rsidRPr="003507F0">
        <w:rPr>
          <w:rFonts w:ascii="Times New Roman" w:eastAsia="Cambria" w:hAnsi="Times New Roman"/>
          <w:sz w:val="24"/>
          <w:szCs w:val="24"/>
          <w:u w:val="single"/>
        </w:rPr>
        <w:t xml:space="preserve"> CD with a 12-month maturity</w:t>
      </w:r>
    </w:p>
    <w:p w:rsidR="00CC1097" w:rsidRPr="003507F0" w:rsidRDefault="00CC1097" w:rsidP="00CC1097">
      <w:pPr>
        <w:spacing w:after="0" w:line="240" w:lineRule="auto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 w:rsidRPr="003507F0">
        <w:rPr>
          <w:rFonts w:ascii="Times New Roman" w:eastAsia="Cambria" w:hAnsi="Times New Roman"/>
          <w:sz w:val="24"/>
          <w:szCs w:val="24"/>
        </w:rPr>
        <w:t>Nominal Effective Annual Return (EAR) = 1.90%</w:t>
      </w: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 w:rsidRPr="003507F0">
        <w:rPr>
          <w:rFonts w:ascii="Times New Roman" w:eastAsia="Cambria" w:hAnsi="Times New Roman"/>
          <w:sz w:val="24"/>
          <w:szCs w:val="24"/>
        </w:rPr>
        <w:t>After Tax Nominal Effective Annual Return (EAR) =1.90 %*</w:t>
      </w:r>
      <w:proofErr w:type="gramStart"/>
      <w:r w:rsidRPr="003507F0">
        <w:rPr>
          <w:rFonts w:ascii="Times New Roman" w:eastAsia="Cambria" w:hAnsi="Times New Roman"/>
          <w:sz w:val="24"/>
          <w:szCs w:val="24"/>
        </w:rPr>
        <w:t>(1</w:t>
      </w:r>
      <w:proofErr w:type="gramEnd"/>
      <w:r w:rsidRPr="003507F0">
        <w:rPr>
          <w:rFonts w:ascii="Times New Roman" w:eastAsia="Cambria" w:hAnsi="Times New Roman"/>
          <w:sz w:val="24"/>
          <w:szCs w:val="24"/>
        </w:rPr>
        <w:t>-0.33) = 1.27%</w:t>
      </w:r>
    </w:p>
    <w:p w:rsidR="00CC1097" w:rsidRPr="003507F0" w:rsidRDefault="00CC1097" w:rsidP="00CC1097">
      <w:pPr>
        <w:spacing w:after="0" w:line="240" w:lineRule="auto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  <w:u w:val="single"/>
        </w:rPr>
      </w:pPr>
      <w:r w:rsidRPr="003507F0">
        <w:rPr>
          <w:rFonts w:ascii="Times New Roman" w:eastAsia="Cambria" w:hAnsi="Times New Roman"/>
          <w:sz w:val="24"/>
          <w:szCs w:val="24"/>
          <w:u w:val="single"/>
        </w:rPr>
        <w:t>Option 02: CD with a 12-month maturity</w:t>
      </w:r>
    </w:p>
    <w:p w:rsidR="00CC1097" w:rsidRPr="003507F0" w:rsidRDefault="00CC1097" w:rsidP="00CC1097">
      <w:pPr>
        <w:spacing w:after="0" w:line="240" w:lineRule="auto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 w:rsidRPr="003507F0">
        <w:rPr>
          <w:rFonts w:ascii="Times New Roman" w:eastAsia="Cambria" w:hAnsi="Times New Roman"/>
          <w:sz w:val="24"/>
          <w:szCs w:val="24"/>
        </w:rPr>
        <w:t>Nominal Effective Annual Return (EAR) = 1.72%</w:t>
      </w: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 w:rsidRPr="003507F0">
        <w:rPr>
          <w:rFonts w:ascii="Times New Roman" w:eastAsia="Cambria" w:hAnsi="Times New Roman"/>
          <w:sz w:val="24"/>
          <w:szCs w:val="24"/>
        </w:rPr>
        <w:t>After Tax Nominal Effective Annual Return (EAR) =1.72 %*</w:t>
      </w:r>
      <w:proofErr w:type="gramStart"/>
      <w:r w:rsidRPr="003507F0">
        <w:rPr>
          <w:rFonts w:ascii="Times New Roman" w:eastAsia="Cambria" w:hAnsi="Times New Roman"/>
          <w:sz w:val="24"/>
          <w:szCs w:val="24"/>
        </w:rPr>
        <w:t>(1</w:t>
      </w:r>
      <w:proofErr w:type="gramEnd"/>
      <w:r w:rsidRPr="003507F0">
        <w:rPr>
          <w:rFonts w:ascii="Times New Roman" w:eastAsia="Cambria" w:hAnsi="Times New Roman"/>
          <w:sz w:val="24"/>
          <w:szCs w:val="24"/>
        </w:rPr>
        <w:t>-0.33) = 1.15%</w:t>
      </w:r>
    </w:p>
    <w:p w:rsidR="00CC1097" w:rsidRPr="003507F0" w:rsidRDefault="00CC1097" w:rsidP="00CC1097">
      <w:pPr>
        <w:spacing w:after="0" w:line="240" w:lineRule="auto"/>
        <w:jc w:val="left"/>
        <w:rPr>
          <w:rFonts w:ascii="Times New Roman" w:eastAsia="Cambria" w:hAnsi="Times New Roman"/>
          <w:sz w:val="24"/>
          <w:szCs w:val="24"/>
        </w:rPr>
      </w:pPr>
    </w:p>
    <w:p w:rsidR="003507F0" w:rsidRDefault="003507F0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  <w:u w:val="single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  <w:u w:val="single"/>
        </w:rPr>
      </w:pPr>
      <w:r w:rsidRPr="003507F0">
        <w:rPr>
          <w:rFonts w:ascii="Times New Roman" w:eastAsia="Cambria" w:hAnsi="Times New Roman"/>
          <w:sz w:val="24"/>
          <w:szCs w:val="24"/>
          <w:u w:val="single"/>
        </w:rPr>
        <w:t>Option 03: Treasury bill with a maturity of one year</w:t>
      </w:r>
    </w:p>
    <w:p w:rsidR="00CC1097" w:rsidRPr="003507F0" w:rsidRDefault="00CC1097" w:rsidP="00CC1097">
      <w:pPr>
        <w:spacing w:after="0" w:line="240" w:lineRule="auto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 w:rsidRPr="003507F0">
        <w:rPr>
          <w:rFonts w:ascii="Times New Roman" w:eastAsia="Cambria" w:hAnsi="Times New Roman"/>
          <w:sz w:val="24"/>
          <w:szCs w:val="24"/>
        </w:rPr>
        <w:t>Nominal Effective Annual Return (EAR) = 0.30%</w:t>
      </w: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 w:rsidRPr="003507F0">
        <w:rPr>
          <w:rFonts w:ascii="Times New Roman" w:eastAsia="Cambria" w:hAnsi="Times New Roman"/>
          <w:sz w:val="24"/>
          <w:szCs w:val="24"/>
        </w:rPr>
        <w:t>After Tax Nominal Effective Annual Return (EAR) =0.30 %*</w:t>
      </w:r>
      <w:proofErr w:type="gramStart"/>
      <w:r w:rsidRPr="003507F0">
        <w:rPr>
          <w:rFonts w:ascii="Times New Roman" w:eastAsia="Cambria" w:hAnsi="Times New Roman"/>
          <w:sz w:val="24"/>
          <w:szCs w:val="24"/>
        </w:rPr>
        <w:t>(1</w:t>
      </w:r>
      <w:proofErr w:type="gramEnd"/>
      <w:r w:rsidRPr="003507F0">
        <w:rPr>
          <w:rFonts w:ascii="Times New Roman" w:eastAsia="Cambria" w:hAnsi="Times New Roman"/>
          <w:sz w:val="24"/>
          <w:szCs w:val="24"/>
        </w:rPr>
        <w:t>-0.00) = 0.30%</w:t>
      </w:r>
    </w:p>
    <w:p w:rsidR="00CC1097" w:rsidRPr="003507F0" w:rsidRDefault="00CC1097" w:rsidP="00CC1097">
      <w:pPr>
        <w:spacing w:after="0" w:line="240" w:lineRule="auto"/>
        <w:jc w:val="left"/>
        <w:rPr>
          <w:rFonts w:ascii="Times New Roman" w:eastAsia="Cambria" w:hAnsi="Times New Roman"/>
          <w:sz w:val="24"/>
          <w:szCs w:val="24"/>
        </w:rPr>
      </w:pPr>
    </w:p>
    <w:p w:rsidR="003507F0" w:rsidRDefault="003507F0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  <w:u w:val="single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  <w:u w:val="single"/>
        </w:rPr>
      </w:pPr>
      <w:r w:rsidRPr="003507F0">
        <w:rPr>
          <w:rFonts w:ascii="Times New Roman" w:eastAsia="Cambria" w:hAnsi="Times New Roman"/>
          <w:sz w:val="24"/>
          <w:szCs w:val="24"/>
          <w:u w:val="single"/>
        </w:rPr>
        <w:t>Option 04: Money Market Account</w:t>
      </w:r>
    </w:p>
    <w:p w:rsidR="00CC1097" w:rsidRPr="003507F0" w:rsidRDefault="00CC1097" w:rsidP="00CC1097">
      <w:pPr>
        <w:spacing w:after="0" w:line="240" w:lineRule="auto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 w:rsidRPr="003507F0">
        <w:rPr>
          <w:rFonts w:ascii="Times New Roman" w:eastAsia="Cambria" w:hAnsi="Times New Roman"/>
          <w:sz w:val="24"/>
          <w:szCs w:val="24"/>
        </w:rPr>
        <w:t>Nominal Effective Annual Return (EAR) = 1.11%</w:t>
      </w: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jc w:val="left"/>
        <w:rPr>
          <w:rFonts w:ascii="Times New Roman" w:eastAsia="Cambria" w:hAnsi="Times New Roman"/>
          <w:sz w:val="24"/>
          <w:szCs w:val="24"/>
        </w:rPr>
      </w:pPr>
      <w:r w:rsidRPr="003507F0">
        <w:rPr>
          <w:rFonts w:ascii="Times New Roman" w:eastAsia="Cambria" w:hAnsi="Times New Roman"/>
          <w:sz w:val="24"/>
          <w:szCs w:val="24"/>
        </w:rPr>
        <w:t>After Tax Nominal Effective Annual Return (EAR) =1.11 %*</w:t>
      </w:r>
      <w:proofErr w:type="gramStart"/>
      <w:r w:rsidRPr="003507F0">
        <w:rPr>
          <w:rFonts w:ascii="Times New Roman" w:eastAsia="Cambria" w:hAnsi="Times New Roman"/>
          <w:sz w:val="24"/>
          <w:szCs w:val="24"/>
        </w:rPr>
        <w:t>(1</w:t>
      </w:r>
      <w:proofErr w:type="gramEnd"/>
      <w:r w:rsidRPr="003507F0">
        <w:rPr>
          <w:rFonts w:ascii="Times New Roman" w:eastAsia="Cambria" w:hAnsi="Times New Roman"/>
          <w:sz w:val="24"/>
          <w:szCs w:val="24"/>
        </w:rPr>
        <w:t>-0.33)*(1-0.06) = 0.70%</w:t>
      </w:r>
    </w:p>
    <w:p w:rsidR="00CC1097" w:rsidRPr="003507F0" w:rsidRDefault="00CC1097" w:rsidP="00CC1097">
      <w:pPr>
        <w:spacing w:after="0" w:line="240" w:lineRule="auto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jc w:val="left"/>
        <w:rPr>
          <w:rFonts w:ascii="Times New Roman" w:eastAsia="Cambria" w:hAnsi="Times New Roman"/>
          <w:sz w:val="24"/>
          <w:szCs w:val="24"/>
        </w:rPr>
      </w:pPr>
    </w:p>
    <w:p w:rsidR="00CC1097" w:rsidRPr="003507F0" w:rsidRDefault="00CC1097" w:rsidP="00CC1097">
      <w:pPr>
        <w:spacing w:after="0" w:line="240" w:lineRule="auto"/>
        <w:ind w:firstLine="0"/>
        <w:rPr>
          <w:rFonts w:ascii="Times New Roman" w:eastAsia="Cambria" w:hAnsi="Times New Roman"/>
          <w:b/>
          <w:color w:val="1F4E79" w:themeColor="accent1" w:themeShade="80"/>
          <w:sz w:val="24"/>
          <w:szCs w:val="24"/>
        </w:rPr>
      </w:pPr>
    </w:p>
    <w:sectPr w:rsidR="00CC1097" w:rsidRPr="003507F0" w:rsidSect="00CC1097">
      <w:type w:val="nextColumn"/>
      <w:pgSz w:w="10800" w:h="13320"/>
      <w:pgMar w:top="1440" w:right="1440" w:bottom="1440" w:left="1440" w:header="576" w:footer="432" w:gutter="202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rump Mediaeval">
    <w:altName w:val="Trump Mediaev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37177"/>
    <w:multiLevelType w:val="hybridMultilevel"/>
    <w:tmpl w:val="90D4C200"/>
    <w:lvl w:ilvl="0" w:tplc="93D0060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0C44917"/>
    <w:multiLevelType w:val="hybridMultilevel"/>
    <w:tmpl w:val="257ECBA0"/>
    <w:lvl w:ilvl="0" w:tplc="FFFFFFFF">
      <w:start w:val="1"/>
      <w:numFmt w:val="decimal"/>
      <w:pStyle w:val="List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60F2C35"/>
    <w:multiLevelType w:val="hybridMultilevel"/>
    <w:tmpl w:val="6706AE22"/>
    <w:lvl w:ilvl="0" w:tplc="3A86A5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81C2C66"/>
    <w:multiLevelType w:val="hybridMultilevel"/>
    <w:tmpl w:val="0CB6F1B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FE5657"/>
    <w:multiLevelType w:val="hybridMultilevel"/>
    <w:tmpl w:val="6706AE22"/>
    <w:lvl w:ilvl="0" w:tplc="3A86A5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3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708" w:allStyles="0" w:customStyles="0" w:latentStyles="0" w:stylesInUse="1" w:headingStyles="0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LUwMTQxNjMzMDUwNzdQ0lEKTi0uzszPAykwrwUAhD04NSwAAAA="/>
  </w:docVars>
  <w:rsids>
    <w:rsidRoot w:val="00A060AF"/>
    <w:rsid w:val="0004189C"/>
    <w:rsid w:val="000440EB"/>
    <w:rsid w:val="000E21AC"/>
    <w:rsid w:val="000F6620"/>
    <w:rsid w:val="00112CA2"/>
    <w:rsid w:val="00141C72"/>
    <w:rsid w:val="001860FC"/>
    <w:rsid w:val="00202CE0"/>
    <w:rsid w:val="00204637"/>
    <w:rsid w:val="002916B6"/>
    <w:rsid w:val="0029363E"/>
    <w:rsid w:val="002D6282"/>
    <w:rsid w:val="002E5563"/>
    <w:rsid w:val="00320A40"/>
    <w:rsid w:val="00324819"/>
    <w:rsid w:val="00326881"/>
    <w:rsid w:val="003507F0"/>
    <w:rsid w:val="00366901"/>
    <w:rsid w:val="003F0CA0"/>
    <w:rsid w:val="004437CD"/>
    <w:rsid w:val="004868BA"/>
    <w:rsid w:val="00487FDF"/>
    <w:rsid w:val="00491E0A"/>
    <w:rsid w:val="004A79E4"/>
    <w:rsid w:val="004B7983"/>
    <w:rsid w:val="004D0FCC"/>
    <w:rsid w:val="004E7293"/>
    <w:rsid w:val="005233F2"/>
    <w:rsid w:val="005677C5"/>
    <w:rsid w:val="00574D79"/>
    <w:rsid w:val="00584C56"/>
    <w:rsid w:val="005A262A"/>
    <w:rsid w:val="00616FD7"/>
    <w:rsid w:val="00621455"/>
    <w:rsid w:val="00625EB1"/>
    <w:rsid w:val="0065580D"/>
    <w:rsid w:val="0069753E"/>
    <w:rsid w:val="006A1639"/>
    <w:rsid w:val="006D19B0"/>
    <w:rsid w:val="00707619"/>
    <w:rsid w:val="00722EA7"/>
    <w:rsid w:val="0073133B"/>
    <w:rsid w:val="00754444"/>
    <w:rsid w:val="0082137D"/>
    <w:rsid w:val="008C1AB9"/>
    <w:rsid w:val="00970A1C"/>
    <w:rsid w:val="0098270A"/>
    <w:rsid w:val="009A76A4"/>
    <w:rsid w:val="009E1513"/>
    <w:rsid w:val="009F4CA0"/>
    <w:rsid w:val="00A060AF"/>
    <w:rsid w:val="00A43618"/>
    <w:rsid w:val="00AB0217"/>
    <w:rsid w:val="00AB039B"/>
    <w:rsid w:val="00AB215D"/>
    <w:rsid w:val="00AB6800"/>
    <w:rsid w:val="00AE54A3"/>
    <w:rsid w:val="00B100D2"/>
    <w:rsid w:val="00B46F43"/>
    <w:rsid w:val="00B66E8E"/>
    <w:rsid w:val="00B70D0D"/>
    <w:rsid w:val="00B71247"/>
    <w:rsid w:val="00B7349C"/>
    <w:rsid w:val="00B82E9E"/>
    <w:rsid w:val="00B96D17"/>
    <w:rsid w:val="00BB5B6F"/>
    <w:rsid w:val="00C3007C"/>
    <w:rsid w:val="00C97C28"/>
    <w:rsid w:val="00CC1097"/>
    <w:rsid w:val="00D56889"/>
    <w:rsid w:val="00D85C4A"/>
    <w:rsid w:val="00DB3099"/>
    <w:rsid w:val="00DE6A33"/>
    <w:rsid w:val="00E41E75"/>
    <w:rsid w:val="00E51065"/>
    <w:rsid w:val="00E55A37"/>
    <w:rsid w:val="00E9295C"/>
    <w:rsid w:val="00EA6B9D"/>
    <w:rsid w:val="00EE4FAC"/>
    <w:rsid w:val="00EF317E"/>
    <w:rsid w:val="00F13CFC"/>
    <w:rsid w:val="00F769A9"/>
    <w:rsid w:val="00FB679C"/>
    <w:rsid w:val="00FB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451143-8EB0-4C53-9EC8-F18181762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caption" w:uiPriority="35" w:qFormat="1"/>
    <w:lsdException w:name="annotation reference" w:semiHidden="1" w:unhideWhenUsed="1"/>
    <w:lsdException w:name="page number" w:semiHidden="1" w:uiPriority="0" w:unhideWhenUsed="1"/>
    <w:lsdException w:name="List" w:semiHidden="1" w:uiPriority="0" w:unhideWhenUsed="1"/>
    <w:lsdException w:name="Title" w:uiPriority="10" w:qFormat="1"/>
    <w:lsdException w:name="Default Paragraph Font" w:semiHidden="1" w:uiPriority="1" w:unhideWhenUsed="1"/>
    <w:lsdException w:name="Body Text" w:semiHidden="1" w:uiPriority="0" w:unhideWhenUsed="1"/>
    <w:lsdException w:name="Subtitle" w:uiPriority="1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Plain Text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37CD"/>
    <w:pPr>
      <w:spacing w:after="200" w:line="276" w:lineRule="auto"/>
      <w:ind w:firstLine="432"/>
      <w:jc w:val="both"/>
    </w:pPr>
    <w:rPr>
      <w:rFonts w:ascii="Georgia" w:hAnsi="Georgia"/>
      <w:sz w:val="22"/>
      <w:szCs w:val="22"/>
    </w:rPr>
  </w:style>
  <w:style w:type="paragraph" w:styleId="Heading1">
    <w:name w:val="heading 1"/>
    <w:basedOn w:val="TOC2"/>
    <w:next w:val="Normal"/>
    <w:link w:val="Heading1Char"/>
    <w:autoRedefine/>
    <w:uiPriority w:val="9"/>
    <w:qFormat/>
    <w:rsid w:val="00F769A9"/>
    <w:pPr>
      <w:keepNext w:val="0"/>
      <w:tabs>
        <w:tab w:val="right" w:leader="dot" w:pos="6643"/>
      </w:tabs>
      <w:spacing w:before="120" w:after="480" w:line="285" w:lineRule="atLeast"/>
      <w:jc w:val="center"/>
      <w:outlineLvl w:val="0"/>
    </w:pPr>
    <w:rPr>
      <w:rFonts w:eastAsia="Times New Roman" w:cs="Times New Roman"/>
      <w:i w:val="0"/>
      <w:iCs w:val="0"/>
      <w:smallCaps/>
      <w:noProof/>
      <w:kern w:val="32"/>
      <w:sz w:val="32"/>
      <w:szCs w:val="18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qFormat/>
    <w:rsid w:val="00E9295C"/>
    <w:pPr>
      <w:keepNext/>
      <w:spacing w:before="360" w:after="180"/>
      <w:ind w:firstLine="0"/>
      <w:jc w:val="left"/>
      <w:outlineLvl w:val="1"/>
    </w:pPr>
    <w:rPr>
      <w:rFonts w:eastAsia="Times New Roman"/>
      <w:b/>
      <w:bCs/>
      <w:iCs/>
      <w:sz w:val="28"/>
      <w:szCs w:val="28"/>
    </w:rPr>
  </w:style>
  <w:style w:type="paragraph" w:styleId="Heading3">
    <w:name w:val="heading 3"/>
    <w:basedOn w:val="TOC4"/>
    <w:next w:val="Normal"/>
    <w:link w:val="Heading3Char"/>
    <w:uiPriority w:val="9"/>
    <w:qFormat/>
    <w:rsid w:val="00B82E9E"/>
    <w:pPr>
      <w:keepNext/>
      <w:spacing w:before="360" w:after="180"/>
      <w:ind w:left="0" w:firstLine="0"/>
      <w:jc w:val="left"/>
      <w:outlineLvl w:val="2"/>
    </w:pPr>
    <w:rPr>
      <w:rFonts w:ascii="Georgia" w:hAnsi="Georgia"/>
      <w:b/>
      <w:bCs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aliases w:val="Header 02"/>
    <w:basedOn w:val="TOC2"/>
    <w:next w:val="Normal"/>
    <w:link w:val="SubtitleChar"/>
    <w:autoRedefine/>
    <w:uiPriority w:val="11"/>
    <w:qFormat/>
    <w:rsid w:val="00B82E9E"/>
    <w:pPr>
      <w:spacing w:before="120" w:line="240" w:lineRule="auto"/>
      <w:jc w:val="center"/>
    </w:pPr>
    <w:rPr>
      <w:color w:val="333333"/>
      <w:bdr w:val="none" w:sz="0" w:space="0" w:color="auto" w:frame="1"/>
      <w:shd w:val="clear" w:color="auto" w:fill="FFFFFF"/>
    </w:rPr>
  </w:style>
  <w:style w:type="character" w:customStyle="1" w:styleId="SubtitleChar">
    <w:name w:val="Subtitle Char"/>
    <w:aliases w:val="Header 02 Char"/>
    <w:link w:val="Subtitle"/>
    <w:uiPriority w:val="11"/>
    <w:rsid w:val="00B82E9E"/>
    <w:rPr>
      <w:rFonts w:ascii="Georgia" w:eastAsia="MS Mincho" w:hAnsi="Georgia" w:cs="Arial"/>
      <w:b/>
      <w:bCs/>
      <w:iCs/>
      <w:color w:val="333333"/>
      <w:sz w:val="28"/>
      <w:szCs w:val="28"/>
      <w:bdr w:val="none" w:sz="0" w:space="0" w:color="auto" w:frame="1"/>
      <w:lang w:eastAsia="ja-JP"/>
    </w:rPr>
  </w:style>
  <w:style w:type="character" w:customStyle="1" w:styleId="Heading3Char">
    <w:name w:val="Heading 3 Char"/>
    <w:link w:val="Heading3"/>
    <w:uiPriority w:val="9"/>
    <w:rsid w:val="00B82E9E"/>
    <w:rPr>
      <w:rFonts w:ascii="Georgia" w:eastAsia="Times New Roman" w:hAnsi="Georgia"/>
      <w:b/>
      <w:bCs/>
      <w:sz w:val="24"/>
      <w:szCs w:val="26"/>
    </w:rPr>
  </w:style>
  <w:style w:type="paragraph" w:styleId="TOC3">
    <w:name w:val="toc 3"/>
    <w:basedOn w:val="Heading3"/>
    <w:next w:val="Normal"/>
    <w:autoRedefine/>
    <w:uiPriority w:val="39"/>
    <w:qFormat/>
    <w:rsid w:val="00B82E9E"/>
    <w:pPr>
      <w:spacing w:after="100"/>
    </w:pPr>
    <w:rPr>
      <w:rFonts w:eastAsia="MS Mincho" w:cs="Arial"/>
      <w:sz w:val="22"/>
      <w:lang w:eastAsia="ja-JP"/>
    </w:rPr>
  </w:style>
  <w:style w:type="paragraph" w:styleId="Title">
    <w:name w:val="Title"/>
    <w:aliases w:val="Header 03"/>
    <w:basedOn w:val="TOC3"/>
    <w:next w:val="Normal"/>
    <w:link w:val="TitleChar"/>
    <w:autoRedefine/>
    <w:uiPriority w:val="10"/>
    <w:qFormat/>
    <w:rsid w:val="00B82E9E"/>
    <w:pPr>
      <w:spacing w:before="160" w:after="160"/>
      <w:outlineLvl w:val="1"/>
    </w:pPr>
    <w:rPr>
      <w:rFonts w:eastAsia="Calibri" w:cstheme="minorBidi"/>
      <w:bCs w:val="0"/>
      <w:kern w:val="28"/>
      <w:sz w:val="24"/>
      <w:szCs w:val="32"/>
      <w:bdr w:val="none" w:sz="0" w:space="0" w:color="auto" w:frame="1"/>
    </w:rPr>
  </w:style>
  <w:style w:type="character" w:customStyle="1" w:styleId="TitleChar">
    <w:name w:val="Title Char"/>
    <w:aliases w:val="Header 03 Char"/>
    <w:link w:val="Title"/>
    <w:uiPriority w:val="10"/>
    <w:rsid w:val="00B82E9E"/>
    <w:rPr>
      <w:rFonts w:ascii="Georgia" w:hAnsi="Georgia" w:cstheme="minorBidi"/>
      <w:b/>
      <w:kern w:val="28"/>
      <w:sz w:val="24"/>
      <w:szCs w:val="32"/>
      <w:bdr w:val="none" w:sz="0" w:space="0" w:color="auto" w:frame="1"/>
      <w:lang w:eastAsia="ja-JP"/>
    </w:rPr>
  </w:style>
  <w:style w:type="character" w:customStyle="1" w:styleId="Heading2Char">
    <w:name w:val="Heading 2 Char"/>
    <w:link w:val="Heading2"/>
    <w:uiPriority w:val="9"/>
    <w:rsid w:val="00E9295C"/>
    <w:rPr>
      <w:rFonts w:ascii="Georgia" w:eastAsia="Times New Roman" w:hAnsi="Georgia"/>
      <w:b/>
      <w:bCs/>
      <w:iCs/>
      <w:sz w:val="28"/>
      <w:szCs w:val="28"/>
    </w:rPr>
  </w:style>
  <w:style w:type="paragraph" w:styleId="TOC2">
    <w:name w:val="toc 2"/>
    <w:basedOn w:val="Heading2"/>
    <w:next w:val="Normal"/>
    <w:autoRedefine/>
    <w:uiPriority w:val="39"/>
    <w:qFormat/>
    <w:rsid w:val="00B82E9E"/>
    <w:pPr>
      <w:spacing w:after="120"/>
    </w:pPr>
    <w:rPr>
      <w:rFonts w:eastAsia="MS Mincho" w:cs="Arial"/>
      <w:i/>
      <w:lang w:eastAsia="ja-JP"/>
    </w:rPr>
  </w:style>
  <w:style w:type="paragraph" w:customStyle="1" w:styleId="CSP-ChapterBodyText">
    <w:name w:val="CSP - Chapter Body Text"/>
    <w:basedOn w:val="Normal"/>
    <w:autoRedefine/>
    <w:qFormat/>
    <w:rsid w:val="00B82E9E"/>
    <w:pPr>
      <w:spacing w:after="0" w:line="240" w:lineRule="auto"/>
      <w:ind w:firstLine="0"/>
      <w:jc w:val="left"/>
    </w:pPr>
    <w:rPr>
      <w:iCs/>
      <w:noProof/>
      <w:sz w:val="18"/>
      <w:szCs w:val="18"/>
      <w:shd w:val="clear" w:color="auto" w:fill="FFFFFF"/>
    </w:rPr>
  </w:style>
  <w:style w:type="character" w:customStyle="1" w:styleId="Heading1Char">
    <w:name w:val="Heading 1 Char"/>
    <w:link w:val="Heading1"/>
    <w:uiPriority w:val="9"/>
    <w:rsid w:val="00F769A9"/>
    <w:rPr>
      <w:rFonts w:ascii="Georgia" w:eastAsia="Times New Roman" w:hAnsi="Georgia"/>
      <w:b/>
      <w:bCs/>
      <w:smallCaps/>
      <w:noProof/>
      <w:kern w:val="32"/>
      <w:sz w:val="32"/>
      <w:szCs w:val="18"/>
    </w:rPr>
  </w:style>
  <w:style w:type="paragraph" w:styleId="TOC1">
    <w:name w:val="toc 1"/>
    <w:basedOn w:val="Normal"/>
    <w:next w:val="Normal"/>
    <w:link w:val="TOC1Char"/>
    <w:autoRedefine/>
    <w:uiPriority w:val="39"/>
    <w:qFormat/>
    <w:rsid w:val="00B82E9E"/>
    <w:pPr>
      <w:spacing w:after="100"/>
      <w:jc w:val="center"/>
    </w:pPr>
    <w:rPr>
      <w:rFonts w:eastAsia="MS Mincho" w:cs="Arial"/>
      <w:b/>
      <w:sz w:val="32"/>
      <w:lang w:eastAsia="ja-JP"/>
    </w:rPr>
  </w:style>
  <w:style w:type="paragraph" w:customStyle="1" w:styleId="CSP-ChapterBodyText-FirstParagraph">
    <w:name w:val="CSP - Chapter Body Text - First Paragraph"/>
    <w:basedOn w:val="CSP-ChapterBodyText"/>
    <w:autoRedefine/>
    <w:qFormat/>
    <w:rsid w:val="00B82E9E"/>
  </w:style>
  <w:style w:type="paragraph" w:customStyle="1" w:styleId="CSP-ChapterTitle">
    <w:name w:val="CSP - Chapter Title"/>
    <w:basedOn w:val="TOC1"/>
    <w:next w:val="Normal"/>
    <w:link w:val="CSP-ChapterTitleChar"/>
    <w:autoRedefine/>
    <w:qFormat/>
    <w:rsid w:val="00754444"/>
    <w:pPr>
      <w:spacing w:after="0" w:line="240" w:lineRule="auto"/>
    </w:pPr>
    <w:rPr>
      <w:b w:val="0"/>
      <w:iCs/>
      <w:szCs w:val="28"/>
    </w:rPr>
  </w:style>
  <w:style w:type="character" w:customStyle="1" w:styleId="CSP-ChapterTitleChar">
    <w:name w:val="CSP - Chapter Title Char"/>
    <w:link w:val="CSP-ChapterTitle"/>
    <w:rsid w:val="00754444"/>
    <w:rPr>
      <w:rFonts w:ascii="Georgia" w:eastAsia="MS Mincho" w:hAnsi="Georgia" w:cs="Arial"/>
      <w:b/>
      <w:iCs/>
      <w:sz w:val="32"/>
      <w:szCs w:val="28"/>
      <w:lang w:eastAsia="ja-JP"/>
    </w:rPr>
  </w:style>
  <w:style w:type="character" w:customStyle="1" w:styleId="TOC1Char">
    <w:name w:val="TOC 1 Char"/>
    <w:link w:val="TOC1"/>
    <w:uiPriority w:val="39"/>
    <w:rsid w:val="00B82E9E"/>
    <w:rPr>
      <w:rFonts w:ascii="Georgia" w:eastAsia="MS Mincho" w:hAnsi="Georgia" w:cs="Arial"/>
      <w:b/>
      <w:sz w:val="32"/>
      <w:szCs w:val="22"/>
      <w:lang w:eastAsia="ja-JP"/>
    </w:rPr>
  </w:style>
  <w:style w:type="paragraph" w:customStyle="1" w:styleId="ChapterTitle">
    <w:name w:val="Chapter Title"/>
    <w:basedOn w:val="TOC1"/>
    <w:next w:val="Normal"/>
    <w:link w:val="ChapterTitleChar"/>
    <w:autoRedefine/>
    <w:qFormat/>
    <w:rsid w:val="00B82E9E"/>
    <w:pPr>
      <w:spacing w:before="120" w:after="120"/>
      <w:ind w:firstLine="0"/>
    </w:pPr>
    <w:rPr>
      <w:iCs/>
      <w:szCs w:val="28"/>
    </w:rPr>
  </w:style>
  <w:style w:type="character" w:customStyle="1" w:styleId="ChapterTitleChar">
    <w:name w:val="Chapter Title Char"/>
    <w:link w:val="ChapterTitle"/>
    <w:rsid w:val="00B82E9E"/>
    <w:rPr>
      <w:rFonts w:ascii="Georgia" w:eastAsia="MS Mincho" w:hAnsi="Georgia" w:cs="Arial"/>
      <w:b/>
      <w:iCs/>
      <w:sz w:val="32"/>
      <w:szCs w:val="28"/>
      <w:lang w:eastAsia="ja-JP"/>
    </w:rPr>
  </w:style>
  <w:style w:type="character" w:customStyle="1" w:styleId="A1">
    <w:name w:val="A1"/>
    <w:uiPriority w:val="99"/>
    <w:rsid w:val="00B82E9E"/>
    <w:rPr>
      <w:rFonts w:cs="Times"/>
      <w:color w:val="221E1F"/>
      <w:sz w:val="18"/>
      <w:szCs w:val="18"/>
    </w:rPr>
  </w:style>
  <w:style w:type="paragraph" w:customStyle="1" w:styleId="CSP-FrontMatterBodyText">
    <w:name w:val="CSP - Front Matter Body Text"/>
    <w:basedOn w:val="Normal"/>
    <w:qFormat/>
    <w:rsid w:val="00B82E9E"/>
    <w:pPr>
      <w:spacing w:after="0" w:line="240" w:lineRule="auto"/>
      <w:jc w:val="center"/>
    </w:pPr>
    <w:rPr>
      <w:rFonts w:ascii="Garamond" w:hAnsi="Garamond"/>
      <w:iCs/>
    </w:rPr>
  </w:style>
  <w:style w:type="paragraph" w:customStyle="1" w:styleId="Default">
    <w:name w:val="Default"/>
    <w:rsid w:val="00B82E9E"/>
    <w:pPr>
      <w:autoSpaceDE w:val="0"/>
      <w:autoSpaceDN w:val="0"/>
      <w:adjustRightInd w:val="0"/>
    </w:pPr>
    <w:rPr>
      <w:rFonts w:ascii="Trump Mediaeval" w:hAnsi="Trump Mediaeval" w:cs="Trump Mediaeval"/>
      <w:color w:val="00000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B82E9E"/>
    <w:pPr>
      <w:spacing w:line="241" w:lineRule="atLeast"/>
    </w:pPr>
    <w:rPr>
      <w:rFonts w:cs="Times New Roman"/>
      <w:color w:val="auto"/>
    </w:rPr>
  </w:style>
  <w:style w:type="character" w:customStyle="1" w:styleId="apple-converted-space">
    <w:name w:val="apple-converted-space"/>
    <w:rsid w:val="00B82E9E"/>
  </w:style>
  <w:style w:type="paragraph" w:customStyle="1" w:styleId="handbook">
    <w:name w:val="handbook"/>
    <w:basedOn w:val="Normal"/>
    <w:rsid w:val="00B82E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3">
    <w:name w:val="A3"/>
    <w:uiPriority w:val="99"/>
    <w:rsid w:val="00B82E9E"/>
    <w:rPr>
      <w:color w:val="000000"/>
      <w:sz w:val="12"/>
      <w:szCs w:val="12"/>
    </w:rPr>
  </w:style>
  <w:style w:type="paragraph" w:customStyle="1" w:styleId="Pa3">
    <w:name w:val="Pa3"/>
    <w:basedOn w:val="Default"/>
    <w:next w:val="Default"/>
    <w:uiPriority w:val="99"/>
    <w:rsid w:val="00B82E9E"/>
    <w:pPr>
      <w:spacing w:line="241" w:lineRule="atLeast"/>
    </w:pPr>
    <w:rPr>
      <w:rFonts w:cs="Times New Roman"/>
      <w:color w:val="auto"/>
    </w:rPr>
  </w:style>
  <w:style w:type="paragraph" w:customStyle="1" w:styleId="ninetypercent">
    <w:name w:val="ninetypercent"/>
    <w:basedOn w:val="Normal"/>
    <w:rsid w:val="00B82E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itxtrst">
    <w:name w:val="itxtrst"/>
    <w:rsid w:val="00B82E9E"/>
  </w:style>
  <w:style w:type="character" w:customStyle="1" w:styleId="nobr">
    <w:name w:val="nobr"/>
    <w:rsid w:val="00B82E9E"/>
  </w:style>
  <w:style w:type="paragraph" w:styleId="Index1">
    <w:name w:val="index 1"/>
    <w:basedOn w:val="Normal"/>
    <w:next w:val="Normal"/>
    <w:autoRedefine/>
    <w:uiPriority w:val="99"/>
    <w:rsid w:val="00B82E9E"/>
    <w:pPr>
      <w:tabs>
        <w:tab w:val="right" w:leader="dot" w:pos="2956"/>
      </w:tabs>
      <w:ind w:left="220" w:hanging="220"/>
    </w:pPr>
    <w:rPr>
      <w:rFonts w:ascii="Garamond" w:hAnsi="Garamond" w:cs="Calibri"/>
      <w:iCs/>
      <w:noProof/>
    </w:rPr>
  </w:style>
  <w:style w:type="paragraph" w:styleId="TOC4">
    <w:name w:val="toc 4"/>
    <w:basedOn w:val="Normal"/>
    <w:next w:val="Normal"/>
    <w:autoRedefine/>
    <w:uiPriority w:val="39"/>
    <w:rsid w:val="00B82E9E"/>
    <w:pPr>
      <w:spacing w:after="100" w:line="259" w:lineRule="auto"/>
      <w:ind w:left="660"/>
    </w:pPr>
    <w:rPr>
      <w:rFonts w:ascii="Calibri" w:eastAsia="Times New Roman" w:hAnsi="Calibri"/>
    </w:rPr>
  </w:style>
  <w:style w:type="paragraph" w:styleId="TOC5">
    <w:name w:val="toc 5"/>
    <w:basedOn w:val="Normal"/>
    <w:next w:val="Normal"/>
    <w:autoRedefine/>
    <w:uiPriority w:val="39"/>
    <w:rsid w:val="00B82E9E"/>
    <w:pPr>
      <w:spacing w:after="100" w:line="259" w:lineRule="auto"/>
      <w:ind w:left="880"/>
    </w:pPr>
    <w:rPr>
      <w:rFonts w:ascii="Calibri" w:eastAsia="Times New Roman" w:hAnsi="Calibri"/>
    </w:rPr>
  </w:style>
  <w:style w:type="paragraph" w:styleId="TOC6">
    <w:name w:val="toc 6"/>
    <w:basedOn w:val="Normal"/>
    <w:next w:val="Normal"/>
    <w:autoRedefine/>
    <w:uiPriority w:val="39"/>
    <w:rsid w:val="00B82E9E"/>
    <w:pPr>
      <w:spacing w:after="100" w:line="259" w:lineRule="auto"/>
      <w:ind w:left="1100"/>
    </w:pPr>
    <w:rPr>
      <w:rFonts w:ascii="Calibri" w:eastAsia="Times New Roman" w:hAnsi="Calibri"/>
    </w:rPr>
  </w:style>
  <w:style w:type="paragraph" w:styleId="TOC7">
    <w:name w:val="toc 7"/>
    <w:basedOn w:val="Normal"/>
    <w:next w:val="Normal"/>
    <w:autoRedefine/>
    <w:uiPriority w:val="39"/>
    <w:rsid w:val="00B82E9E"/>
    <w:pPr>
      <w:spacing w:after="100" w:line="259" w:lineRule="auto"/>
      <w:ind w:left="1320"/>
    </w:pPr>
    <w:rPr>
      <w:rFonts w:ascii="Calibri" w:eastAsia="Times New Roman" w:hAnsi="Calibri"/>
    </w:rPr>
  </w:style>
  <w:style w:type="paragraph" w:styleId="TOC8">
    <w:name w:val="toc 8"/>
    <w:basedOn w:val="Normal"/>
    <w:next w:val="Normal"/>
    <w:autoRedefine/>
    <w:uiPriority w:val="39"/>
    <w:rsid w:val="00B82E9E"/>
    <w:pPr>
      <w:spacing w:after="100" w:line="259" w:lineRule="auto"/>
      <w:ind w:left="1540"/>
    </w:pPr>
    <w:rPr>
      <w:rFonts w:ascii="Calibri" w:eastAsia="Times New Roman" w:hAnsi="Calibri"/>
    </w:rPr>
  </w:style>
  <w:style w:type="paragraph" w:styleId="TOC9">
    <w:name w:val="toc 9"/>
    <w:basedOn w:val="Normal"/>
    <w:next w:val="Normal"/>
    <w:autoRedefine/>
    <w:uiPriority w:val="39"/>
    <w:rsid w:val="00B82E9E"/>
    <w:pPr>
      <w:spacing w:after="100" w:line="259" w:lineRule="auto"/>
      <w:ind w:left="1760"/>
    </w:pPr>
    <w:rPr>
      <w:rFonts w:ascii="Calibri" w:eastAsia="Times New Roman" w:hAnsi="Calibri"/>
    </w:rPr>
  </w:style>
  <w:style w:type="paragraph" w:styleId="CommentText">
    <w:name w:val="annotation text"/>
    <w:basedOn w:val="Normal"/>
    <w:link w:val="CommentTextChar"/>
    <w:uiPriority w:val="99"/>
    <w:rsid w:val="00B82E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82E9E"/>
    <w:rPr>
      <w:rFonts w:ascii="Georgia" w:hAnsi="Georgia"/>
    </w:rPr>
  </w:style>
  <w:style w:type="paragraph" w:styleId="Header">
    <w:name w:val="header"/>
    <w:basedOn w:val="Normal"/>
    <w:link w:val="HeaderChar"/>
    <w:uiPriority w:val="99"/>
    <w:rsid w:val="00B82E9E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B82E9E"/>
    <w:rPr>
      <w:rFonts w:ascii="Georgia" w:hAnsi="Georgia"/>
      <w:sz w:val="22"/>
      <w:szCs w:val="22"/>
    </w:rPr>
  </w:style>
  <w:style w:type="paragraph" w:styleId="Footer">
    <w:name w:val="footer"/>
    <w:basedOn w:val="Normal"/>
    <w:link w:val="FooterChar"/>
    <w:uiPriority w:val="99"/>
    <w:rsid w:val="00B82E9E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B82E9E"/>
    <w:rPr>
      <w:rFonts w:ascii="Georgia" w:hAnsi="Georgia"/>
      <w:sz w:val="22"/>
      <w:szCs w:val="22"/>
    </w:rPr>
  </w:style>
  <w:style w:type="character" w:styleId="CommentReference">
    <w:name w:val="annotation reference"/>
    <w:uiPriority w:val="99"/>
    <w:rsid w:val="00B82E9E"/>
    <w:rPr>
      <w:sz w:val="16"/>
      <w:szCs w:val="16"/>
    </w:rPr>
  </w:style>
  <w:style w:type="character" w:styleId="PageNumber">
    <w:name w:val="page number"/>
    <w:basedOn w:val="DefaultParagraphFont"/>
    <w:rsid w:val="00B82E9E"/>
  </w:style>
  <w:style w:type="paragraph" w:styleId="List">
    <w:name w:val="List"/>
    <w:aliases w:val="(X1)"/>
    <w:basedOn w:val="Normal"/>
    <w:rsid w:val="00B82E9E"/>
    <w:pPr>
      <w:numPr>
        <w:numId w:val="3"/>
      </w:numPr>
      <w:tabs>
        <w:tab w:val="clear" w:pos="720"/>
      </w:tabs>
      <w:spacing w:after="100" w:afterAutospacing="1" w:line="240" w:lineRule="auto"/>
    </w:pPr>
    <w:rPr>
      <w:rFonts w:ascii="Garamond" w:eastAsia="Times New Roman" w:hAnsi="Garamond"/>
    </w:rPr>
  </w:style>
  <w:style w:type="paragraph" w:styleId="BodyText">
    <w:name w:val="Body Text"/>
    <w:aliases w:val="Body Text Char1,Body Text Char Char,Body Text Char Char Char Char,Body Text1 Char,Body Text Char Char1"/>
    <w:basedOn w:val="Normal"/>
    <w:link w:val="BodyTextChar"/>
    <w:rsid w:val="00B82E9E"/>
    <w:pPr>
      <w:spacing w:before="240" w:after="120"/>
      <w:ind w:right="720"/>
    </w:pPr>
  </w:style>
  <w:style w:type="character" w:customStyle="1" w:styleId="BodyTextChar">
    <w:name w:val="Body Text Char"/>
    <w:aliases w:val="Body Text Char1 Char,Body Text Char Char Char,Body Text Char Char Char Char Char,Body Text1 Char Char,Body Text Char Char1 Char"/>
    <w:link w:val="BodyText"/>
    <w:rsid w:val="00B82E9E"/>
    <w:rPr>
      <w:rFonts w:ascii="Georgia" w:hAnsi="Georgia"/>
      <w:sz w:val="22"/>
      <w:szCs w:val="22"/>
    </w:rPr>
  </w:style>
  <w:style w:type="character" w:styleId="Hyperlink">
    <w:name w:val="Hyperlink"/>
    <w:uiPriority w:val="99"/>
    <w:rsid w:val="00B82E9E"/>
    <w:rPr>
      <w:color w:val="0000FF"/>
      <w:u w:val="single"/>
    </w:rPr>
  </w:style>
  <w:style w:type="character" w:styleId="FollowedHyperlink">
    <w:name w:val="FollowedHyperlink"/>
    <w:uiPriority w:val="99"/>
    <w:rsid w:val="00B82E9E"/>
    <w:rPr>
      <w:color w:val="800080"/>
      <w:u w:val="single"/>
    </w:rPr>
  </w:style>
  <w:style w:type="character" w:styleId="Strong">
    <w:name w:val="Strong"/>
    <w:uiPriority w:val="22"/>
    <w:qFormat/>
    <w:rsid w:val="00B82E9E"/>
    <w:rPr>
      <w:b/>
      <w:bCs/>
    </w:rPr>
  </w:style>
  <w:style w:type="character" w:styleId="Emphasis">
    <w:name w:val="Emphasis"/>
    <w:uiPriority w:val="20"/>
    <w:qFormat/>
    <w:rsid w:val="00B82E9E"/>
    <w:rPr>
      <w:i/>
      <w:iCs/>
    </w:rPr>
  </w:style>
  <w:style w:type="paragraph" w:styleId="PlainText">
    <w:name w:val="Plain Text"/>
    <w:basedOn w:val="Normal"/>
    <w:link w:val="PlainTextChar"/>
    <w:uiPriority w:val="99"/>
    <w:rsid w:val="00B82E9E"/>
    <w:pPr>
      <w:spacing w:after="0" w:line="240" w:lineRule="auto"/>
    </w:pPr>
    <w:rPr>
      <w:szCs w:val="21"/>
    </w:rPr>
  </w:style>
  <w:style w:type="character" w:customStyle="1" w:styleId="PlainTextChar">
    <w:name w:val="Plain Text Char"/>
    <w:link w:val="PlainText"/>
    <w:uiPriority w:val="99"/>
    <w:rsid w:val="00B82E9E"/>
    <w:rPr>
      <w:rFonts w:ascii="Georgia" w:hAnsi="Georgia"/>
      <w:sz w:val="22"/>
      <w:szCs w:val="21"/>
    </w:rPr>
  </w:style>
  <w:style w:type="paragraph" w:styleId="NormalWeb">
    <w:name w:val="Normal (Web)"/>
    <w:basedOn w:val="Normal"/>
    <w:uiPriority w:val="99"/>
    <w:rsid w:val="00B82E9E"/>
    <w:rPr>
      <w:rFonts w:ascii="Times New Roman" w:hAnsi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B82E9E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B82E9E"/>
    <w:rPr>
      <w:rFonts w:ascii="Georgia" w:hAnsi="Georgia"/>
      <w:b/>
      <w:bCs/>
    </w:rPr>
  </w:style>
  <w:style w:type="paragraph" w:styleId="BalloonText">
    <w:name w:val="Balloon Text"/>
    <w:basedOn w:val="Normal"/>
    <w:link w:val="BalloonTextChar"/>
    <w:uiPriority w:val="99"/>
    <w:rsid w:val="00B82E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rsid w:val="00B82E9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B82E9E"/>
    <w:rPr>
      <w:rFonts w:eastAsia="Times New Roman"/>
      <w:sz w:val="22"/>
      <w:szCs w:val="22"/>
      <w:lang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B82E9E"/>
    <w:rPr>
      <w:rFonts w:eastAsia="Times New Roman"/>
      <w:sz w:val="22"/>
      <w:szCs w:val="22"/>
    </w:rPr>
  </w:style>
  <w:style w:type="character" w:customStyle="1" w:styleId="NoSpacingChar">
    <w:name w:val="No Spacing Char"/>
    <w:link w:val="NoSpacing"/>
    <w:uiPriority w:val="1"/>
    <w:rsid w:val="00B82E9E"/>
    <w:rPr>
      <w:rFonts w:eastAsia="Times New Roman"/>
      <w:sz w:val="22"/>
      <w:szCs w:val="22"/>
    </w:rPr>
  </w:style>
  <w:style w:type="table" w:styleId="LightList">
    <w:name w:val="Light List"/>
    <w:basedOn w:val="TableNormal"/>
    <w:uiPriority w:val="61"/>
    <w:rsid w:val="00B82E9E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ListParagraph">
    <w:name w:val="List Paragraph"/>
    <w:basedOn w:val="Normal"/>
    <w:uiPriority w:val="34"/>
    <w:qFormat/>
    <w:rsid w:val="00B82E9E"/>
    <w:pPr>
      <w:ind w:left="720"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2E9E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rsid w:val="00B82E9E"/>
    <w:rPr>
      <w:rFonts w:ascii="Georgia" w:hAnsi="Georgia"/>
      <w:b/>
      <w:bCs/>
      <w:i/>
      <w:iCs/>
      <w:color w:val="4F81BD"/>
      <w:sz w:val="22"/>
      <w:szCs w:val="22"/>
    </w:rPr>
  </w:style>
  <w:style w:type="character" w:styleId="SubtleEmphasis">
    <w:name w:val="Subtle Emphasis"/>
    <w:uiPriority w:val="19"/>
    <w:qFormat/>
    <w:rsid w:val="00B82E9E"/>
    <w:rPr>
      <w:i/>
      <w:iCs/>
      <w:color w:val="404040"/>
    </w:rPr>
  </w:style>
  <w:style w:type="paragraph" w:styleId="TOCHeading">
    <w:name w:val="TOC Heading"/>
    <w:basedOn w:val="Heading1"/>
    <w:next w:val="Normal"/>
    <w:uiPriority w:val="39"/>
    <w:qFormat/>
    <w:rsid w:val="00B82E9E"/>
    <w:pPr>
      <w:keepLines/>
      <w:spacing w:before="480" w:after="0"/>
      <w:outlineLvl w:val="9"/>
    </w:pPr>
    <w:rPr>
      <w:bCs w:val="0"/>
      <w:iCs/>
      <w:color w:val="365F91"/>
      <w:kern w:val="0"/>
      <w:szCs w:val="28"/>
    </w:rPr>
  </w:style>
  <w:style w:type="paragraph" w:customStyle="1" w:styleId="ChapterTitles">
    <w:name w:val="Chapter_Titles"/>
    <w:basedOn w:val="TOC1"/>
    <w:next w:val="Normal"/>
    <w:link w:val="ChapterTitlesChar"/>
    <w:qFormat/>
    <w:rsid w:val="00B82E9E"/>
    <w:pPr>
      <w:spacing w:before="120" w:after="220" w:line="240" w:lineRule="auto"/>
    </w:pPr>
  </w:style>
  <w:style w:type="character" w:customStyle="1" w:styleId="ChapterTitlesChar">
    <w:name w:val="Chapter_Titles Char"/>
    <w:basedOn w:val="TOC1Char"/>
    <w:link w:val="ChapterTitles"/>
    <w:rsid w:val="00B82E9E"/>
    <w:rPr>
      <w:rFonts w:ascii="Georgia" w:eastAsia="MS Mincho" w:hAnsi="Georgia" w:cs="Arial"/>
      <w:b/>
      <w:sz w:val="32"/>
      <w:szCs w:val="22"/>
      <w:lang w:eastAsia="ja-JP"/>
    </w:rPr>
  </w:style>
  <w:style w:type="paragraph" w:styleId="Bibliography">
    <w:name w:val="Bibliography"/>
    <w:basedOn w:val="Normal"/>
    <w:next w:val="Normal"/>
    <w:uiPriority w:val="37"/>
    <w:rsid w:val="002E55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334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5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Sur16</b:Tag>
    <b:SourceType>InternetSite</b:SourceType>
    <b:Guid>{2B22016C-1273-4562-B825-04A81CC37FA3}</b:Guid>
    <b:InternetSiteTitle>Difference Between Compounding and Discounting</b:InternetSiteTitle>
    <b:Author>
      <b:Author>
        <b:NameList>
          <b:Person>
            <b:Last>Surbhi</b:Last>
          </b:Person>
        </b:NameList>
      </b:Author>
    </b:Author>
    <b:YearAccessed>2016</b:YearAccessed>
    <b:Title>Key Differences</b:Title>
    <b:Year>2015</b:Year>
    <b:Month>July</b:Month>
    <b:Day>02</b:Day>
    <b:URL>http://keydifferences.com/difference-between-compounding-and-discounting.html</b:URL>
    <b:MonthAccessed>September</b:MonthAccessed>
    <b:DayAccessed>05</b:DayAccessed>
    <b:RefOrder>2</b:RefOrder>
  </b:Source>
  <b:Source>
    <b:Tag>Pet15</b:Tag>
    <b:SourceType>Book</b:SourceType>
    <b:Guid>{DDF5CBC5-CB46-417B-B419-0A23B9D0D4D0}</b:Guid>
    <b:Author>
      <b:Author>
        <b:NameList>
          <b:Person>
            <b:Last>Petty</b:Last>
            <b:First>J</b:First>
            <b:Middle>William</b:Middle>
          </b:Person>
          <b:Person>
            <b:Last>Titman</b:Last>
            <b:First>Sheridan</b:First>
          </b:Person>
          <b:Person>
            <b:Last>Keown</b:Last>
            <b:First>Arthur</b:First>
            <b:Middle>J</b:Middle>
          </b:Person>
          <b:Person>
            <b:Last>Martin</b:Last>
            <b:First>John</b:First>
            <b:Middle>D</b:Middle>
          </b:Person>
        </b:NameList>
      </b:Author>
    </b:Author>
    <b:Title>Financial Management: Principle and Application</b:Title>
    <b:Year>2015</b:Year>
    <b:City>New York</b:City>
    <b:Publisher>Peason Education</b:Publisher>
    <b:RefOrder>1</b:RefOrder>
  </b:Source>
  <b:Source>
    <b:Tag>Ram14</b:Tag>
    <b:SourceType>Book</b:SourceType>
    <b:Guid>{077C715A-D82D-4D61-9722-BB6F79EAB514}</b:Guid>
    <b:Title>Financial Accounting Management</b:Title>
    <b:Year>2014</b:Year>
    <b:City>New York</b:City>
    <b:Publisher>Mc-Graw HIl</b:Publisher>
    <b:Author>
      <b:Author>
        <b:NameList>
          <b:Person>
            <b:Last>Kakoni</b:Last>
            <b:First>Ram</b:First>
            <b:Middle>Kumar</b:Middle>
          </b:Person>
          <b:Person>
            <b:Last>Ramacharchan</b:Last>
            <b:First>N</b:First>
          </b:Person>
        </b:NameList>
      </b:Author>
    </b:Author>
    <b:RefOrder>3</b:RefOrder>
  </b:Source>
</b:Sources>
</file>

<file path=customXml/itemProps1.xml><?xml version="1.0" encoding="utf-8"?>
<ds:datastoreItem xmlns:ds="http://schemas.openxmlformats.org/officeDocument/2006/customXml" ds:itemID="{AA4076AE-556D-4CEA-93E9-5767F7BA9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8</Pages>
  <Words>1190</Words>
  <Characters>6788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ksindell</dc:creator>
  <cp:keywords/>
  <dc:description/>
  <cp:lastModifiedBy>ASUS</cp:lastModifiedBy>
  <cp:revision>30</cp:revision>
  <dcterms:created xsi:type="dcterms:W3CDTF">2016-09-08T02:18:00Z</dcterms:created>
  <dcterms:modified xsi:type="dcterms:W3CDTF">2016-09-08T04:08:00Z</dcterms:modified>
</cp:coreProperties>
</file>