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10B7" w:rsidRDefault="004A1A07" w:rsidP="004A1A07">
      <w:pPr>
        <w:spacing w:after="0" w:line="480" w:lineRule="auto"/>
        <w:rPr>
          <w:rFonts w:ascii="Times New Roman" w:hAnsi="Times New Roman" w:cs="Times New Roman"/>
        </w:rPr>
      </w:pPr>
      <w:r>
        <w:rPr>
          <w:rFonts w:ascii="Times New Roman" w:hAnsi="Times New Roman" w:cs="Times New Roman"/>
        </w:rPr>
        <w:t xml:space="preserve">             </w:t>
      </w:r>
      <w:r w:rsidR="00C7359F" w:rsidRPr="004A1A07">
        <w:rPr>
          <w:rFonts w:ascii="Times New Roman" w:hAnsi="Times New Roman" w:cs="Times New Roman"/>
        </w:rPr>
        <w:t xml:space="preserve">There are several </w:t>
      </w:r>
      <w:r w:rsidR="003110B7" w:rsidRPr="004A1A07">
        <w:rPr>
          <w:rFonts w:ascii="Times New Roman" w:hAnsi="Times New Roman" w:cs="Times New Roman"/>
        </w:rPr>
        <w:t>providers</w:t>
      </w:r>
      <w:r w:rsidR="00C7359F" w:rsidRPr="004A1A07">
        <w:rPr>
          <w:rFonts w:ascii="Times New Roman" w:hAnsi="Times New Roman" w:cs="Times New Roman"/>
        </w:rPr>
        <w:t xml:space="preserve"> of capital </w:t>
      </w:r>
      <w:r w:rsidR="003110B7" w:rsidRPr="004A1A07">
        <w:rPr>
          <w:rFonts w:ascii="Times New Roman" w:hAnsi="Times New Roman" w:cs="Times New Roman"/>
        </w:rPr>
        <w:t xml:space="preserve">to which a business enterprise can approach to raise funds for enterprise formation and or operation. The major providers of capital (financing) for a business </w:t>
      </w:r>
      <w:r w:rsidR="005E7266" w:rsidRPr="004A1A07">
        <w:rPr>
          <w:rFonts w:ascii="Times New Roman" w:hAnsi="Times New Roman" w:cs="Times New Roman"/>
        </w:rPr>
        <w:t>enterprise</w:t>
      </w:r>
      <w:r w:rsidR="003110B7" w:rsidRPr="004A1A07">
        <w:rPr>
          <w:rFonts w:ascii="Times New Roman" w:hAnsi="Times New Roman" w:cs="Times New Roman"/>
        </w:rPr>
        <w:t xml:space="preserve"> are as follows.</w:t>
      </w:r>
    </w:p>
    <w:p w:rsidR="004A1A07" w:rsidRPr="004A1A07" w:rsidRDefault="004A1A07" w:rsidP="004A1A07">
      <w:pPr>
        <w:spacing w:after="0" w:line="480" w:lineRule="auto"/>
        <w:rPr>
          <w:rFonts w:ascii="Times New Roman" w:hAnsi="Times New Roman" w:cs="Times New Roman"/>
          <w:sz w:val="8"/>
          <w:szCs w:val="8"/>
        </w:rPr>
      </w:pPr>
    </w:p>
    <w:tbl>
      <w:tblPr>
        <w:tblStyle w:val="TableGrid"/>
        <w:tblW w:w="0" w:type="auto"/>
        <w:tblLook w:val="04A0" w:firstRow="1" w:lastRow="0" w:firstColumn="1" w:lastColumn="0" w:noHBand="0" w:noVBand="1"/>
      </w:tblPr>
      <w:tblGrid>
        <w:gridCol w:w="4135"/>
        <w:gridCol w:w="4950"/>
      </w:tblGrid>
      <w:tr w:rsidR="003110B7" w:rsidRPr="004A1A07" w:rsidTr="004A1A07">
        <w:tc>
          <w:tcPr>
            <w:tcW w:w="4135" w:type="dxa"/>
            <w:shd w:val="clear" w:color="auto" w:fill="ACB9CA" w:themeFill="text2" w:themeFillTint="66"/>
          </w:tcPr>
          <w:p w:rsidR="003110B7" w:rsidRPr="004A1A07" w:rsidRDefault="003110B7" w:rsidP="004A1A07">
            <w:pPr>
              <w:spacing w:line="480" w:lineRule="auto"/>
              <w:jc w:val="center"/>
              <w:rPr>
                <w:rFonts w:ascii="Times New Roman" w:hAnsi="Times New Roman" w:cs="Times New Roman"/>
                <w:b/>
              </w:rPr>
            </w:pPr>
            <w:r w:rsidRPr="004A1A07">
              <w:rPr>
                <w:rFonts w:ascii="Times New Roman" w:hAnsi="Times New Roman" w:cs="Times New Roman"/>
                <w:b/>
              </w:rPr>
              <w:t>Providers of Funds</w:t>
            </w:r>
          </w:p>
        </w:tc>
        <w:tc>
          <w:tcPr>
            <w:tcW w:w="4950" w:type="dxa"/>
            <w:shd w:val="clear" w:color="auto" w:fill="ACB9CA" w:themeFill="text2" w:themeFillTint="66"/>
          </w:tcPr>
          <w:p w:rsidR="003110B7" w:rsidRPr="004A1A07" w:rsidRDefault="003110B7" w:rsidP="004A1A07">
            <w:pPr>
              <w:spacing w:line="480" w:lineRule="auto"/>
              <w:jc w:val="center"/>
              <w:rPr>
                <w:rFonts w:ascii="Times New Roman" w:hAnsi="Times New Roman" w:cs="Times New Roman"/>
                <w:b/>
              </w:rPr>
            </w:pPr>
            <w:r w:rsidRPr="004A1A07">
              <w:rPr>
                <w:rFonts w:ascii="Times New Roman" w:hAnsi="Times New Roman" w:cs="Times New Roman"/>
                <w:b/>
              </w:rPr>
              <w:t>Mode of Financing</w:t>
            </w:r>
          </w:p>
        </w:tc>
      </w:tr>
      <w:tr w:rsidR="003110B7" w:rsidRPr="004A1A07" w:rsidTr="005E7266">
        <w:tc>
          <w:tcPr>
            <w:tcW w:w="4135" w:type="dxa"/>
          </w:tcPr>
          <w:p w:rsidR="003110B7" w:rsidRPr="004A1A07" w:rsidRDefault="00945036" w:rsidP="004A1A07">
            <w:pPr>
              <w:spacing w:line="480" w:lineRule="auto"/>
              <w:rPr>
                <w:rFonts w:ascii="Times New Roman" w:hAnsi="Times New Roman" w:cs="Times New Roman"/>
              </w:rPr>
            </w:pPr>
            <w:r w:rsidRPr="004A1A07">
              <w:rPr>
                <w:rFonts w:ascii="Times New Roman" w:hAnsi="Times New Roman" w:cs="Times New Roman"/>
              </w:rPr>
              <w:t>Equity H</w:t>
            </w:r>
            <w:r w:rsidR="003110B7" w:rsidRPr="004A1A07">
              <w:rPr>
                <w:rFonts w:ascii="Times New Roman" w:hAnsi="Times New Roman" w:cs="Times New Roman"/>
              </w:rPr>
              <w:t>olders</w:t>
            </w:r>
          </w:p>
        </w:tc>
        <w:tc>
          <w:tcPr>
            <w:tcW w:w="4950" w:type="dxa"/>
          </w:tcPr>
          <w:p w:rsidR="003110B7" w:rsidRPr="004A1A07" w:rsidRDefault="003110B7" w:rsidP="004A1A07">
            <w:pPr>
              <w:spacing w:line="480" w:lineRule="auto"/>
              <w:rPr>
                <w:rFonts w:ascii="Times New Roman" w:hAnsi="Times New Roman" w:cs="Times New Roman"/>
              </w:rPr>
            </w:pPr>
            <w:r w:rsidRPr="004A1A07">
              <w:rPr>
                <w:rFonts w:ascii="Times New Roman" w:hAnsi="Times New Roman" w:cs="Times New Roman"/>
              </w:rPr>
              <w:t>Capital Stock</w:t>
            </w:r>
            <w:r w:rsidR="00945036" w:rsidRPr="004A1A07">
              <w:rPr>
                <w:rFonts w:ascii="Times New Roman" w:hAnsi="Times New Roman" w:cs="Times New Roman"/>
              </w:rPr>
              <w:t>, and Retained Earnings</w:t>
            </w:r>
          </w:p>
        </w:tc>
      </w:tr>
      <w:tr w:rsidR="003110B7" w:rsidRPr="004A1A07" w:rsidTr="005E7266">
        <w:tc>
          <w:tcPr>
            <w:tcW w:w="4135" w:type="dxa"/>
          </w:tcPr>
          <w:p w:rsidR="003110B7" w:rsidRPr="004A1A07" w:rsidRDefault="003110B7" w:rsidP="004A1A07">
            <w:pPr>
              <w:spacing w:line="480" w:lineRule="auto"/>
              <w:rPr>
                <w:rFonts w:ascii="Times New Roman" w:hAnsi="Times New Roman" w:cs="Times New Roman"/>
              </w:rPr>
            </w:pPr>
            <w:r w:rsidRPr="004A1A07">
              <w:rPr>
                <w:rFonts w:ascii="Times New Roman" w:hAnsi="Times New Roman" w:cs="Times New Roman"/>
              </w:rPr>
              <w:t xml:space="preserve">Preferred </w:t>
            </w:r>
            <w:r w:rsidRPr="004A1A07">
              <w:rPr>
                <w:rFonts w:ascii="Times New Roman" w:hAnsi="Times New Roman" w:cs="Times New Roman"/>
              </w:rPr>
              <w:t>Shareholders</w:t>
            </w:r>
          </w:p>
        </w:tc>
        <w:tc>
          <w:tcPr>
            <w:tcW w:w="4950" w:type="dxa"/>
          </w:tcPr>
          <w:p w:rsidR="003110B7" w:rsidRPr="004A1A07" w:rsidRDefault="003110B7" w:rsidP="004A1A07">
            <w:pPr>
              <w:spacing w:line="480" w:lineRule="auto"/>
              <w:rPr>
                <w:rFonts w:ascii="Times New Roman" w:hAnsi="Times New Roman" w:cs="Times New Roman"/>
              </w:rPr>
            </w:pPr>
            <w:r w:rsidRPr="004A1A07">
              <w:rPr>
                <w:rFonts w:ascii="Times New Roman" w:hAnsi="Times New Roman" w:cs="Times New Roman"/>
              </w:rPr>
              <w:t>Preferred Stock</w:t>
            </w:r>
          </w:p>
        </w:tc>
      </w:tr>
      <w:tr w:rsidR="003110B7" w:rsidRPr="004A1A07" w:rsidTr="005E7266">
        <w:tc>
          <w:tcPr>
            <w:tcW w:w="4135" w:type="dxa"/>
          </w:tcPr>
          <w:p w:rsidR="003110B7" w:rsidRPr="004A1A07" w:rsidRDefault="003110B7" w:rsidP="004A1A07">
            <w:pPr>
              <w:spacing w:line="480" w:lineRule="auto"/>
              <w:rPr>
                <w:rFonts w:ascii="Times New Roman" w:hAnsi="Times New Roman" w:cs="Times New Roman"/>
              </w:rPr>
            </w:pPr>
            <w:r w:rsidRPr="004A1A07">
              <w:rPr>
                <w:rFonts w:ascii="Times New Roman" w:hAnsi="Times New Roman" w:cs="Times New Roman"/>
              </w:rPr>
              <w:t>Debt holders</w:t>
            </w:r>
          </w:p>
        </w:tc>
        <w:tc>
          <w:tcPr>
            <w:tcW w:w="4950" w:type="dxa"/>
          </w:tcPr>
          <w:p w:rsidR="003110B7" w:rsidRPr="004A1A07" w:rsidRDefault="003110B7" w:rsidP="004A1A07">
            <w:pPr>
              <w:spacing w:line="480" w:lineRule="auto"/>
              <w:rPr>
                <w:rFonts w:ascii="Times New Roman" w:hAnsi="Times New Roman" w:cs="Times New Roman"/>
              </w:rPr>
            </w:pPr>
            <w:r w:rsidRPr="004A1A07">
              <w:rPr>
                <w:rFonts w:ascii="Times New Roman" w:hAnsi="Times New Roman" w:cs="Times New Roman"/>
              </w:rPr>
              <w:t>Loan Stock, and Debt</w:t>
            </w:r>
          </w:p>
        </w:tc>
      </w:tr>
      <w:tr w:rsidR="003110B7" w:rsidRPr="004A1A07" w:rsidTr="005E7266">
        <w:tc>
          <w:tcPr>
            <w:tcW w:w="4135" w:type="dxa"/>
          </w:tcPr>
          <w:p w:rsidR="003110B7" w:rsidRPr="004A1A07" w:rsidRDefault="003110B7" w:rsidP="004A1A07">
            <w:pPr>
              <w:spacing w:line="480" w:lineRule="auto"/>
              <w:rPr>
                <w:rFonts w:ascii="Times New Roman" w:hAnsi="Times New Roman" w:cs="Times New Roman"/>
              </w:rPr>
            </w:pPr>
            <w:r w:rsidRPr="004A1A07">
              <w:rPr>
                <w:rFonts w:ascii="Times New Roman" w:hAnsi="Times New Roman" w:cs="Times New Roman"/>
              </w:rPr>
              <w:t>Bank</w:t>
            </w:r>
          </w:p>
        </w:tc>
        <w:tc>
          <w:tcPr>
            <w:tcW w:w="4950" w:type="dxa"/>
          </w:tcPr>
          <w:p w:rsidR="003110B7" w:rsidRPr="004A1A07" w:rsidRDefault="003110B7" w:rsidP="004A1A07">
            <w:pPr>
              <w:spacing w:line="480" w:lineRule="auto"/>
              <w:rPr>
                <w:rFonts w:ascii="Times New Roman" w:hAnsi="Times New Roman" w:cs="Times New Roman"/>
              </w:rPr>
            </w:pPr>
            <w:r w:rsidRPr="004A1A07">
              <w:rPr>
                <w:rFonts w:ascii="Times New Roman" w:hAnsi="Times New Roman" w:cs="Times New Roman"/>
              </w:rPr>
              <w:t>Overdraft, and Short term loan</w:t>
            </w:r>
          </w:p>
        </w:tc>
      </w:tr>
      <w:tr w:rsidR="003110B7" w:rsidRPr="004A1A07" w:rsidTr="005E7266">
        <w:tc>
          <w:tcPr>
            <w:tcW w:w="4135" w:type="dxa"/>
          </w:tcPr>
          <w:p w:rsidR="003110B7" w:rsidRPr="004A1A07" w:rsidRDefault="003110B7" w:rsidP="004A1A07">
            <w:pPr>
              <w:spacing w:line="480" w:lineRule="auto"/>
              <w:rPr>
                <w:rFonts w:ascii="Times New Roman" w:hAnsi="Times New Roman" w:cs="Times New Roman"/>
              </w:rPr>
            </w:pPr>
            <w:r w:rsidRPr="004A1A07">
              <w:rPr>
                <w:rFonts w:ascii="Times New Roman" w:hAnsi="Times New Roman" w:cs="Times New Roman"/>
              </w:rPr>
              <w:t>Lessor</w:t>
            </w:r>
          </w:p>
        </w:tc>
        <w:tc>
          <w:tcPr>
            <w:tcW w:w="4950" w:type="dxa"/>
          </w:tcPr>
          <w:p w:rsidR="003110B7" w:rsidRPr="004A1A07" w:rsidRDefault="003110B7" w:rsidP="004A1A07">
            <w:pPr>
              <w:spacing w:line="480" w:lineRule="auto"/>
              <w:rPr>
                <w:rFonts w:ascii="Times New Roman" w:hAnsi="Times New Roman" w:cs="Times New Roman"/>
              </w:rPr>
            </w:pPr>
            <w:r w:rsidRPr="004A1A07">
              <w:rPr>
                <w:rFonts w:ascii="Times New Roman" w:hAnsi="Times New Roman" w:cs="Times New Roman"/>
              </w:rPr>
              <w:t>Operating Lease and financial lease</w:t>
            </w:r>
          </w:p>
        </w:tc>
      </w:tr>
    </w:tbl>
    <w:p w:rsidR="00C7359F" w:rsidRPr="004A1A07" w:rsidRDefault="003110B7" w:rsidP="004A1A07">
      <w:pPr>
        <w:spacing w:after="0" w:line="480" w:lineRule="auto"/>
        <w:rPr>
          <w:rFonts w:ascii="Times New Roman" w:hAnsi="Times New Roman" w:cs="Times New Roman"/>
        </w:rPr>
      </w:pPr>
      <w:r w:rsidRPr="004A1A07">
        <w:rPr>
          <w:rFonts w:ascii="Times New Roman" w:hAnsi="Times New Roman" w:cs="Times New Roman"/>
        </w:rPr>
        <w:t xml:space="preserve"> </w:t>
      </w:r>
    </w:p>
    <w:p w:rsidR="00B935CC" w:rsidRPr="004A1A07" w:rsidRDefault="004A1A07" w:rsidP="004A1A07">
      <w:pPr>
        <w:spacing w:after="0" w:line="480" w:lineRule="auto"/>
        <w:rPr>
          <w:rFonts w:ascii="Times New Roman" w:hAnsi="Times New Roman" w:cs="Times New Roman"/>
        </w:rPr>
      </w:pPr>
      <w:r>
        <w:rPr>
          <w:rFonts w:ascii="Times New Roman" w:hAnsi="Times New Roman" w:cs="Times New Roman"/>
        </w:rPr>
        <w:t xml:space="preserve">             </w:t>
      </w:r>
      <w:r w:rsidR="00C7359F" w:rsidRPr="004A1A07">
        <w:rPr>
          <w:rFonts w:ascii="Times New Roman" w:hAnsi="Times New Roman" w:cs="Times New Roman"/>
        </w:rPr>
        <w:t xml:space="preserve">As compared to other sources of capital, </w:t>
      </w:r>
      <w:r w:rsidR="005E7266" w:rsidRPr="004A1A07">
        <w:rPr>
          <w:rFonts w:ascii="Times New Roman" w:hAnsi="Times New Roman" w:cs="Times New Roman"/>
        </w:rPr>
        <w:t xml:space="preserve">most important and widely used providers of the </w:t>
      </w:r>
      <w:r w:rsidR="005E7266" w:rsidRPr="004A1A07">
        <w:rPr>
          <w:rFonts w:ascii="Times New Roman" w:hAnsi="Times New Roman" w:cs="Times New Roman"/>
        </w:rPr>
        <w:t>capital (financing) for a business</w:t>
      </w:r>
      <w:r w:rsidR="005E7266" w:rsidRPr="004A1A07">
        <w:rPr>
          <w:rFonts w:ascii="Times New Roman" w:hAnsi="Times New Roman" w:cs="Times New Roman"/>
        </w:rPr>
        <w:t xml:space="preserve"> enterprise is the </w:t>
      </w:r>
      <w:r w:rsidR="00945036" w:rsidRPr="004A1A07">
        <w:rPr>
          <w:rFonts w:ascii="Times New Roman" w:hAnsi="Times New Roman" w:cs="Times New Roman"/>
        </w:rPr>
        <w:t>equity holders. E</w:t>
      </w:r>
      <w:r w:rsidR="00945036" w:rsidRPr="004A1A07">
        <w:rPr>
          <w:rFonts w:ascii="Times New Roman" w:hAnsi="Times New Roman" w:cs="Times New Roman"/>
        </w:rPr>
        <w:t>quity holders</w:t>
      </w:r>
      <w:r w:rsidR="00945036" w:rsidRPr="004A1A07">
        <w:rPr>
          <w:rFonts w:ascii="Times New Roman" w:hAnsi="Times New Roman" w:cs="Times New Roman"/>
        </w:rPr>
        <w:t xml:space="preserve"> are the actual</w:t>
      </w:r>
      <w:r w:rsidR="00C7359F" w:rsidRPr="004A1A07">
        <w:rPr>
          <w:rFonts w:ascii="Times New Roman" w:hAnsi="Times New Roman" w:cs="Times New Roman"/>
        </w:rPr>
        <w:t xml:space="preserve"> owner of the </w:t>
      </w:r>
      <w:r w:rsidR="00945036" w:rsidRPr="004A1A07">
        <w:rPr>
          <w:rFonts w:ascii="Times New Roman" w:hAnsi="Times New Roman" w:cs="Times New Roman"/>
        </w:rPr>
        <w:t>enterprise</w:t>
      </w:r>
      <w:r w:rsidR="00C7359F" w:rsidRPr="004A1A07">
        <w:rPr>
          <w:rFonts w:ascii="Times New Roman" w:hAnsi="Times New Roman" w:cs="Times New Roman"/>
        </w:rPr>
        <w:t xml:space="preserve">. </w:t>
      </w:r>
      <w:r w:rsidR="00945036" w:rsidRPr="004A1A07">
        <w:rPr>
          <w:rFonts w:ascii="Times New Roman" w:hAnsi="Times New Roman" w:cs="Times New Roman"/>
        </w:rPr>
        <w:t xml:space="preserve">On behalf of the </w:t>
      </w:r>
      <w:r w:rsidR="00945036" w:rsidRPr="004A1A07">
        <w:rPr>
          <w:rFonts w:ascii="Times New Roman" w:hAnsi="Times New Roman" w:cs="Times New Roman"/>
        </w:rPr>
        <w:t>equity holders</w:t>
      </w:r>
      <w:r w:rsidR="00945036" w:rsidRPr="004A1A07">
        <w:rPr>
          <w:rFonts w:ascii="Times New Roman" w:hAnsi="Times New Roman" w:cs="Times New Roman"/>
        </w:rPr>
        <w:t>, the management operates the function of business enterprise.  Here, the</w:t>
      </w:r>
      <w:r w:rsidR="00C7359F" w:rsidRPr="004A1A07">
        <w:rPr>
          <w:rFonts w:ascii="Times New Roman" w:hAnsi="Times New Roman" w:cs="Times New Roman"/>
        </w:rPr>
        <w:t xml:space="preserve"> management is in the </w:t>
      </w:r>
      <w:r w:rsidR="00945036" w:rsidRPr="004A1A07">
        <w:rPr>
          <w:rFonts w:ascii="Times New Roman" w:hAnsi="Times New Roman" w:cs="Times New Roman"/>
        </w:rPr>
        <w:t>position</w:t>
      </w:r>
      <w:r w:rsidR="00C7359F" w:rsidRPr="004A1A07">
        <w:rPr>
          <w:rFonts w:ascii="Times New Roman" w:hAnsi="Times New Roman" w:cs="Times New Roman"/>
        </w:rPr>
        <w:t xml:space="preserve"> </w:t>
      </w:r>
      <w:r w:rsidR="00945036" w:rsidRPr="004A1A07">
        <w:rPr>
          <w:rFonts w:ascii="Times New Roman" w:hAnsi="Times New Roman" w:cs="Times New Roman"/>
        </w:rPr>
        <w:t>of</w:t>
      </w:r>
      <w:r w:rsidR="00C7359F" w:rsidRPr="004A1A07">
        <w:rPr>
          <w:rFonts w:ascii="Times New Roman" w:hAnsi="Times New Roman" w:cs="Times New Roman"/>
        </w:rPr>
        <w:t xml:space="preserve"> steward relationship. Thus, </w:t>
      </w:r>
      <w:r w:rsidR="00945036" w:rsidRPr="004A1A07">
        <w:rPr>
          <w:rFonts w:ascii="Times New Roman" w:hAnsi="Times New Roman" w:cs="Times New Roman"/>
        </w:rPr>
        <w:t>equity holders</w:t>
      </w:r>
      <w:r w:rsidR="00945036" w:rsidRPr="004A1A07">
        <w:rPr>
          <w:rFonts w:ascii="Times New Roman" w:hAnsi="Times New Roman" w:cs="Times New Roman"/>
        </w:rPr>
        <w:t xml:space="preserve"> look for</w:t>
      </w:r>
      <w:r w:rsidR="00C7359F" w:rsidRPr="004A1A07">
        <w:rPr>
          <w:rFonts w:ascii="Times New Roman" w:hAnsi="Times New Roman" w:cs="Times New Roman"/>
        </w:rPr>
        <w:t xml:space="preserve"> high transparency </w:t>
      </w:r>
      <w:r w:rsidR="00945036" w:rsidRPr="004A1A07">
        <w:rPr>
          <w:rFonts w:ascii="Times New Roman" w:hAnsi="Times New Roman" w:cs="Times New Roman"/>
        </w:rPr>
        <w:t xml:space="preserve">in reporting of </w:t>
      </w:r>
      <w:r w:rsidR="00C7359F" w:rsidRPr="004A1A07">
        <w:rPr>
          <w:rFonts w:ascii="Times New Roman" w:hAnsi="Times New Roman" w:cs="Times New Roman"/>
        </w:rPr>
        <w:t xml:space="preserve">with respect to </w:t>
      </w:r>
      <w:r w:rsidR="00945036" w:rsidRPr="004A1A07">
        <w:rPr>
          <w:rFonts w:ascii="Times New Roman" w:hAnsi="Times New Roman" w:cs="Times New Roman"/>
        </w:rPr>
        <w:t xml:space="preserve">their claim in the business to understand their actual position in the business, and who their funds have been utilized. Other providers of financing have also interest to the position, and claim of the </w:t>
      </w:r>
      <w:r w:rsidR="00945036" w:rsidRPr="004A1A07">
        <w:rPr>
          <w:rFonts w:ascii="Times New Roman" w:hAnsi="Times New Roman" w:cs="Times New Roman"/>
        </w:rPr>
        <w:t>equity holders</w:t>
      </w:r>
      <w:r w:rsidR="00945036" w:rsidRPr="004A1A07">
        <w:rPr>
          <w:rFonts w:ascii="Times New Roman" w:hAnsi="Times New Roman" w:cs="Times New Roman"/>
        </w:rPr>
        <w:t xml:space="preserve"> in the business enterprise. In consideration of the relative importance of equity financing,</w:t>
      </w:r>
      <w:r w:rsidR="00480339" w:rsidRPr="004A1A07">
        <w:rPr>
          <w:rFonts w:ascii="Times New Roman" w:hAnsi="Times New Roman" w:cs="Times New Roman"/>
        </w:rPr>
        <w:t xml:space="preserve"> accounting bodies try ensure high transparency in reporting of the equity financing of the business through financial statement disclosure and accounting method. </w:t>
      </w:r>
      <w:r w:rsidR="00945036" w:rsidRPr="004A1A07">
        <w:rPr>
          <w:rFonts w:ascii="Times New Roman" w:hAnsi="Times New Roman" w:cs="Times New Roman"/>
        </w:rPr>
        <w:t xml:space="preserve"> </w:t>
      </w:r>
    </w:p>
    <w:p w:rsidR="004A1A07" w:rsidRPr="004A1A07" w:rsidRDefault="004A1A07" w:rsidP="004A1A07">
      <w:pPr>
        <w:spacing w:after="0" w:line="480" w:lineRule="auto"/>
        <w:rPr>
          <w:rFonts w:ascii="Times New Roman" w:hAnsi="Times New Roman" w:cs="Times New Roman"/>
          <w:b/>
          <w:sz w:val="14"/>
          <w:szCs w:val="14"/>
        </w:rPr>
      </w:pPr>
    </w:p>
    <w:p w:rsidR="00C7359F" w:rsidRPr="004A1A07" w:rsidRDefault="00480339" w:rsidP="004A1A07">
      <w:pPr>
        <w:spacing w:after="0" w:line="480" w:lineRule="auto"/>
        <w:jc w:val="center"/>
        <w:rPr>
          <w:rFonts w:ascii="Times New Roman" w:hAnsi="Times New Roman" w:cs="Times New Roman"/>
          <w:b/>
        </w:rPr>
      </w:pPr>
      <w:r w:rsidRPr="004A1A07">
        <w:rPr>
          <w:rFonts w:ascii="Times New Roman" w:hAnsi="Times New Roman" w:cs="Times New Roman"/>
          <w:b/>
        </w:rPr>
        <w:t>Financial Statement Disclosure</w:t>
      </w:r>
    </w:p>
    <w:p w:rsidR="004A1A07" w:rsidRPr="004A1A07" w:rsidRDefault="004A1A07" w:rsidP="004A1A07">
      <w:pPr>
        <w:spacing w:after="0" w:line="480" w:lineRule="auto"/>
        <w:rPr>
          <w:rFonts w:ascii="Times New Roman" w:hAnsi="Times New Roman" w:cs="Times New Roman"/>
          <w:sz w:val="12"/>
          <w:szCs w:val="12"/>
        </w:rPr>
      </w:pPr>
    </w:p>
    <w:p w:rsidR="00A505F9" w:rsidRPr="004A1A07" w:rsidRDefault="004A1A07" w:rsidP="004A1A07">
      <w:pPr>
        <w:spacing w:after="0" w:line="480" w:lineRule="auto"/>
        <w:rPr>
          <w:rFonts w:ascii="Times New Roman" w:hAnsi="Times New Roman" w:cs="Times New Roman"/>
        </w:rPr>
      </w:pPr>
      <w:r>
        <w:rPr>
          <w:rFonts w:ascii="Times New Roman" w:hAnsi="Times New Roman" w:cs="Times New Roman"/>
        </w:rPr>
        <w:t xml:space="preserve">            </w:t>
      </w:r>
      <w:r w:rsidR="00C7359F" w:rsidRPr="004A1A07">
        <w:rPr>
          <w:rFonts w:ascii="Times New Roman" w:hAnsi="Times New Roman" w:cs="Times New Roman"/>
        </w:rPr>
        <w:t>One of the basic financial statement include statement of change in equity. Under two well popular accounting standard framework- GAAP, and IFRS</w:t>
      </w:r>
      <w:r w:rsidR="00480339" w:rsidRPr="004A1A07">
        <w:rPr>
          <w:rFonts w:ascii="Times New Roman" w:hAnsi="Times New Roman" w:cs="Times New Roman"/>
        </w:rPr>
        <w:t>,</w:t>
      </w:r>
      <w:r w:rsidR="00C7359F" w:rsidRPr="004A1A07">
        <w:rPr>
          <w:rFonts w:ascii="Times New Roman" w:hAnsi="Times New Roman" w:cs="Times New Roman"/>
        </w:rPr>
        <w:t xml:space="preserve"> </w:t>
      </w:r>
      <w:r w:rsidR="00480339" w:rsidRPr="004A1A07">
        <w:rPr>
          <w:rFonts w:ascii="Times New Roman" w:hAnsi="Times New Roman" w:cs="Times New Roman"/>
        </w:rPr>
        <w:t xml:space="preserve">the preparation of </w:t>
      </w:r>
      <w:r w:rsidR="00C7359F" w:rsidRPr="004A1A07">
        <w:rPr>
          <w:rFonts w:ascii="Times New Roman" w:hAnsi="Times New Roman" w:cs="Times New Roman"/>
        </w:rPr>
        <w:t xml:space="preserve">statement of change in equity preparation is mandatory. In the statement of </w:t>
      </w:r>
      <w:r w:rsidR="00480339" w:rsidRPr="004A1A07">
        <w:rPr>
          <w:rFonts w:ascii="Times New Roman" w:hAnsi="Times New Roman" w:cs="Times New Roman"/>
        </w:rPr>
        <w:t>change of</w:t>
      </w:r>
      <w:r w:rsidR="00B935CC" w:rsidRPr="004A1A07">
        <w:rPr>
          <w:rFonts w:ascii="Times New Roman" w:hAnsi="Times New Roman" w:cs="Times New Roman"/>
        </w:rPr>
        <w:t xml:space="preserve"> change in equity, details regarding actual share capital contribution</w:t>
      </w:r>
      <w:r w:rsidR="00480339" w:rsidRPr="004A1A07">
        <w:rPr>
          <w:rFonts w:ascii="Times New Roman" w:hAnsi="Times New Roman" w:cs="Times New Roman"/>
        </w:rPr>
        <w:t>, share</w:t>
      </w:r>
      <w:r w:rsidR="00B935CC" w:rsidRPr="004A1A07">
        <w:rPr>
          <w:rFonts w:ascii="Times New Roman" w:hAnsi="Times New Roman" w:cs="Times New Roman"/>
        </w:rPr>
        <w:t xml:space="preserve"> premium, additional </w:t>
      </w:r>
      <w:r w:rsidR="00480339" w:rsidRPr="004A1A07">
        <w:rPr>
          <w:rFonts w:ascii="Times New Roman" w:hAnsi="Times New Roman" w:cs="Times New Roman"/>
        </w:rPr>
        <w:t>contribution</w:t>
      </w:r>
      <w:r w:rsidR="00B935CC" w:rsidRPr="004A1A07">
        <w:rPr>
          <w:rFonts w:ascii="Times New Roman" w:hAnsi="Times New Roman" w:cs="Times New Roman"/>
        </w:rPr>
        <w:t xml:space="preserve"> of fund, </w:t>
      </w:r>
      <w:r w:rsidR="0041673B" w:rsidRPr="004A1A07">
        <w:rPr>
          <w:rFonts w:ascii="Times New Roman" w:hAnsi="Times New Roman" w:cs="Times New Roman"/>
        </w:rPr>
        <w:t>r</w:t>
      </w:r>
      <w:r w:rsidR="00B935CC" w:rsidRPr="004A1A07">
        <w:rPr>
          <w:rFonts w:ascii="Times New Roman" w:hAnsi="Times New Roman" w:cs="Times New Roman"/>
        </w:rPr>
        <w:t xml:space="preserve">etained </w:t>
      </w:r>
      <w:r w:rsidR="0041673B" w:rsidRPr="004A1A07">
        <w:rPr>
          <w:rFonts w:ascii="Times New Roman" w:hAnsi="Times New Roman" w:cs="Times New Roman"/>
        </w:rPr>
        <w:t>e</w:t>
      </w:r>
      <w:r w:rsidR="00B935CC" w:rsidRPr="004A1A07">
        <w:rPr>
          <w:rFonts w:ascii="Times New Roman" w:hAnsi="Times New Roman" w:cs="Times New Roman"/>
        </w:rPr>
        <w:t xml:space="preserve">arnings, and </w:t>
      </w:r>
      <w:r w:rsidR="0041673B" w:rsidRPr="004A1A07">
        <w:rPr>
          <w:rFonts w:ascii="Times New Roman" w:hAnsi="Times New Roman" w:cs="Times New Roman"/>
        </w:rPr>
        <w:t xml:space="preserve">dividend </w:t>
      </w:r>
      <w:r w:rsidR="0041673B" w:rsidRPr="004A1A07">
        <w:rPr>
          <w:rFonts w:ascii="Times New Roman" w:hAnsi="Times New Roman" w:cs="Times New Roman"/>
        </w:rPr>
        <w:lastRenderedPageBreak/>
        <w:t xml:space="preserve">payments are </w:t>
      </w:r>
      <w:r w:rsidR="00480339" w:rsidRPr="004A1A07">
        <w:rPr>
          <w:rFonts w:ascii="Times New Roman" w:hAnsi="Times New Roman" w:cs="Times New Roman"/>
        </w:rPr>
        <w:t>explicitly</w:t>
      </w:r>
      <w:r w:rsidR="0041673B" w:rsidRPr="004A1A07">
        <w:rPr>
          <w:rFonts w:ascii="Times New Roman" w:hAnsi="Times New Roman" w:cs="Times New Roman"/>
        </w:rPr>
        <w:t xml:space="preserve"> mentioned</w:t>
      </w:r>
      <w:r w:rsidR="002873D5">
        <w:rPr>
          <w:rFonts w:ascii="Times New Roman" w:hAnsi="Times New Roman" w:cs="Times New Roman"/>
        </w:rPr>
        <w:t xml:space="preserve"> </w:t>
      </w:r>
      <w:sdt>
        <w:sdtPr>
          <w:rPr>
            <w:rFonts w:ascii="Times New Roman" w:hAnsi="Times New Roman" w:cs="Times New Roman"/>
          </w:rPr>
          <w:id w:val="-1657607087"/>
          <w:citation/>
        </w:sdtPr>
        <w:sdtContent>
          <w:r w:rsidR="002873D5">
            <w:rPr>
              <w:rFonts w:ascii="Times New Roman" w:hAnsi="Times New Roman" w:cs="Times New Roman"/>
            </w:rPr>
            <w:fldChar w:fldCharType="begin"/>
          </w:r>
          <w:r w:rsidR="002873D5">
            <w:rPr>
              <w:rFonts w:ascii="Times New Roman" w:hAnsi="Times New Roman" w:cs="Times New Roman"/>
            </w:rPr>
            <w:instrText xml:space="preserve"> CITATION Tim14 \l 1033 </w:instrText>
          </w:r>
          <w:r w:rsidR="002873D5">
            <w:rPr>
              <w:rFonts w:ascii="Times New Roman" w:hAnsi="Times New Roman" w:cs="Times New Roman"/>
            </w:rPr>
            <w:fldChar w:fldCharType="separate"/>
          </w:r>
          <w:r w:rsidR="002873D5" w:rsidRPr="002873D5">
            <w:rPr>
              <w:rFonts w:ascii="Times New Roman" w:hAnsi="Times New Roman" w:cs="Times New Roman"/>
              <w:noProof/>
            </w:rPr>
            <w:t>(Sutton, 2014)</w:t>
          </w:r>
          <w:r w:rsidR="002873D5">
            <w:rPr>
              <w:rFonts w:ascii="Times New Roman" w:hAnsi="Times New Roman" w:cs="Times New Roman"/>
            </w:rPr>
            <w:fldChar w:fldCharType="end"/>
          </w:r>
        </w:sdtContent>
      </w:sdt>
      <w:bookmarkStart w:id="0" w:name="_GoBack"/>
      <w:bookmarkEnd w:id="0"/>
      <w:r w:rsidR="0041673B" w:rsidRPr="004A1A07">
        <w:rPr>
          <w:rFonts w:ascii="Times New Roman" w:hAnsi="Times New Roman" w:cs="Times New Roman"/>
        </w:rPr>
        <w:t xml:space="preserve">. From this statement of </w:t>
      </w:r>
      <w:r w:rsidR="00480339" w:rsidRPr="004A1A07">
        <w:rPr>
          <w:rFonts w:ascii="Times New Roman" w:hAnsi="Times New Roman" w:cs="Times New Roman"/>
        </w:rPr>
        <w:t xml:space="preserve">change </w:t>
      </w:r>
      <w:r w:rsidR="0041673B" w:rsidRPr="004A1A07">
        <w:rPr>
          <w:rFonts w:ascii="Times New Roman" w:hAnsi="Times New Roman" w:cs="Times New Roman"/>
        </w:rPr>
        <w:t>in equity</w:t>
      </w:r>
      <w:r w:rsidR="0041673B" w:rsidRPr="004A1A07">
        <w:rPr>
          <w:rFonts w:ascii="Times New Roman" w:hAnsi="Times New Roman" w:cs="Times New Roman"/>
        </w:rPr>
        <w:t xml:space="preserve">, an outsider </w:t>
      </w:r>
      <w:r w:rsidR="00480339" w:rsidRPr="004A1A07">
        <w:rPr>
          <w:rFonts w:ascii="Times New Roman" w:hAnsi="Times New Roman" w:cs="Times New Roman"/>
        </w:rPr>
        <w:t>users of financial statements</w:t>
      </w:r>
      <w:r w:rsidR="0041673B" w:rsidRPr="004A1A07">
        <w:rPr>
          <w:rFonts w:ascii="Times New Roman" w:hAnsi="Times New Roman" w:cs="Times New Roman"/>
        </w:rPr>
        <w:t xml:space="preserve"> can easily understand and </w:t>
      </w:r>
      <w:r w:rsidR="00480339" w:rsidRPr="004A1A07">
        <w:rPr>
          <w:rFonts w:ascii="Times New Roman" w:hAnsi="Times New Roman" w:cs="Times New Roman"/>
        </w:rPr>
        <w:t>gauge</w:t>
      </w:r>
      <w:r w:rsidR="0041673B" w:rsidRPr="004A1A07">
        <w:rPr>
          <w:rFonts w:ascii="Times New Roman" w:hAnsi="Times New Roman" w:cs="Times New Roman"/>
        </w:rPr>
        <w:t xml:space="preserve"> what has </w:t>
      </w:r>
      <w:r w:rsidR="00480339" w:rsidRPr="004A1A07">
        <w:rPr>
          <w:rFonts w:ascii="Times New Roman" w:hAnsi="Times New Roman" w:cs="Times New Roman"/>
        </w:rPr>
        <w:t>happened</w:t>
      </w:r>
      <w:r w:rsidR="0041673B" w:rsidRPr="004A1A07">
        <w:rPr>
          <w:rFonts w:ascii="Times New Roman" w:hAnsi="Times New Roman" w:cs="Times New Roman"/>
        </w:rPr>
        <w:t xml:space="preserve"> with the funds of </w:t>
      </w:r>
      <w:r w:rsidR="00480339" w:rsidRPr="004A1A07">
        <w:rPr>
          <w:rFonts w:ascii="Times New Roman" w:hAnsi="Times New Roman" w:cs="Times New Roman"/>
        </w:rPr>
        <w:t>shareholders</w:t>
      </w:r>
      <w:r w:rsidR="0041673B" w:rsidRPr="004A1A07">
        <w:rPr>
          <w:rFonts w:ascii="Times New Roman" w:hAnsi="Times New Roman" w:cs="Times New Roman"/>
        </w:rPr>
        <w:t xml:space="preserve">, and how the </w:t>
      </w:r>
      <w:r w:rsidR="00480339" w:rsidRPr="004A1A07">
        <w:rPr>
          <w:rFonts w:ascii="Times New Roman" w:hAnsi="Times New Roman" w:cs="Times New Roman"/>
        </w:rPr>
        <w:t xml:space="preserve">claim of the </w:t>
      </w:r>
      <w:r w:rsidR="00480339" w:rsidRPr="004A1A07">
        <w:rPr>
          <w:rFonts w:ascii="Times New Roman" w:hAnsi="Times New Roman" w:cs="Times New Roman"/>
        </w:rPr>
        <w:t>equity holders</w:t>
      </w:r>
      <w:r w:rsidR="0041673B" w:rsidRPr="004A1A07">
        <w:rPr>
          <w:rFonts w:ascii="Times New Roman" w:hAnsi="Times New Roman" w:cs="Times New Roman"/>
        </w:rPr>
        <w:t xml:space="preserve"> have changed</w:t>
      </w:r>
      <w:r w:rsidR="00480339" w:rsidRPr="004A1A07">
        <w:rPr>
          <w:rFonts w:ascii="Times New Roman" w:hAnsi="Times New Roman" w:cs="Times New Roman"/>
        </w:rPr>
        <w:t xml:space="preserve"> over an accounting period</w:t>
      </w:r>
      <w:r w:rsidR="0041673B" w:rsidRPr="004A1A07">
        <w:rPr>
          <w:rFonts w:ascii="Times New Roman" w:hAnsi="Times New Roman" w:cs="Times New Roman"/>
        </w:rPr>
        <w:t>.</w:t>
      </w:r>
      <w:r w:rsidR="00A505F9" w:rsidRPr="004A1A07">
        <w:rPr>
          <w:rFonts w:ascii="Times New Roman" w:hAnsi="Times New Roman" w:cs="Times New Roman"/>
        </w:rPr>
        <w:t xml:space="preserve"> </w:t>
      </w:r>
      <w:r w:rsidR="003B755C" w:rsidRPr="004A1A07">
        <w:rPr>
          <w:rFonts w:ascii="Times New Roman" w:hAnsi="Times New Roman" w:cs="Times New Roman"/>
        </w:rPr>
        <w:t>Also, the balance of the business enterprise how the claim of the equity holders will be represented have been clearly guided with prescribed format in both accounting framework</w:t>
      </w:r>
      <w:r w:rsidR="002873D5">
        <w:rPr>
          <w:rFonts w:ascii="Times New Roman" w:hAnsi="Times New Roman" w:cs="Times New Roman"/>
        </w:rPr>
        <w:t xml:space="preserve"> </w:t>
      </w:r>
      <w:sdt>
        <w:sdtPr>
          <w:rPr>
            <w:rFonts w:ascii="Times New Roman" w:hAnsi="Times New Roman" w:cs="Times New Roman"/>
          </w:rPr>
          <w:id w:val="1774286226"/>
          <w:citation/>
        </w:sdtPr>
        <w:sdtContent>
          <w:r w:rsidR="002873D5">
            <w:rPr>
              <w:rFonts w:ascii="Times New Roman" w:hAnsi="Times New Roman" w:cs="Times New Roman"/>
            </w:rPr>
            <w:fldChar w:fldCharType="begin"/>
          </w:r>
          <w:r w:rsidR="002873D5">
            <w:rPr>
              <w:rFonts w:ascii="Times New Roman" w:hAnsi="Times New Roman" w:cs="Times New Roman"/>
            </w:rPr>
            <w:instrText xml:space="preserve"> CITATION Her13 \l 1033 </w:instrText>
          </w:r>
          <w:r w:rsidR="002873D5">
            <w:rPr>
              <w:rFonts w:ascii="Times New Roman" w:hAnsi="Times New Roman" w:cs="Times New Roman"/>
            </w:rPr>
            <w:fldChar w:fldCharType="separate"/>
          </w:r>
          <w:r w:rsidR="002873D5" w:rsidRPr="002873D5">
            <w:rPr>
              <w:rFonts w:ascii="Times New Roman" w:hAnsi="Times New Roman" w:cs="Times New Roman"/>
              <w:noProof/>
            </w:rPr>
            <w:t>(Stolowy &amp; Lebas, 2013)</w:t>
          </w:r>
          <w:r w:rsidR="002873D5">
            <w:rPr>
              <w:rFonts w:ascii="Times New Roman" w:hAnsi="Times New Roman" w:cs="Times New Roman"/>
            </w:rPr>
            <w:fldChar w:fldCharType="end"/>
          </w:r>
        </w:sdtContent>
      </w:sdt>
      <w:r w:rsidR="003B755C" w:rsidRPr="004A1A07">
        <w:rPr>
          <w:rFonts w:ascii="Times New Roman" w:hAnsi="Times New Roman" w:cs="Times New Roman"/>
        </w:rPr>
        <w:t xml:space="preserve">. </w:t>
      </w:r>
      <w:r w:rsidR="00A505F9" w:rsidRPr="004A1A07">
        <w:rPr>
          <w:rFonts w:ascii="Times New Roman" w:hAnsi="Times New Roman" w:cs="Times New Roman"/>
        </w:rPr>
        <w:t>Some local jurisdiction that regulates the format of financial statements of the companies may require to disclose the name and proportion of holdings of top equity holders in terms of total number of share, and total capitalization. This enables an outsider to easily understand the relative likely influence of investors with substantial investment</w:t>
      </w:r>
      <w:r w:rsidR="002873D5">
        <w:rPr>
          <w:rFonts w:ascii="Times New Roman" w:hAnsi="Times New Roman" w:cs="Times New Roman"/>
        </w:rPr>
        <w:t xml:space="preserve"> </w:t>
      </w:r>
      <w:sdt>
        <w:sdtPr>
          <w:rPr>
            <w:rFonts w:ascii="Times New Roman" w:hAnsi="Times New Roman" w:cs="Times New Roman"/>
          </w:rPr>
          <w:id w:val="-1246946646"/>
          <w:citation/>
        </w:sdtPr>
        <w:sdtContent>
          <w:r w:rsidR="002873D5">
            <w:rPr>
              <w:rFonts w:ascii="Times New Roman" w:hAnsi="Times New Roman" w:cs="Times New Roman"/>
            </w:rPr>
            <w:fldChar w:fldCharType="begin"/>
          </w:r>
          <w:r w:rsidR="002873D5">
            <w:rPr>
              <w:rFonts w:ascii="Times New Roman" w:hAnsi="Times New Roman" w:cs="Times New Roman"/>
            </w:rPr>
            <w:instrText xml:space="preserve"> CITATION MMe02 \l 1033 </w:instrText>
          </w:r>
          <w:r w:rsidR="002873D5">
            <w:rPr>
              <w:rFonts w:ascii="Times New Roman" w:hAnsi="Times New Roman" w:cs="Times New Roman"/>
            </w:rPr>
            <w:fldChar w:fldCharType="separate"/>
          </w:r>
          <w:r w:rsidR="002873D5" w:rsidRPr="002873D5">
            <w:rPr>
              <w:rFonts w:ascii="Times New Roman" w:hAnsi="Times New Roman" w:cs="Times New Roman"/>
              <w:noProof/>
            </w:rPr>
            <w:t>(Messner, Jeanjean, &amp; Baker, 2002)</w:t>
          </w:r>
          <w:r w:rsidR="002873D5">
            <w:rPr>
              <w:rFonts w:ascii="Times New Roman" w:hAnsi="Times New Roman" w:cs="Times New Roman"/>
            </w:rPr>
            <w:fldChar w:fldCharType="end"/>
          </w:r>
        </w:sdtContent>
      </w:sdt>
      <w:r w:rsidR="00A505F9" w:rsidRPr="004A1A07">
        <w:rPr>
          <w:rFonts w:ascii="Times New Roman" w:hAnsi="Times New Roman" w:cs="Times New Roman"/>
        </w:rPr>
        <w:t xml:space="preserve">. </w:t>
      </w:r>
    </w:p>
    <w:p w:rsidR="00A505F9" w:rsidRPr="004A1A07" w:rsidRDefault="00A505F9" w:rsidP="004A1A07">
      <w:pPr>
        <w:spacing w:after="0" w:line="480" w:lineRule="auto"/>
        <w:rPr>
          <w:rFonts w:ascii="Times New Roman" w:hAnsi="Times New Roman" w:cs="Times New Roman"/>
          <w:sz w:val="12"/>
          <w:szCs w:val="12"/>
        </w:rPr>
      </w:pPr>
    </w:p>
    <w:p w:rsidR="00A505F9" w:rsidRPr="004A1A07" w:rsidRDefault="00A505F9" w:rsidP="004A1A07">
      <w:pPr>
        <w:spacing w:after="0" w:line="480" w:lineRule="auto"/>
        <w:jc w:val="center"/>
        <w:rPr>
          <w:rFonts w:ascii="Times New Roman" w:hAnsi="Times New Roman" w:cs="Times New Roman"/>
          <w:b/>
        </w:rPr>
      </w:pPr>
      <w:r w:rsidRPr="004A1A07">
        <w:rPr>
          <w:rFonts w:ascii="Times New Roman" w:hAnsi="Times New Roman" w:cs="Times New Roman"/>
          <w:b/>
        </w:rPr>
        <w:t>Accounting Method</w:t>
      </w:r>
    </w:p>
    <w:p w:rsidR="004A1A07" w:rsidRPr="004A1A07" w:rsidRDefault="004A1A07" w:rsidP="004A1A07">
      <w:pPr>
        <w:spacing w:after="0" w:line="480" w:lineRule="auto"/>
        <w:rPr>
          <w:rFonts w:ascii="Times New Roman" w:hAnsi="Times New Roman" w:cs="Times New Roman"/>
          <w:sz w:val="14"/>
          <w:szCs w:val="14"/>
        </w:rPr>
      </w:pPr>
    </w:p>
    <w:p w:rsidR="00535DA7" w:rsidRDefault="000F3626" w:rsidP="004A1A07">
      <w:pPr>
        <w:spacing w:after="0" w:line="480" w:lineRule="auto"/>
        <w:rPr>
          <w:rFonts w:ascii="Times New Roman" w:hAnsi="Times New Roman" w:cs="Times New Roman"/>
        </w:rPr>
      </w:pPr>
      <w:r>
        <w:rPr>
          <w:rFonts w:ascii="Times New Roman" w:hAnsi="Times New Roman" w:cs="Times New Roman"/>
        </w:rPr>
        <w:t xml:space="preserve">             </w:t>
      </w:r>
      <w:r w:rsidR="00A505F9" w:rsidRPr="004A1A07">
        <w:rPr>
          <w:rFonts w:ascii="Times New Roman" w:hAnsi="Times New Roman" w:cs="Times New Roman"/>
        </w:rPr>
        <w:t xml:space="preserve">Under both </w:t>
      </w:r>
      <w:r w:rsidR="00A505F9" w:rsidRPr="004A1A07">
        <w:rPr>
          <w:rFonts w:ascii="Times New Roman" w:hAnsi="Times New Roman" w:cs="Times New Roman"/>
        </w:rPr>
        <w:t>accounting standard framework- GAAP, and IFRS,</w:t>
      </w:r>
      <w:r w:rsidR="00A505F9" w:rsidRPr="004A1A07">
        <w:rPr>
          <w:rFonts w:ascii="Times New Roman" w:hAnsi="Times New Roman" w:cs="Times New Roman"/>
        </w:rPr>
        <w:t xml:space="preserve"> the accounting method of claim of the </w:t>
      </w:r>
      <w:r w:rsidR="00A505F9" w:rsidRPr="004A1A07">
        <w:rPr>
          <w:rFonts w:ascii="Times New Roman" w:hAnsi="Times New Roman" w:cs="Times New Roman"/>
        </w:rPr>
        <w:t>equity holders</w:t>
      </w:r>
      <w:r w:rsidR="00A505F9" w:rsidRPr="004A1A07">
        <w:rPr>
          <w:rFonts w:ascii="Times New Roman" w:hAnsi="Times New Roman" w:cs="Times New Roman"/>
        </w:rPr>
        <w:t xml:space="preserve"> are clearly mentioned and explained</w:t>
      </w:r>
      <w:r w:rsidR="002873D5">
        <w:rPr>
          <w:rFonts w:ascii="Times New Roman" w:hAnsi="Times New Roman" w:cs="Times New Roman"/>
        </w:rPr>
        <w:t xml:space="preserve"> </w:t>
      </w:r>
      <w:sdt>
        <w:sdtPr>
          <w:rPr>
            <w:rFonts w:ascii="Times New Roman" w:hAnsi="Times New Roman" w:cs="Times New Roman"/>
          </w:rPr>
          <w:id w:val="-149295376"/>
          <w:citation/>
        </w:sdtPr>
        <w:sdtContent>
          <w:r w:rsidR="002873D5">
            <w:rPr>
              <w:rFonts w:ascii="Times New Roman" w:hAnsi="Times New Roman" w:cs="Times New Roman"/>
            </w:rPr>
            <w:fldChar w:fldCharType="begin"/>
          </w:r>
          <w:r w:rsidR="002873D5">
            <w:rPr>
              <w:rFonts w:ascii="Times New Roman" w:hAnsi="Times New Roman" w:cs="Times New Roman"/>
            </w:rPr>
            <w:instrText xml:space="preserve"> CITATION Her13 \l 1033 </w:instrText>
          </w:r>
          <w:r w:rsidR="002873D5">
            <w:rPr>
              <w:rFonts w:ascii="Times New Roman" w:hAnsi="Times New Roman" w:cs="Times New Roman"/>
            </w:rPr>
            <w:fldChar w:fldCharType="separate"/>
          </w:r>
          <w:r w:rsidR="002873D5" w:rsidRPr="002873D5">
            <w:rPr>
              <w:rFonts w:ascii="Times New Roman" w:hAnsi="Times New Roman" w:cs="Times New Roman"/>
              <w:noProof/>
            </w:rPr>
            <w:t>(Stolowy &amp; Lebas, 2013)</w:t>
          </w:r>
          <w:r w:rsidR="002873D5">
            <w:rPr>
              <w:rFonts w:ascii="Times New Roman" w:hAnsi="Times New Roman" w:cs="Times New Roman"/>
            </w:rPr>
            <w:fldChar w:fldCharType="end"/>
          </w:r>
        </w:sdtContent>
      </w:sdt>
      <w:r w:rsidR="00A505F9" w:rsidRPr="004A1A07">
        <w:rPr>
          <w:rFonts w:ascii="Times New Roman" w:hAnsi="Times New Roman" w:cs="Times New Roman"/>
        </w:rPr>
        <w:t xml:space="preserve">. </w:t>
      </w:r>
      <w:r w:rsidR="0058799F" w:rsidRPr="004A1A07">
        <w:rPr>
          <w:rFonts w:ascii="Times New Roman" w:hAnsi="Times New Roman" w:cs="Times New Roman"/>
        </w:rPr>
        <w:t xml:space="preserve">In every likely scenarios including normal business transactions (relating to capital contribution, and capital withdrawal or dividend payment), share repurchase, stock dividends, share premium, and earning retention the accounting method of </w:t>
      </w:r>
      <w:r w:rsidR="003B755C" w:rsidRPr="004A1A07">
        <w:rPr>
          <w:rFonts w:ascii="Times New Roman" w:hAnsi="Times New Roman" w:cs="Times New Roman"/>
        </w:rPr>
        <w:t>calculating total claim of the equity holders is guided</w:t>
      </w:r>
      <w:r w:rsidR="004A1A07">
        <w:rPr>
          <w:rFonts w:ascii="Times New Roman" w:hAnsi="Times New Roman" w:cs="Times New Roman"/>
        </w:rPr>
        <w:t xml:space="preserve"> so that no confusion remains in the accurate calculation of the amount to be represented in the financial statement of the company</w:t>
      </w:r>
      <w:r w:rsidR="003B755C" w:rsidRPr="004A1A07">
        <w:rPr>
          <w:rFonts w:ascii="Times New Roman" w:hAnsi="Times New Roman" w:cs="Times New Roman"/>
        </w:rPr>
        <w:t>. It should be mention, the accounting method of calculation of claim of equity</w:t>
      </w:r>
      <w:r w:rsidR="00147CB6" w:rsidRPr="004A1A07">
        <w:rPr>
          <w:rFonts w:ascii="Times New Roman" w:hAnsi="Times New Roman" w:cs="Times New Roman"/>
        </w:rPr>
        <w:t xml:space="preserve"> ho</w:t>
      </w:r>
      <w:r w:rsidR="003B755C" w:rsidRPr="004A1A07">
        <w:rPr>
          <w:rFonts w:ascii="Times New Roman" w:hAnsi="Times New Roman" w:cs="Times New Roman"/>
        </w:rPr>
        <w:t>l</w:t>
      </w:r>
      <w:r w:rsidR="00147CB6" w:rsidRPr="004A1A07">
        <w:rPr>
          <w:rFonts w:ascii="Times New Roman" w:hAnsi="Times New Roman" w:cs="Times New Roman"/>
        </w:rPr>
        <w:t>d</w:t>
      </w:r>
      <w:r w:rsidR="003B755C" w:rsidRPr="004A1A07">
        <w:rPr>
          <w:rFonts w:ascii="Times New Roman" w:hAnsi="Times New Roman" w:cs="Times New Roman"/>
        </w:rPr>
        <w:t>ers</w:t>
      </w:r>
      <w:r w:rsidR="00147CB6" w:rsidRPr="004A1A07">
        <w:rPr>
          <w:rFonts w:ascii="Times New Roman" w:hAnsi="Times New Roman" w:cs="Times New Roman"/>
        </w:rPr>
        <w:t xml:space="preserve"> are same in </w:t>
      </w:r>
      <w:r w:rsidR="00147CB6" w:rsidRPr="004A1A07">
        <w:rPr>
          <w:rFonts w:ascii="Times New Roman" w:hAnsi="Times New Roman" w:cs="Times New Roman"/>
        </w:rPr>
        <w:t>GAAP, and IFRS</w:t>
      </w:r>
      <w:r w:rsidR="00147CB6" w:rsidRPr="004A1A07">
        <w:rPr>
          <w:rFonts w:ascii="Times New Roman" w:hAnsi="Times New Roman" w:cs="Times New Roman"/>
        </w:rPr>
        <w:t xml:space="preserve">. </w:t>
      </w:r>
    </w:p>
    <w:p w:rsidR="00535DA7" w:rsidRDefault="00535DA7" w:rsidP="004A1A07">
      <w:pPr>
        <w:spacing w:after="0" w:line="480" w:lineRule="auto"/>
        <w:rPr>
          <w:rFonts w:ascii="Times New Roman" w:hAnsi="Times New Roman" w:cs="Times New Roman"/>
        </w:rPr>
      </w:pPr>
    </w:p>
    <w:p w:rsidR="00535DA7" w:rsidRDefault="00535DA7" w:rsidP="004A1A07">
      <w:pPr>
        <w:spacing w:after="0" w:line="480" w:lineRule="auto"/>
        <w:rPr>
          <w:rFonts w:ascii="Times New Roman" w:hAnsi="Times New Roman" w:cs="Times New Roman"/>
        </w:rPr>
      </w:pPr>
    </w:p>
    <w:p w:rsidR="00535DA7" w:rsidRDefault="00535DA7" w:rsidP="004A1A07">
      <w:pPr>
        <w:spacing w:after="0" w:line="480" w:lineRule="auto"/>
        <w:rPr>
          <w:rFonts w:ascii="Times New Roman" w:hAnsi="Times New Roman" w:cs="Times New Roman"/>
        </w:rPr>
      </w:pPr>
    </w:p>
    <w:p w:rsidR="00535DA7" w:rsidRDefault="00535DA7" w:rsidP="004A1A07">
      <w:pPr>
        <w:spacing w:after="0" w:line="480" w:lineRule="auto"/>
        <w:rPr>
          <w:rFonts w:ascii="Times New Roman" w:hAnsi="Times New Roman" w:cs="Times New Roman"/>
        </w:rPr>
      </w:pPr>
    </w:p>
    <w:p w:rsidR="00535DA7" w:rsidRDefault="00535DA7" w:rsidP="004A1A07">
      <w:pPr>
        <w:spacing w:after="0" w:line="480" w:lineRule="auto"/>
        <w:rPr>
          <w:rFonts w:ascii="Times New Roman" w:hAnsi="Times New Roman" w:cs="Times New Roman"/>
        </w:rPr>
      </w:pPr>
    </w:p>
    <w:p w:rsidR="00535DA7" w:rsidRDefault="00535DA7" w:rsidP="004A1A07">
      <w:pPr>
        <w:spacing w:after="0" w:line="480" w:lineRule="auto"/>
        <w:rPr>
          <w:rFonts w:ascii="Times New Roman" w:hAnsi="Times New Roman" w:cs="Times New Roman"/>
        </w:rPr>
      </w:pPr>
    </w:p>
    <w:p w:rsidR="00535DA7" w:rsidRDefault="00535DA7" w:rsidP="004A1A07">
      <w:pPr>
        <w:spacing w:after="0" w:line="480" w:lineRule="auto"/>
        <w:rPr>
          <w:rFonts w:ascii="Times New Roman" w:hAnsi="Times New Roman" w:cs="Times New Roman"/>
        </w:rPr>
      </w:pPr>
    </w:p>
    <w:sdt>
      <w:sdtPr>
        <w:id w:val="517287040"/>
        <w:docPartObj>
          <w:docPartGallery w:val="Bibliographies"/>
          <w:docPartUnique/>
        </w:docPartObj>
      </w:sdtPr>
      <w:sdtEndPr>
        <w:rPr>
          <w:rFonts w:asciiTheme="minorHAnsi" w:eastAsiaTheme="minorHAnsi" w:hAnsiTheme="minorHAnsi" w:cstheme="minorBidi"/>
          <w:color w:val="auto"/>
          <w:sz w:val="22"/>
          <w:szCs w:val="22"/>
        </w:rPr>
      </w:sdtEndPr>
      <w:sdtContent>
        <w:p w:rsidR="00535DA7" w:rsidRPr="00535DA7" w:rsidRDefault="00535DA7" w:rsidP="00535DA7">
          <w:pPr>
            <w:pStyle w:val="Heading1"/>
            <w:pBdr>
              <w:bottom w:val="single" w:sz="4" w:space="1" w:color="auto"/>
            </w:pBdr>
            <w:jc w:val="center"/>
            <w:rPr>
              <w:rFonts w:ascii="Times New Roman" w:hAnsi="Times New Roman" w:cs="Times New Roman"/>
              <w:b/>
              <w:sz w:val="28"/>
              <w:szCs w:val="28"/>
            </w:rPr>
          </w:pPr>
          <w:r w:rsidRPr="00535DA7">
            <w:rPr>
              <w:rFonts w:ascii="Times New Roman" w:hAnsi="Times New Roman" w:cs="Times New Roman"/>
              <w:b/>
              <w:sz w:val="28"/>
              <w:szCs w:val="28"/>
            </w:rPr>
            <w:t>References</w:t>
          </w:r>
        </w:p>
        <w:p w:rsidR="00535DA7" w:rsidRPr="00535DA7" w:rsidRDefault="00535DA7" w:rsidP="00535DA7">
          <w:pPr>
            <w:rPr>
              <w:rFonts w:ascii="Times New Roman" w:hAnsi="Times New Roman" w:cs="Times New Roman"/>
              <w:sz w:val="24"/>
              <w:szCs w:val="24"/>
            </w:rPr>
          </w:pPr>
        </w:p>
        <w:sdt>
          <w:sdtPr>
            <w:rPr>
              <w:rFonts w:ascii="Times New Roman" w:hAnsi="Times New Roman" w:cs="Times New Roman"/>
              <w:sz w:val="24"/>
              <w:szCs w:val="24"/>
            </w:rPr>
            <w:id w:val="-573587230"/>
            <w:bibliography/>
          </w:sdtPr>
          <w:sdtEndPr>
            <w:rPr>
              <w:rFonts w:asciiTheme="minorHAnsi" w:hAnsiTheme="minorHAnsi" w:cstheme="minorBidi"/>
              <w:sz w:val="22"/>
              <w:szCs w:val="22"/>
            </w:rPr>
          </w:sdtEndPr>
          <w:sdtContent>
            <w:p w:rsidR="00535DA7" w:rsidRPr="00535DA7" w:rsidRDefault="00535DA7" w:rsidP="00535DA7">
              <w:pPr>
                <w:pStyle w:val="Bibliography"/>
                <w:ind w:left="720" w:hanging="720"/>
                <w:rPr>
                  <w:rFonts w:ascii="Times New Roman" w:hAnsi="Times New Roman" w:cs="Times New Roman"/>
                  <w:noProof/>
                  <w:sz w:val="24"/>
                  <w:szCs w:val="24"/>
                </w:rPr>
              </w:pPr>
              <w:r w:rsidRPr="00535DA7">
                <w:rPr>
                  <w:rFonts w:ascii="Times New Roman" w:hAnsi="Times New Roman" w:cs="Times New Roman"/>
                  <w:sz w:val="24"/>
                  <w:szCs w:val="24"/>
                </w:rPr>
                <w:fldChar w:fldCharType="begin"/>
              </w:r>
              <w:r w:rsidRPr="00535DA7">
                <w:rPr>
                  <w:rFonts w:ascii="Times New Roman" w:hAnsi="Times New Roman" w:cs="Times New Roman"/>
                  <w:sz w:val="24"/>
                  <w:szCs w:val="24"/>
                </w:rPr>
                <w:instrText xml:space="preserve"> BIBLIOGRAPHY </w:instrText>
              </w:r>
              <w:r w:rsidRPr="00535DA7">
                <w:rPr>
                  <w:rFonts w:ascii="Times New Roman" w:hAnsi="Times New Roman" w:cs="Times New Roman"/>
                  <w:sz w:val="24"/>
                  <w:szCs w:val="24"/>
                </w:rPr>
                <w:fldChar w:fldCharType="separate"/>
              </w:r>
              <w:r w:rsidRPr="00535DA7">
                <w:rPr>
                  <w:rFonts w:ascii="Times New Roman" w:hAnsi="Times New Roman" w:cs="Times New Roman"/>
                  <w:noProof/>
                  <w:sz w:val="24"/>
                  <w:szCs w:val="24"/>
                </w:rPr>
                <w:t xml:space="preserve">Kakoni, R. K., &amp; Ramacharchan, N. (2014). </w:t>
              </w:r>
              <w:r w:rsidRPr="00535DA7">
                <w:rPr>
                  <w:rFonts w:ascii="Times New Roman" w:hAnsi="Times New Roman" w:cs="Times New Roman"/>
                  <w:i/>
                  <w:iCs/>
                  <w:noProof/>
                  <w:sz w:val="24"/>
                  <w:szCs w:val="24"/>
                </w:rPr>
                <w:t>Financial Accounting Management.</w:t>
              </w:r>
              <w:r w:rsidRPr="00535DA7">
                <w:rPr>
                  <w:rFonts w:ascii="Times New Roman" w:hAnsi="Times New Roman" w:cs="Times New Roman"/>
                  <w:noProof/>
                  <w:sz w:val="24"/>
                  <w:szCs w:val="24"/>
                </w:rPr>
                <w:t xml:space="preserve"> New York: Mc-Graw HIl.</w:t>
              </w:r>
            </w:p>
            <w:p w:rsidR="00535DA7" w:rsidRPr="00535DA7" w:rsidRDefault="00535DA7" w:rsidP="00535DA7">
              <w:pPr>
                <w:pStyle w:val="Bibliography"/>
                <w:ind w:left="720" w:hanging="720"/>
                <w:rPr>
                  <w:rFonts w:ascii="Times New Roman" w:hAnsi="Times New Roman" w:cs="Times New Roman"/>
                  <w:noProof/>
                  <w:sz w:val="24"/>
                  <w:szCs w:val="24"/>
                </w:rPr>
              </w:pPr>
              <w:r w:rsidRPr="00535DA7">
                <w:rPr>
                  <w:rFonts w:ascii="Times New Roman" w:hAnsi="Times New Roman" w:cs="Times New Roman"/>
                  <w:noProof/>
                  <w:sz w:val="24"/>
                  <w:szCs w:val="24"/>
                </w:rPr>
                <w:t xml:space="preserve">Messner, M., Jeanjean, T., &amp; Baker, R. (2002). </w:t>
              </w:r>
              <w:r w:rsidRPr="00535DA7">
                <w:rPr>
                  <w:rFonts w:ascii="Times New Roman" w:hAnsi="Times New Roman" w:cs="Times New Roman"/>
                  <w:i/>
                  <w:iCs/>
                  <w:noProof/>
                  <w:sz w:val="24"/>
                  <w:szCs w:val="24"/>
                </w:rPr>
                <w:t>Financial Accounting and Reporting - a Global Perspective.</w:t>
              </w:r>
              <w:r w:rsidRPr="00535DA7">
                <w:rPr>
                  <w:rFonts w:ascii="Times New Roman" w:hAnsi="Times New Roman" w:cs="Times New Roman"/>
                  <w:noProof/>
                  <w:sz w:val="24"/>
                  <w:szCs w:val="24"/>
                </w:rPr>
                <w:t xml:space="preserve"> New York: Cengage Learning.</w:t>
              </w:r>
            </w:p>
            <w:p w:rsidR="00535DA7" w:rsidRPr="00535DA7" w:rsidRDefault="00535DA7" w:rsidP="00535DA7">
              <w:pPr>
                <w:pStyle w:val="Bibliography"/>
                <w:ind w:left="720" w:hanging="720"/>
                <w:rPr>
                  <w:rFonts w:ascii="Times New Roman" w:hAnsi="Times New Roman" w:cs="Times New Roman"/>
                  <w:noProof/>
                  <w:sz w:val="24"/>
                  <w:szCs w:val="24"/>
                </w:rPr>
              </w:pPr>
              <w:r w:rsidRPr="00535DA7">
                <w:rPr>
                  <w:rFonts w:ascii="Times New Roman" w:hAnsi="Times New Roman" w:cs="Times New Roman"/>
                  <w:noProof/>
                  <w:sz w:val="24"/>
                  <w:szCs w:val="24"/>
                </w:rPr>
                <w:t xml:space="preserve">Stolowy, H., &amp; Lebas, M. J. (2013). </w:t>
              </w:r>
              <w:r w:rsidRPr="00535DA7">
                <w:rPr>
                  <w:rFonts w:ascii="Times New Roman" w:hAnsi="Times New Roman" w:cs="Times New Roman"/>
                  <w:i/>
                  <w:iCs/>
                  <w:noProof/>
                  <w:sz w:val="24"/>
                  <w:szCs w:val="24"/>
                </w:rPr>
                <w:t>Financial Accounting and Reporting: A Global Perspective.</w:t>
              </w:r>
              <w:r w:rsidRPr="00535DA7">
                <w:rPr>
                  <w:rFonts w:ascii="Times New Roman" w:hAnsi="Times New Roman" w:cs="Times New Roman"/>
                  <w:noProof/>
                  <w:sz w:val="24"/>
                  <w:szCs w:val="24"/>
                </w:rPr>
                <w:t xml:space="preserve"> South-Western : Cengage Learning .</w:t>
              </w:r>
            </w:p>
            <w:p w:rsidR="00535DA7" w:rsidRPr="00535DA7" w:rsidRDefault="00535DA7" w:rsidP="00535DA7">
              <w:pPr>
                <w:pStyle w:val="Bibliography"/>
                <w:ind w:left="720" w:hanging="720"/>
                <w:rPr>
                  <w:rFonts w:ascii="Times New Roman" w:hAnsi="Times New Roman" w:cs="Times New Roman"/>
                  <w:noProof/>
                  <w:sz w:val="24"/>
                  <w:szCs w:val="24"/>
                </w:rPr>
              </w:pPr>
              <w:r w:rsidRPr="00535DA7">
                <w:rPr>
                  <w:rFonts w:ascii="Times New Roman" w:hAnsi="Times New Roman" w:cs="Times New Roman"/>
                  <w:noProof/>
                  <w:sz w:val="24"/>
                  <w:szCs w:val="24"/>
                </w:rPr>
                <w:t xml:space="preserve">Sutton, T. (2014). </w:t>
              </w:r>
              <w:r w:rsidRPr="00535DA7">
                <w:rPr>
                  <w:rFonts w:ascii="Times New Roman" w:hAnsi="Times New Roman" w:cs="Times New Roman"/>
                  <w:i/>
                  <w:iCs/>
                  <w:noProof/>
                  <w:sz w:val="24"/>
                  <w:szCs w:val="24"/>
                </w:rPr>
                <w:t>Corporate Financial Accounting and Reporting.</w:t>
              </w:r>
              <w:r w:rsidRPr="00535DA7">
                <w:rPr>
                  <w:rFonts w:ascii="Times New Roman" w:hAnsi="Times New Roman" w:cs="Times New Roman"/>
                  <w:noProof/>
                  <w:sz w:val="24"/>
                  <w:szCs w:val="24"/>
                </w:rPr>
                <w:t xml:space="preserve"> NEw York: Financial Times Prentice Hall.</w:t>
              </w:r>
            </w:p>
            <w:p w:rsidR="00535DA7" w:rsidRDefault="00535DA7" w:rsidP="00535DA7">
              <w:r w:rsidRPr="00535DA7">
                <w:rPr>
                  <w:rFonts w:ascii="Times New Roman" w:hAnsi="Times New Roman" w:cs="Times New Roman"/>
                  <w:b/>
                  <w:bCs/>
                  <w:noProof/>
                  <w:sz w:val="24"/>
                  <w:szCs w:val="24"/>
                </w:rPr>
                <w:fldChar w:fldCharType="end"/>
              </w:r>
            </w:p>
          </w:sdtContent>
        </w:sdt>
      </w:sdtContent>
    </w:sdt>
    <w:p w:rsidR="00535DA7" w:rsidRPr="004A1A07" w:rsidRDefault="00535DA7" w:rsidP="004A1A07">
      <w:pPr>
        <w:spacing w:after="0" w:line="480" w:lineRule="auto"/>
        <w:rPr>
          <w:rFonts w:ascii="Times New Roman" w:hAnsi="Times New Roman" w:cs="Times New Roman"/>
        </w:rPr>
      </w:pPr>
    </w:p>
    <w:sectPr w:rsidR="00535DA7" w:rsidRPr="004A1A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359F"/>
    <w:rsid w:val="000F3626"/>
    <w:rsid w:val="00147CB6"/>
    <w:rsid w:val="001D1A15"/>
    <w:rsid w:val="002277F6"/>
    <w:rsid w:val="002873D5"/>
    <w:rsid w:val="003110B7"/>
    <w:rsid w:val="003B755C"/>
    <w:rsid w:val="0041673B"/>
    <w:rsid w:val="00467CA8"/>
    <w:rsid w:val="00480339"/>
    <w:rsid w:val="004A1A07"/>
    <w:rsid w:val="00535DA7"/>
    <w:rsid w:val="0058799F"/>
    <w:rsid w:val="005E7266"/>
    <w:rsid w:val="00626791"/>
    <w:rsid w:val="006D1DA7"/>
    <w:rsid w:val="00945036"/>
    <w:rsid w:val="009F7EFE"/>
    <w:rsid w:val="00A505F9"/>
    <w:rsid w:val="00B935CC"/>
    <w:rsid w:val="00C7359F"/>
    <w:rsid w:val="00FC5C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DE1EC8-F34F-4576-A18E-4DEDCD0FC6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35DA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110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35DA7"/>
    <w:rPr>
      <w:rFonts w:asciiTheme="majorHAnsi" w:eastAsiaTheme="majorEastAsia" w:hAnsiTheme="majorHAnsi" w:cstheme="majorBidi"/>
      <w:color w:val="2E74B5" w:themeColor="accent1" w:themeShade="BF"/>
      <w:sz w:val="32"/>
      <w:szCs w:val="32"/>
    </w:rPr>
  </w:style>
  <w:style w:type="paragraph" w:styleId="Bibliography">
    <w:name w:val="Bibliography"/>
    <w:basedOn w:val="Normal"/>
    <w:next w:val="Normal"/>
    <w:uiPriority w:val="37"/>
    <w:unhideWhenUsed/>
    <w:rsid w:val="00535D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2793784">
      <w:bodyDiv w:val="1"/>
      <w:marLeft w:val="0"/>
      <w:marRight w:val="0"/>
      <w:marTop w:val="0"/>
      <w:marBottom w:val="0"/>
      <w:divBdr>
        <w:top w:val="none" w:sz="0" w:space="0" w:color="auto"/>
        <w:left w:val="none" w:sz="0" w:space="0" w:color="auto"/>
        <w:bottom w:val="none" w:sz="0" w:space="0" w:color="auto"/>
        <w:right w:val="none" w:sz="0" w:space="0" w:color="auto"/>
      </w:divBdr>
    </w:div>
    <w:div w:id="721438642">
      <w:bodyDiv w:val="1"/>
      <w:marLeft w:val="0"/>
      <w:marRight w:val="0"/>
      <w:marTop w:val="0"/>
      <w:marBottom w:val="0"/>
      <w:divBdr>
        <w:top w:val="none" w:sz="0" w:space="0" w:color="auto"/>
        <w:left w:val="none" w:sz="0" w:space="0" w:color="auto"/>
        <w:bottom w:val="none" w:sz="0" w:space="0" w:color="auto"/>
        <w:right w:val="none" w:sz="0" w:space="0" w:color="auto"/>
      </w:divBdr>
    </w:div>
    <w:div w:id="1662079834">
      <w:bodyDiv w:val="1"/>
      <w:marLeft w:val="0"/>
      <w:marRight w:val="0"/>
      <w:marTop w:val="0"/>
      <w:marBottom w:val="0"/>
      <w:divBdr>
        <w:top w:val="none" w:sz="0" w:space="0" w:color="auto"/>
        <w:left w:val="none" w:sz="0" w:space="0" w:color="auto"/>
        <w:bottom w:val="none" w:sz="0" w:space="0" w:color="auto"/>
        <w:right w:val="none" w:sz="0" w:space="0" w:color="auto"/>
      </w:divBdr>
    </w:div>
    <w:div w:id="1844473759">
      <w:bodyDiv w:val="1"/>
      <w:marLeft w:val="0"/>
      <w:marRight w:val="0"/>
      <w:marTop w:val="0"/>
      <w:marBottom w:val="0"/>
      <w:divBdr>
        <w:top w:val="none" w:sz="0" w:space="0" w:color="auto"/>
        <w:left w:val="none" w:sz="0" w:space="0" w:color="auto"/>
        <w:bottom w:val="none" w:sz="0" w:space="0" w:color="auto"/>
        <w:right w:val="none" w:sz="0" w:space="0" w:color="auto"/>
      </w:divBdr>
    </w:div>
    <w:div w:id="2023125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Tim14</b:Tag>
    <b:SourceType>Book</b:SourceType>
    <b:Guid>{875C5107-EDAE-4789-92E6-843E9CF9ECCF}</b:Guid>
    <b:Author>
      <b:Author>
        <b:NameList>
          <b:Person>
            <b:Last>Sutton</b:Last>
            <b:First>Tim</b:First>
          </b:Person>
        </b:NameList>
      </b:Author>
    </b:Author>
    <b:Title>Corporate Financial Accounting and Reporting</b:Title>
    <b:Year>2014</b:Year>
    <b:City>NEw York</b:City>
    <b:Publisher>Financial Times Prentice Hall</b:Publisher>
    <b:RefOrder>1</b:RefOrder>
  </b:Source>
  <b:Source>
    <b:Tag>Her13</b:Tag>
    <b:SourceType>Book</b:SourceType>
    <b:Guid>{3FBC2A2C-621F-44B8-B46B-86873D2FD3E7}</b:Guid>
    <b:Title>Financial Accounting and Reporting: A Global Perspective</b:Title>
    <b:Year>2013</b:Year>
    <b:City>South-Western </b:City>
    <b:Publisher>Cengage Learning </b:Publisher>
    <b:Author>
      <b:Author>
        <b:NameList>
          <b:Person>
            <b:Last>Stolowy</b:Last>
            <b:First>Herve</b:First>
          </b:Person>
          <b:Person>
            <b:Last>Lebas</b:Last>
            <b:First>Michel</b:First>
            <b:Middle>J.</b:Middle>
          </b:Person>
        </b:NameList>
      </b:Author>
    </b:Author>
    <b:RefOrder>2</b:RefOrder>
  </b:Source>
  <b:Source>
    <b:Tag>MMe02</b:Tag>
    <b:SourceType>Book</b:SourceType>
    <b:Guid>{3F77D1D4-48AE-410B-BF1C-5330BB0DB702}</b:Guid>
    <b:Title>Financial Accounting and Reporting - a Global Perspective</b:Title>
    <b:Year>2002</b:Year>
    <b:City>New York</b:City>
    <b:Publisher>Cengage Learning</b:Publisher>
    <b:Author>
      <b:Author>
        <b:NameList>
          <b:Person>
            <b:Last>Messner</b:Last>
            <b:First>M.</b:First>
          </b:Person>
          <b:Person>
            <b:Last>Jeanjean</b:Last>
            <b:First>T.</b:First>
          </b:Person>
          <b:Person>
            <b:Last>Baker</b:Last>
            <b:First>R.</b:First>
          </b:Person>
        </b:NameList>
      </b:Author>
    </b:Author>
    <b:RefOrder>3</b:RefOrder>
  </b:Source>
  <b:Source>
    <b:Tag>Ram14</b:Tag>
    <b:SourceType>Book</b:SourceType>
    <b:Guid>{077C715A-D82D-4D61-9722-BB6F79EAB514}</b:Guid>
    <b:Title>Financial Accounting Management</b:Title>
    <b:Year>2014</b:Year>
    <b:City>New York</b:City>
    <b:Publisher>Mc-Graw HIl</b:Publisher>
    <b:Author>
      <b:Author>
        <b:NameList>
          <b:Person>
            <b:Last>Kakoni</b:Last>
            <b:First>Ram</b:First>
            <b:Middle>Kumar</b:Middle>
          </b:Person>
          <b:Person>
            <b:Last>Ramacharchan</b:Last>
            <b:First>N</b:First>
          </b:Person>
        </b:NameList>
      </b:Author>
    </b:Author>
    <b:RefOrder>4</b:RefOrder>
  </b:Source>
</b:Sources>
</file>

<file path=customXml/itemProps1.xml><?xml version="1.0" encoding="utf-8"?>
<ds:datastoreItem xmlns:ds="http://schemas.openxmlformats.org/officeDocument/2006/customXml" ds:itemID="{07BEF446-FEE7-4CD0-99AE-6BDD1424B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617</Words>
  <Characters>3521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6</cp:revision>
  <dcterms:created xsi:type="dcterms:W3CDTF">2016-09-21T01:11:00Z</dcterms:created>
  <dcterms:modified xsi:type="dcterms:W3CDTF">2016-09-21T01:13:00Z</dcterms:modified>
</cp:coreProperties>
</file>