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rsidP="00857338">
      <w:pPr>
        <w:tabs>
          <w:tab w:val="left" w:pos="1785"/>
        </w:tabs>
      </w:pPr>
    </w:p>
    <w:p w:rsidR="00857338" w:rsidRDefault="00857338" w:rsidP="00857338">
      <w:pPr>
        <w:tabs>
          <w:tab w:val="left" w:pos="1785"/>
        </w:tabs>
      </w:pPr>
    </w:p>
    <w:p w:rsidR="00857338" w:rsidRPr="00985160" w:rsidRDefault="00857338" w:rsidP="00857338">
      <w:pPr>
        <w:tabs>
          <w:tab w:val="left" w:pos="1785"/>
        </w:tabs>
        <w:jc w:val="center"/>
        <w:rPr>
          <w:b/>
          <w:sz w:val="32"/>
          <w:szCs w:val="32"/>
        </w:rPr>
      </w:pPr>
    </w:p>
    <w:p w:rsidR="00857338" w:rsidRPr="00985160" w:rsidRDefault="00857338" w:rsidP="00857338">
      <w:pPr>
        <w:tabs>
          <w:tab w:val="left" w:pos="1785"/>
        </w:tabs>
        <w:jc w:val="center"/>
        <w:rPr>
          <w:rFonts w:ascii="Times New Roman" w:hAnsi="Times New Roman" w:cs="Times New Roman"/>
          <w:b/>
          <w:sz w:val="32"/>
          <w:szCs w:val="32"/>
        </w:rPr>
      </w:pPr>
      <w:r w:rsidRPr="00985160">
        <w:rPr>
          <w:rFonts w:ascii="Times New Roman" w:hAnsi="Times New Roman" w:cs="Times New Roman"/>
          <w:b/>
          <w:sz w:val="32"/>
          <w:szCs w:val="32"/>
        </w:rPr>
        <w:t>Report Title: Sarbanes-Oxley Act of 2002 and Impact of Auditing</w:t>
      </w:r>
    </w:p>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Default="00857338"/>
    <w:p w:rsidR="00857338" w:rsidRPr="00653B7D" w:rsidRDefault="00985160" w:rsidP="00653B7D">
      <w:pPr>
        <w:spacing w:after="0" w:line="480" w:lineRule="auto"/>
        <w:jc w:val="center"/>
        <w:rPr>
          <w:rFonts w:ascii="Times New Roman" w:hAnsi="Times New Roman" w:cs="Times New Roman"/>
          <w:b/>
          <w:sz w:val="24"/>
          <w:szCs w:val="24"/>
        </w:rPr>
      </w:pPr>
      <w:r w:rsidRPr="00653B7D">
        <w:rPr>
          <w:rFonts w:ascii="Times New Roman" w:hAnsi="Times New Roman" w:cs="Times New Roman"/>
          <w:b/>
          <w:sz w:val="24"/>
          <w:szCs w:val="24"/>
        </w:rPr>
        <w:lastRenderedPageBreak/>
        <w:t>Abstract</w:t>
      </w:r>
    </w:p>
    <w:p w:rsidR="003D1AA0" w:rsidRPr="00653B7D" w:rsidRDefault="003D1AA0" w:rsidP="00653B7D">
      <w:pPr>
        <w:spacing w:after="0" w:line="480" w:lineRule="auto"/>
        <w:rPr>
          <w:rFonts w:ascii="Times New Roman" w:eastAsia="Times New Roman" w:hAnsi="Times New Roman" w:cs="Times New Roman"/>
          <w:sz w:val="10"/>
          <w:szCs w:val="10"/>
        </w:rPr>
      </w:pPr>
    </w:p>
    <w:p w:rsidR="00BD24B4"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33204" w:rsidRPr="00333204">
        <w:rPr>
          <w:rFonts w:ascii="Times New Roman" w:hAnsi="Times New Roman" w:cs="Times New Roman"/>
          <w:sz w:val="24"/>
          <w:szCs w:val="24"/>
        </w:rPr>
        <w:t xml:space="preserve">  Sarbanes- Oxley Act was a pragmatic step after the collapse of a number of companies including Enron, Tyco WorldCom, Adelphia etc., and loss of confidence of the public in the securities market. This act has dramatically changed the nature of audit profession, detection &amp; prevention of fraud within the companies, and investigation of frauds by the auditors in the public companies. This paper aims at the discussion about Sarbanes- Oxley Act, impact of the Sarbanes- Oxley Act on auditing profession, a role of Sarbanes- Oxley Act to prevent or detect frauds, and investigation of the public companies under the Sarbanes- Oxley Act.</w:t>
      </w:r>
    </w:p>
    <w:p w:rsidR="00333204" w:rsidRPr="00333204" w:rsidRDefault="00653B7D" w:rsidP="0033320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33204" w:rsidRPr="00333204">
        <w:rPr>
          <w:rFonts w:ascii="Times New Roman" w:hAnsi="Times New Roman" w:cs="Times New Roman"/>
          <w:sz w:val="24"/>
          <w:szCs w:val="24"/>
        </w:rPr>
        <w:t xml:space="preserve">Sarbanes- Oxley Act which was enacted in 2002 as a part of setting out the mandates &amp; requirements for boards, managements, and auditors of the public companies. The key objective of the act is to make financial reporting more transparent, and restoring the confidence of the investors in the financial market. There are eleven sections or elements including Public Company Accounting Standard Board (PACOB), auditor independence, corporate social responsibility (CSR), enhanced financial disclosures, analyst conflict of interest, commission resources and authority, studies and reports, corporate and criminal fraud accountability, white collar crime penalty, corporate tax return, and corporate fraud accountability of this act. </w:t>
      </w:r>
    </w:p>
    <w:p w:rsidR="006877A0" w:rsidRPr="00653B7D" w:rsidRDefault="00333204" w:rsidP="00333204">
      <w:pPr>
        <w:spacing w:after="0" w:line="480" w:lineRule="auto"/>
        <w:rPr>
          <w:rFonts w:ascii="Times New Roman" w:hAnsi="Times New Roman" w:cs="Times New Roman"/>
          <w:sz w:val="24"/>
          <w:szCs w:val="24"/>
        </w:rPr>
      </w:pPr>
      <w:r w:rsidRPr="00333204">
        <w:rPr>
          <w:rFonts w:ascii="Times New Roman" w:hAnsi="Times New Roman" w:cs="Times New Roman"/>
          <w:sz w:val="24"/>
          <w:szCs w:val="24"/>
        </w:rPr>
        <w:t>PCAOB, created by SOX, provides independent oversight of the CPA firms providing audit services. It sets and enforces ethics, auditing, quality control standards. As per SOX, auditors now requires reporting specific information to the audit committee such significant accounting policies, suspected fraud, deficiency of the control etc. Auditors are prohibited from performing non-audit services. Also, audit partners must be rotated periodically. An audit firm cannot engage in the audit to a company if its top management is appointed by the audit firm and audit firm works on the company's audit in the last preceding twelve months.</w:t>
      </w:r>
    </w:p>
    <w:p w:rsidR="00485CCA" w:rsidRPr="00653B7D" w:rsidRDefault="00653B7D" w:rsidP="00653B7D">
      <w:pPr>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lastRenderedPageBreak/>
        <w:t xml:space="preserve">            </w:t>
      </w:r>
      <w:r w:rsidR="00333204" w:rsidRPr="00333204">
        <w:rPr>
          <w:rFonts w:ascii="Times New Roman" w:hAnsi="Times New Roman" w:cs="Times New Roman"/>
          <w:sz w:val="24"/>
          <w:szCs w:val="24"/>
        </w:rPr>
        <w:t>Both-internal management and auditors of the companies have a role in the detection and presentation of the fraud. The management of the company requires issuing a report by stating the fact that the management of the company is responsible for setting up and maintaining appropriate internal control system. For any wrong opinion, the management of the company will be held responsible. Also, all significant deficiencies of the internal control system and reporting will require being communicated to the auditors by the management. Also, SOX requires CEO and CFO of the company to certify that the financial statements of the company is fairly presented, reviewed by the management, and are free from misleading information. Thus, the management of the company has a usual internal effort to ensure the existence of appropriate internal control and reporting system. The SOX requires for each public company to have the internal audit committee that will oversee and govern the integrity and accuracy of the financial reporting system within the organization. Then act has provisions to punish the executives who perpetrate frauds. After the introduction of the SOX, the auditors cannot be too close to the management of the company. The SOX has made the preliminary risk assessment and acceptance of the engagement procedure more rigorous as the auditors can be charged for any detected frauds later on. The SOX requires the auditors to audit internal controls and procedures designed for the financial reporting using control framework such as COBIT.</w:t>
      </w:r>
    </w:p>
    <w:p w:rsidR="00485CCA"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33204" w:rsidRPr="00333204">
        <w:rPr>
          <w:rFonts w:ascii="Times New Roman" w:hAnsi="Times New Roman" w:cs="Times New Roman"/>
          <w:sz w:val="24"/>
          <w:szCs w:val="24"/>
        </w:rPr>
        <w:t xml:space="preserve">Under the requirement of SOX, the audit firm now requires being more concerned about the issue of fraud occurred within the entity. The issues emphasized by the auditors in the investigation of fraud during the time of audit in the public companies include holding the Mind of Professional Skepticism, Inquiring to those in charge with the governance, assessing the risk of override of controls by the management, ensuring proper documentation, ensuring high quality of audit evidence, and communicating the suspect or actual fraud. </w:t>
      </w:r>
      <w:r w:rsidR="00485CCA" w:rsidRPr="00653B7D">
        <w:rPr>
          <w:rFonts w:ascii="Times New Roman" w:eastAsia="Times New Roman" w:hAnsi="Times New Roman" w:cs="Times New Roman"/>
          <w:sz w:val="24"/>
          <w:szCs w:val="24"/>
        </w:rPr>
        <w:t xml:space="preserve"> </w:t>
      </w:r>
    </w:p>
    <w:sdt>
      <w:sdtPr>
        <w:rPr>
          <w:rFonts w:asciiTheme="minorHAnsi" w:eastAsiaTheme="minorHAnsi" w:hAnsiTheme="minorHAnsi" w:cstheme="minorBidi"/>
          <w:color w:val="auto"/>
          <w:sz w:val="22"/>
          <w:szCs w:val="22"/>
        </w:rPr>
        <w:id w:val="998538389"/>
        <w:docPartObj>
          <w:docPartGallery w:val="Table of Contents"/>
          <w:docPartUnique/>
        </w:docPartObj>
      </w:sdtPr>
      <w:sdtEndPr>
        <w:rPr>
          <w:b/>
          <w:bCs/>
          <w:noProof/>
        </w:rPr>
      </w:sdtEndPr>
      <w:sdtContent>
        <w:p w:rsidR="00EF2A02" w:rsidRPr="00EF2A02" w:rsidRDefault="00EF2A02" w:rsidP="00EF2A02">
          <w:pPr>
            <w:pStyle w:val="TOCHeading"/>
            <w:pBdr>
              <w:bottom w:val="single" w:sz="4" w:space="1" w:color="auto"/>
            </w:pBdr>
            <w:jc w:val="center"/>
            <w:rPr>
              <w:rFonts w:ascii="Times New Roman" w:hAnsi="Times New Roman" w:cs="Times New Roman"/>
              <w:sz w:val="24"/>
              <w:szCs w:val="24"/>
            </w:rPr>
          </w:pPr>
          <w:r w:rsidRPr="00EF2A02">
            <w:rPr>
              <w:rFonts w:ascii="Times New Roman" w:hAnsi="Times New Roman" w:cs="Times New Roman"/>
              <w:sz w:val="24"/>
              <w:szCs w:val="24"/>
            </w:rPr>
            <w:t>Table of Contents</w:t>
          </w:r>
        </w:p>
        <w:p w:rsidR="00EF2A02" w:rsidRPr="00EF2A02" w:rsidRDefault="00EF2A02" w:rsidP="00EF2A02">
          <w:pPr>
            <w:rPr>
              <w:rFonts w:ascii="Times New Roman" w:hAnsi="Times New Roman" w:cs="Times New Roman"/>
              <w:sz w:val="24"/>
              <w:szCs w:val="24"/>
            </w:rPr>
          </w:pPr>
        </w:p>
        <w:p w:rsidR="00EF2A02" w:rsidRPr="00EF2A02" w:rsidRDefault="00EF2A02">
          <w:pPr>
            <w:pStyle w:val="TOC1"/>
            <w:tabs>
              <w:tab w:val="right" w:leader="dot" w:pos="9350"/>
            </w:tabs>
            <w:rPr>
              <w:rFonts w:ascii="Times New Roman" w:hAnsi="Times New Roman" w:cs="Times New Roman"/>
              <w:noProof/>
              <w:sz w:val="24"/>
              <w:szCs w:val="24"/>
            </w:rPr>
          </w:pPr>
          <w:r w:rsidRPr="00EF2A02">
            <w:rPr>
              <w:rFonts w:ascii="Times New Roman" w:hAnsi="Times New Roman" w:cs="Times New Roman"/>
              <w:sz w:val="24"/>
              <w:szCs w:val="24"/>
            </w:rPr>
            <w:fldChar w:fldCharType="begin"/>
          </w:r>
          <w:r w:rsidRPr="00EF2A02">
            <w:rPr>
              <w:rFonts w:ascii="Times New Roman" w:hAnsi="Times New Roman" w:cs="Times New Roman"/>
              <w:sz w:val="24"/>
              <w:szCs w:val="24"/>
            </w:rPr>
            <w:instrText xml:space="preserve"> TOC \o "1-3" \h \z \u </w:instrText>
          </w:r>
          <w:r w:rsidRPr="00EF2A02">
            <w:rPr>
              <w:rFonts w:ascii="Times New Roman" w:hAnsi="Times New Roman" w:cs="Times New Roman"/>
              <w:sz w:val="24"/>
              <w:szCs w:val="24"/>
            </w:rPr>
            <w:fldChar w:fldCharType="separate"/>
          </w:r>
          <w:hyperlink w:anchor="_Toc464310191" w:history="1">
            <w:r w:rsidRPr="00EF2A02">
              <w:rPr>
                <w:rStyle w:val="Hyperlink"/>
                <w:rFonts w:ascii="Times New Roman" w:hAnsi="Times New Roman" w:cs="Times New Roman"/>
                <w:noProof/>
                <w:sz w:val="24"/>
                <w:szCs w:val="24"/>
              </w:rPr>
              <w:t>Introduction</w:t>
            </w:r>
            <w:r w:rsidRPr="00EF2A02">
              <w:rPr>
                <w:rFonts w:ascii="Times New Roman" w:hAnsi="Times New Roman" w:cs="Times New Roman"/>
                <w:noProof/>
                <w:webHidden/>
                <w:sz w:val="24"/>
                <w:szCs w:val="24"/>
              </w:rPr>
              <w:tab/>
            </w:r>
            <w:r w:rsidRPr="00EF2A02">
              <w:rPr>
                <w:rFonts w:ascii="Times New Roman" w:hAnsi="Times New Roman" w:cs="Times New Roman"/>
                <w:noProof/>
                <w:webHidden/>
                <w:sz w:val="24"/>
                <w:szCs w:val="24"/>
              </w:rPr>
              <w:fldChar w:fldCharType="begin"/>
            </w:r>
            <w:r w:rsidRPr="00EF2A02">
              <w:rPr>
                <w:rFonts w:ascii="Times New Roman" w:hAnsi="Times New Roman" w:cs="Times New Roman"/>
                <w:noProof/>
                <w:webHidden/>
                <w:sz w:val="24"/>
                <w:szCs w:val="24"/>
              </w:rPr>
              <w:instrText xml:space="preserve"> PAGEREF _Toc464310191 \h </w:instrText>
            </w:r>
            <w:r w:rsidRPr="00EF2A02">
              <w:rPr>
                <w:rFonts w:ascii="Times New Roman" w:hAnsi="Times New Roman" w:cs="Times New Roman"/>
                <w:noProof/>
                <w:webHidden/>
                <w:sz w:val="24"/>
                <w:szCs w:val="24"/>
              </w:rPr>
            </w:r>
            <w:r w:rsidRPr="00EF2A02">
              <w:rPr>
                <w:rFonts w:ascii="Times New Roman" w:hAnsi="Times New Roman" w:cs="Times New Roman"/>
                <w:noProof/>
                <w:webHidden/>
                <w:sz w:val="24"/>
                <w:szCs w:val="24"/>
              </w:rPr>
              <w:fldChar w:fldCharType="separate"/>
            </w:r>
            <w:r w:rsidRPr="00EF2A02">
              <w:rPr>
                <w:rFonts w:ascii="Times New Roman" w:hAnsi="Times New Roman" w:cs="Times New Roman"/>
                <w:noProof/>
                <w:webHidden/>
                <w:sz w:val="24"/>
                <w:szCs w:val="24"/>
              </w:rPr>
              <w:t>5</w:t>
            </w:r>
            <w:r w:rsidRPr="00EF2A02">
              <w:rPr>
                <w:rFonts w:ascii="Times New Roman" w:hAnsi="Times New Roman" w:cs="Times New Roman"/>
                <w:noProof/>
                <w:webHidden/>
                <w:sz w:val="24"/>
                <w:szCs w:val="24"/>
              </w:rPr>
              <w:fldChar w:fldCharType="end"/>
            </w:r>
          </w:hyperlink>
        </w:p>
        <w:p w:rsidR="00EF2A02" w:rsidRPr="00EF2A02" w:rsidRDefault="00195F9A">
          <w:pPr>
            <w:pStyle w:val="TOC1"/>
            <w:tabs>
              <w:tab w:val="right" w:leader="dot" w:pos="9350"/>
            </w:tabs>
            <w:rPr>
              <w:rFonts w:ascii="Times New Roman" w:hAnsi="Times New Roman" w:cs="Times New Roman"/>
              <w:noProof/>
              <w:sz w:val="24"/>
              <w:szCs w:val="24"/>
            </w:rPr>
          </w:pPr>
          <w:hyperlink w:anchor="_Toc464310192" w:history="1">
            <w:r w:rsidR="00EF2A02" w:rsidRPr="00EF2A02">
              <w:rPr>
                <w:rStyle w:val="Hyperlink"/>
                <w:rFonts w:ascii="Times New Roman" w:hAnsi="Times New Roman" w:cs="Times New Roman"/>
                <w:noProof/>
                <w:sz w:val="24"/>
                <w:szCs w:val="24"/>
              </w:rPr>
              <w:t>Body of the Report</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_Toc464310192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6</w:t>
            </w:r>
            <w:r w:rsidR="00EF2A02" w:rsidRPr="00EF2A02">
              <w:rPr>
                <w:rFonts w:ascii="Times New Roman" w:hAnsi="Times New Roman" w:cs="Times New Roman"/>
                <w:noProof/>
                <w:webHidden/>
                <w:sz w:val="24"/>
                <w:szCs w:val="24"/>
              </w:rPr>
              <w:fldChar w:fldCharType="end"/>
            </w:r>
          </w:hyperlink>
        </w:p>
        <w:p w:rsidR="00EF2A02" w:rsidRPr="00EF2A02" w:rsidRDefault="00195F9A">
          <w:pPr>
            <w:pStyle w:val="TOC2"/>
            <w:tabs>
              <w:tab w:val="right" w:leader="dot" w:pos="9350"/>
            </w:tabs>
            <w:rPr>
              <w:rFonts w:ascii="Times New Roman" w:hAnsi="Times New Roman" w:cs="Times New Roman"/>
              <w:noProof/>
              <w:sz w:val="24"/>
              <w:szCs w:val="24"/>
            </w:rPr>
          </w:pPr>
          <w:hyperlink w:anchor="_Toc464310193" w:history="1">
            <w:r w:rsidR="00EF2A02" w:rsidRPr="00EF2A02">
              <w:rPr>
                <w:rStyle w:val="Hyperlink"/>
                <w:rFonts w:ascii="Times New Roman" w:hAnsi="Times New Roman" w:cs="Times New Roman"/>
                <w:noProof/>
                <w:sz w:val="24"/>
                <w:szCs w:val="24"/>
              </w:rPr>
              <w:t>Sarbanes- Oxley Act 2002</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_Toc464310193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6</w:t>
            </w:r>
            <w:r w:rsidR="00EF2A02" w:rsidRPr="00EF2A02">
              <w:rPr>
                <w:rFonts w:ascii="Times New Roman" w:hAnsi="Times New Roman" w:cs="Times New Roman"/>
                <w:noProof/>
                <w:webHidden/>
                <w:sz w:val="24"/>
                <w:szCs w:val="24"/>
              </w:rPr>
              <w:fldChar w:fldCharType="end"/>
            </w:r>
          </w:hyperlink>
        </w:p>
        <w:p w:rsidR="00EF2A02" w:rsidRPr="00EF2A02" w:rsidRDefault="00195F9A">
          <w:pPr>
            <w:pStyle w:val="TOC2"/>
            <w:tabs>
              <w:tab w:val="right" w:leader="dot" w:pos="9350"/>
            </w:tabs>
            <w:rPr>
              <w:rFonts w:ascii="Times New Roman" w:hAnsi="Times New Roman" w:cs="Times New Roman"/>
              <w:noProof/>
              <w:sz w:val="24"/>
              <w:szCs w:val="24"/>
            </w:rPr>
          </w:pPr>
          <w:hyperlink w:anchor="_Toc464310194" w:history="1">
            <w:r w:rsidR="00EF2A02" w:rsidRPr="00EF2A02">
              <w:rPr>
                <w:rStyle w:val="Hyperlink"/>
                <w:rFonts w:ascii="Times New Roman" w:eastAsia="Times New Roman" w:hAnsi="Times New Roman" w:cs="Times New Roman"/>
                <w:noProof/>
                <w:sz w:val="24"/>
                <w:szCs w:val="24"/>
              </w:rPr>
              <w:t xml:space="preserve">Impact of </w:t>
            </w:r>
            <w:r w:rsidR="00EF2A02" w:rsidRPr="00EF2A02">
              <w:rPr>
                <w:rStyle w:val="Hyperlink"/>
                <w:rFonts w:ascii="Times New Roman" w:hAnsi="Times New Roman" w:cs="Times New Roman"/>
                <w:noProof/>
                <w:sz w:val="24"/>
                <w:szCs w:val="24"/>
              </w:rPr>
              <w:t>Sarbanes- Oxley Act 2002 on Auditing Profession</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_Toc464310194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8</w:t>
            </w:r>
            <w:r w:rsidR="00EF2A02" w:rsidRPr="00EF2A02">
              <w:rPr>
                <w:rFonts w:ascii="Times New Roman" w:hAnsi="Times New Roman" w:cs="Times New Roman"/>
                <w:noProof/>
                <w:webHidden/>
                <w:sz w:val="24"/>
                <w:szCs w:val="24"/>
              </w:rPr>
              <w:fldChar w:fldCharType="end"/>
            </w:r>
          </w:hyperlink>
        </w:p>
        <w:p w:rsidR="00EF2A02" w:rsidRPr="00EF2A02" w:rsidRDefault="00195F9A">
          <w:pPr>
            <w:pStyle w:val="TOC2"/>
            <w:tabs>
              <w:tab w:val="right" w:leader="dot" w:pos="9350"/>
            </w:tabs>
            <w:rPr>
              <w:rFonts w:ascii="Times New Roman" w:hAnsi="Times New Roman" w:cs="Times New Roman"/>
              <w:noProof/>
              <w:sz w:val="24"/>
              <w:szCs w:val="24"/>
            </w:rPr>
          </w:pPr>
          <w:hyperlink w:anchor="_Toc464310195" w:history="1">
            <w:r w:rsidR="00EF2A02" w:rsidRPr="00EF2A02">
              <w:rPr>
                <w:rStyle w:val="Hyperlink"/>
                <w:rFonts w:ascii="Times New Roman" w:hAnsi="Times New Roman" w:cs="Times New Roman"/>
                <w:noProof/>
                <w:sz w:val="24"/>
                <w:szCs w:val="24"/>
              </w:rPr>
              <w:t>Sarbanes- Oxley Act 2002 as a meant to prevent/detect fraud</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_Toc464310195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10</w:t>
            </w:r>
            <w:r w:rsidR="00EF2A02" w:rsidRPr="00EF2A02">
              <w:rPr>
                <w:rFonts w:ascii="Times New Roman" w:hAnsi="Times New Roman" w:cs="Times New Roman"/>
                <w:noProof/>
                <w:webHidden/>
                <w:sz w:val="24"/>
                <w:szCs w:val="24"/>
              </w:rPr>
              <w:fldChar w:fldCharType="end"/>
            </w:r>
          </w:hyperlink>
        </w:p>
        <w:p w:rsidR="00EF2A02" w:rsidRPr="00EF2A02" w:rsidRDefault="00195F9A">
          <w:pPr>
            <w:pStyle w:val="TOC2"/>
            <w:tabs>
              <w:tab w:val="right" w:leader="dot" w:pos="9350"/>
            </w:tabs>
            <w:rPr>
              <w:rFonts w:ascii="Times New Roman" w:hAnsi="Times New Roman" w:cs="Times New Roman"/>
              <w:noProof/>
              <w:sz w:val="24"/>
              <w:szCs w:val="24"/>
            </w:rPr>
          </w:pPr>
          <w:hyperlink w:anchor="_Toc464310196" w:history="1">
            <w:r w:rsidR="00EF2A02" w:rsidRPr="00EF2A02">
              <w:rPr>
                <w:rStyle w:val="Hyperlink"/>
                <w:rFonts w:ascii="Times New Roman" w:hAnsi="Times New Roman" w:cs="Times New Roman"/>
                <w:noProof/>
                <w:sz w:val="24"/>
                <w:szCs w:val="24"/>
              </w:rPr>
              <w:t>Investigation of the public companies under the Sarbanes- Oxley Act 2002</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_Toc464310196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13</w:t>
            </w:r>
            <w:r w:rsidR="00EF2A02" w:rsidRPr="00EF2A02">
              <w:rPr>
                <w:rFonts w:ascii="Times New Roman" w:hAnsi="Times New Roman" w:cs="Times New Roman"/>
                <w:noProof/>
                <w:webHidden/>
                <w:sz w:val="24"/>
                <w:szCs w:val="24"/>
              </w:rPr>
              <w:fldChar w:fldCharType="end"/>
            </w:r>
          </w:hyperlink>
        </w:p>
        <w:p w:rsidR="00EF2A02" w:rsidRPr="00EF2A02" w:rsidRDefault="00195F9A">
          <w:pPr>
            <w:pStyle w:val="TOC1"/>
            <w:tabs>
              <w:tab w:val="right" w:leader="dot" w:pos="9350"/>
            </w:tabs>
            <w:rPr>
              <w:rFonts w:ascii="Times New Roman" w:hAnsi="Times New Roman" w:cs="Times New Roman"/>
              <w:noProof/>
              <w:sz w:val="24"/>
              <w:szCs w:val="24"/>
            </w:rPr>
          </w:pPr>
          <w:hyperlink w:anchor="_Toc464310197" w:history="1">
            <w:r w:rsidR="00EF2A02" w:rsidRPr="00EF2A02">
              <w:rPr>
                <w:rStyle w:val="Hyperlink"/>
                <w:rFonts w:ascii="Times New Roman" w:hAnsi="Times New Roman" w:cs="Times New Roman"/>
                <w:noProof/>
                <w:sz w:val="24"/>
                <w:szCs w:val="24"/>
              </w:rPr>
              <w:t>Conclusion</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_Toc464310197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16</w:t>
            </w:r>
            <w:r w:rsidR="00EF2A02" w:rsidRPr="00EF2A02">
              <w:rPr>
                <w:rFonts w:ascii="Times New Roman" w:hAnsi="Times New Roman" w:cs="Times New Roman"/>
                <w:noProof/>
                <w:webHidden/>
                <w:sz w:val="24"/>
                <w:szCs w:val="24"/>
              </w:rPr>
              <w:fldChar w:fldCharType="end"/>
            </w:r>
          </w:hyperlink>
        </w:p>
        <w:p w:rsidR="00EF2A02" w:rsidRPr="00EF2A02" w:rsidRDefault="00195F9A">
          <w:pPr>
            <w:pStyle w:val="TOC1"/>
            <w:tabs>
              <w:tab w:val="right" w:leader="dot" w:pos="9350"/>
            </w:tabs>
            <w:rPr>
              <w:rFonts w:ascii="Times New Roman" w:hAnsi="Times New Roman" w:cs="Times New Roman"/>
              <w:noProof/>
              <w:sz w:val="24"/>
              <w:szCs w:val="24"/>
            </w:rPr>
          </w:pPr>
          <w:hyperlink w:anchor="_Toc464310198" w:history="1">
            <w:r w:rsidR="00EF2A02" w:rsidRPr="00EF2A02">
              <w:rPr>
                <w:rStyle w:val="Hyperlink"/>
                <w:rFonts w:ascii="Times New Roman" w:hAnsi="Times New Roman" w:cs="Times New Roman"/>
                <w:noProof/>
                <w:sz w:val="24"/>
                <w:szCs w:val="24"/>
              </w:rPr>
              <w:t>References</w:t>
            </w:r>
            <w:r w:rsidR="00EF2A02" w:rsidRPr="00EF2A02">
              <w:rPr>
                <w:rFonts w:ascii="Times New Roman" w:hAnsi="Times New Roman" w:cs="Times New Roman"/>
                <w:noProof/>
                <w:webHidden/>
                <w:sz w:val="24"/>
                <w:szCs w:val="24"/>
              </w:rPr>
              <w:tab/>
            </w:r>
            <w:r w:rsidR="00EF2A02" w:rsidRPr="00EF2A02">
              <w:rPr>
                <w:rFonts w:ascii="Times New Roman" w:hAnsi="Times New Roman" w:cs="Times New Roman"/>
                <w:noProof/>
                <w:webHidden/>
                <w:sz w:val="24"/>
                <w:szCs w:val="24"/>
              </w:rPr>
              <w:fldChar w:fldCharType="begin"/>
            </w:r>
            <w:r w:rsidR="00EF2A02" w:rsidRPr="00EF2A02">
              <w:rPr>
                <w:rFonts w:ascii="Times New Roman" w:hAnsi="Times New Roman" w:cs="Times New Roman"/>
                <w:noProof/>
                <w:webHidden/>
                <w:sz w:val="24"/>
                <w:szCs w:val="24"/>
              </w:rPr>
              <w:instrText xml:space="preserve"> PAGEREF _Toc464310198 \h </w:instrText>
            </w:r>
            <w:r w:rsidR="00EF2A02" w:rsidRPr="00EF2A02">
              <w:rPr>
                <w:rFonts w:ascii="Times New Roman" w:hAnsi="Times New Roman" w:cs="Times New Roman"/>
                <w:noProof/>
                <w:webHidden/>
                <w:sz w:val="24"/>
                <w:szCs w:val="24"/>
              </w:rPr>
            </w:r>
            <w:r w:rsidR="00EF2A02" w:rsidRPr="00EF2A02">
              <w:rPr>
                <w:rFonts w:ascii="Times New Roman" w:hAnsi="Times New Roman" w:cs="Times New Roman"/>
                <w:noProof/>
                <w:webHidden/>
                <w:sz w:val="24"/>
                <w:szCs w:val="24"/>
              </w:rPr>
              <w:fldChar w:fldCharType="separate"/>
            </w:r>
            <w:r w:rsidR="00EF2A02" w:rsidRPr="00EF2A02">
              <w:rPr>
                <w:rFonts w:ascii="Times New Roman" w:hAnsi="Times New Roman" w:cs="Times New Roman"/>
                <w:noProof/>
                <w:webHidden/>
                <w:sz w:val="24"/>
                <w:szCs w:val="24"/>
              </w:rPr>
              <w:t>17</w:t>
            </w:r>
            <w:r w:rsidR="00EF2A02" w:rsidRPr="00EF2A02">
              <w:rPr>
                <w:rFonts w:ascii="Times New Roman" w:hAnsi="Times New Roman" w:cs="Times New Roman"/>
                <w:noProof/>
                <w:webHidden/>
                <w:sz w:val="24"/>
                <w:szCs w:val="24"/>
              </w:rPr>
              <w:fldChar w:fldCharType="end"/>
            </w:r>
          </w:hyperlink>
        </w:p>
        <w:p w:rsidR="00EF2A02" w:rsidRDefault="00EF2A02">
          <w:r w:rsidRPr="00EF2A02">
            <w:rPr>
              <w:rFonts w:ascii="Times New Roman" w:hAnsi="Times New Roman" w:cs="Times New Roman"/>
              <w:bCs/>
              <w:noProof/>
              <w:sz w:val="24"/>
              <w:szCs w:val="24"/>
            </w:rPr>
            <w:fldChar w:fldCharType="end"/>
          </w:r>
        </w:p>
      </w:sdtContent>
    </w:sdt>
    <w:p w:rsidR="00857338" w:rsidRDefault="00857338" w:rsidP="00653B7D">
      <w:pPr>
        <w:spacing w:after="0" w:line="480" w:lineRule="auto"/>
        <w:rPr>
          <w:rFonts w:ascii="Times New Roman" w:hAnsi="Times New Roman" w:cs="Times New Roman"/>
          <w:sz w:val="24"/>
          <w:szCs w:val="24"/>
        </w:rPr>
      </w:pPr>
    </w:p>
    <w:p w:rsidR="00653B7D" w:rsidRDefault="00653B7D" w:rsidP="00653B7D">
      <w:pPr>
        <w:spacing w:after="0" w:line="480" w:lineRule="auto"/>
        <w:rPr>
          <w:rFonts w:ascii="Times New Roman" w:hAnsi="Times New Roman" w:cs="Times New Roman"/>
          <w:sz w:val="24"/>
          <w:szCs w:val="24"/>
        </w:rPr>
      </w:pPr>
    </w:p>
    <w:p w:rsidR="00653B7D" w:rsidRDefault="00653B7D" w:rsidP="00653B7D">
      <w:pPr>
        <w:spacing w:after="0" w:line="480" w:lineRule="auto"/>
        <w:rPr>
          <w:rFonts w:ascii="Times New Roman" w:hAnsi="Times New Roman" w:cs="Times New Roman"/>
          <w:sz w:val="24"/>
          <w:szCs w:val="24"/>
        </w:rPr>
      </w:pPr>
    </w:p>
    <w:p w:rsidR="00653B7D" w:rsidRDefault="00653B7D" w:rsidP="00653B7D">
      <w:pPr>
        <w:spacing w:after="0" w:line="480" w:lineRule="auto"/>
        <w:rPr>
          <w:rFonts w:ascii="Times New Roman" w:hAnsi="Times New Roman" w:cs="Times New Roman"/>
          <w:sz w:val="24"/>
          <w:szCs w:val="24"/>
        </w:rPr>
      </w:pPr>
    </w:p>
    <w:p w:rsidR="00653B7D" w:rsidRPr="00653B7D" w:rsidRDefault="00653B7D" w:rsidP="00653B7D">
      <w:pPr>
        <w:spacing w:after="0" w:line="480" w:lineRule="auto"/>
        <w:rPr>
          <w:rFonts w:ascii="Times New Roman" w:hAnsi="Times New Roman" w:cs="Times New Roman"/>
          <w:sz w:val="24"/>
          <w:szCs w:val="24"/>
        </w:rPr>
      </w:pPr>
    </w:p>
    <w:p w:rsidR="00985160" w:rsidRDefault="00985160"/>
    <w:p w:rsidR="00CD53D2" w:rsidRDefault="00CD53D2"/>
    <w:p w:rsidR="00CD53D2" w:rsidRDefault="00CD53D2"/>
    <w:p w:rsidR="00CD53D2" w:rsidRDefault="00CD53D2"/>
    <w:p w:rsidR="00CD53D2" w:rsidRDefault="00CD53D2"/>
    <w:p w:rsidR="00CD53D2" w:rsidRDefault="00CD53D2"/>
    <w:p w:rsidR="00CD53D2" w:rsidRDefault="00CD53D2"/>
    <w:p w:rsidR="00CD53D2" w:rsidRDefault="00CD53D2"/>
    <w:p w:rsidR="00B32EDF" w:rsidRDefault="00B32EDF"/>
    <w:p w:rsidR="00B32EDF" w:rsidRDefault="00B32EDF"/>
    <w:p w:rsidR="00B32EDF" w:rsidRDefault="00B32EDF"/>
    <w:p w:rsidR="00B32EDF" w:rsidRDefault="00B32EDF"/>
    <w:p w:rsidR="00CD53D2" w:rsidRPr="00653B7D" w:rsidRDefault="00CD53D2" w:rsidP="00653B7D">
      <w:pPr>
        <w:pStyle w:val="Heading1"/>
        <w:jc w:val="center"/>
        <w:rPr>
          <w:rFonts w:ascii="Times New Roman" w:hAnsi="Times New Roman" w:cs="Times New Roman"/>
          <w:sz w:val="24"/>
          <w:szCs w:val="24"/>
        </w:rPr>
      </w:pPr>
      <w:bookmarkStart w:id="0" w:name="_Toc464310191"/>
      <w:r w:rsidRPr="00653B7D">
        <w:rPr>
          <w:rFonts w:ascii="Times New Roman" w:hAnsi="Times New Roman" w:cs="Times New Roman"/>
          <w:sz w:val="24"/>
          <w:szCs w:val="24"/>
        </w:rPr>
        <w:lastRenderedPageBreak/>
        <w:t>Introduction</w:t>
      </w:r>
      <w:bookmarkEnd w:id="0"/>
    </w:p>
    <w:p w:rsidR="00653B7D" w:rsidRDefault="00653B7D"/>
    <w:p w:rsidR="006D236F"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33204" w:rsidRPr="00333204">
        <w:rPr>
          <w:rFonts w:ascii="Times New Roman" w:hAnsi="Times New Roman" w:cs="Times New Roman"/>
          <w:sz w:val="24"/>
          <w:szCs w:val="24"/>
        </w:rPr>
        <w:t>This paper is a comprehensive review of the Sarbanes- Oxley Act which was enacted in 2002</w:t>
      </w:r>
      <w:r w:rsidR="00333204">
        <w:rPr>
          <w:rFonts w:ascii="Times New Roman" w:hAnsi="Times New Roman" w:cs="Times New Roman"/>
          <w:sz w:val="24"/>
          <w:szCs w:val="24"/>
        </w:rPr>
        <w:t xml:space="preserve"> </w:t>
      </w:r>
      <w:sdt>
        <w:sdtPr>
          <w:rPr>
            <w:rFonts w:ascii="Times New Roman" w:hAnsi="Times New Roman" w:cs="Times New Roman"/>
            <w:sz w:val="24"/>
            <w:szCs w:val="24"/>
          </w:rPr>
          <w:id w:val="-104037919"/>
          <w:citation/>
        </w:sdtPr>
        <w:sdtContent>
          <w:r w:rsidR="00333204">
            <w:rPr>
              <w:rFonts w:ascii="Times New Roman" w:hAnsi="Times New Roman" w:cs="Times New Roman"/>
              <w:sz w:val="24"/>
              <w:szCs w:val="24"/>
            </w:rPr>
            <w:fldChar w:fldCharType="begin"/>
          </w:r>
          <w:r w:rsidR="00333204">
            <w:rPr>
              <w:rFonts w:ascii="Times New Roman" w:hAnsi="Times New Roman" w:cs="Times New Roman"/>
              <w:sz w:val="24"/>
              <w:szCs w:val="24"/>
            </w:rPr>
            <w:instrText xml:space="preserve"> CITATION Tod08 \l 1033 </w:instrText>
          </w:r>
          <w:r w:rsidR="00333204">
            <w:rPr>
              <w:rFonts w:ascii="Times New Roman" w:hAnsi="Times New Roman" w:cs="Times New Roman"/>
              <w:sz w:val="24"/>
              <w:szCs w:val="24"/>
            </w:rPr>
            <w:fldChar w:fldCharType="separate"/>
          </w:r>
          <w:r w:rsidR="00333204" w:rsidRPr="00333204">
            <w:rPr>
              <w:rFonts w:ascii="Times New Roman" w:hAnsi="Times New Roman" w:cs="Times New Roman"/>
              <w:noProof/>
              <w:sz w:val="24"/>
              <w:szCs w:val="24"/>
            </w:rPr>
            <w:t>(DeZoort &amp; Harrison, 2008)</w:t>
          </w:r>
          <w:r w:rsidR="00333204">
            <w:rPr>
              <w:rFonts w:ascii="Times New Roman" w:hAnsi="Times New Roman" w:cs="Times New Roman"/>
              <w:sz w:val="24"/>
              <w:szCs w:val="24"/>
            </w:rPr>
            <w:fldChar w:fldCharType="end"/>
          </w:r>
        </w:sdtContent>
      </w:sdt>
      <w:r w:rsidR="00333204" w:rsidRPr="00333204">
        <w:rPr>
          <w:rFonts w:ascii="Times New Roman" w:hAnsi="Times New Roman" w:cs="Times New Roman"/>
          <w:sz w:val="24"/>
          <w:szCs w:val="24"/>
        </w:rPr>
        <w:t xml:space="preserve">. Sarbanes- Oxley Act has the significant impact on the auditing profession, auditors' prevent or detect fraud and investigation of the public companies. Sarbanes- Oxley Act was mainly the result of the reaction to a number of major corporate and reporting scandal including Enron, Tyco WorldCom, Adelphia </w:t>
      </w:r>
      <w:proofErr w:type="spellStart"/>
      <w:r w:rsidR="00333204" w:rsidRPr="00333204">
        <w:rPr>
          <w:rFonts w:ascii="Times New Roman" w:hAnsi="Times New Roman" w:cs="Times New Roman"/>
          <w:sz w:val="24"/>
          <w:szCs w:val="24"/>
        </w:rPr>
        <w:t>etc</w:t>
      </w:r>
      <w:proofErr w:type="spellEnd"/>
      <w:r w:rsidR="00333204">
        <w:rPr>
          <w:rFonts w:ascii="Times New Roman" w:hAnsi="Times New Roman" w:cs="Times New Roman"/>
          <w:sz w:val="24"/>
          <w:szCs w:val="24"/>
        </w:rPr>
        <w:t xml:space="preserve"> </w:t>
      </w:r>
      <w:sdt>
        <w:sdtPr>
          <w:rPr>
            <w:rFonts w:ascii="Times New Roman" w:hAnsi="Times New Roman" w:cs="Times New Roman"/>
            <w:sz w:val="24"/>
            <w:szCs w:val="24"/>
          </w:rPr>
          <w:id w:val="1198435043"/>
          <w:citation/>
        </w:sdtPr>
        <w:sdtContent>
          <w:r w:rsidR="00333204">
            <w:rPr>
              <w:rFonts w:ascii="Times New Roman" w:hAnsi="Times New Roman" w:cs="Times New Roman"/>
              <w:sz w:val="24"/>
              <w:szCs w:val="24"/>
            </w:rPr>
            <w:fldChar w:fldCharType="begin"/>
          </w:r>
          <w:r w:rsidR="00333204">
            <w:rPr>
              <w:rFonts w:ascii="Times New Roman" w:hAnsi="Times New Roman" w:cs="Times New Roman"/>
              <w:sz w:val="24"/>
              <w:szCs w:val="24"/>
            </w:rPr>
            <w:instrText xml:space="preserve"> CITATION Jou03 \l 1033 </w:instrText>
          </w:r>
          <w:r w:rsidR="00333204">
            <w:rPr>
              <w:rFonts w:ascii="Times New Roman" w:hAnsi="Times New Roman" w:cs="Times New Roman"/>
              <w:sz w:val="24"/>
              <w:szCs w:val="24"/>
            </w:rPr>
            <w:fldChar w:fldCharType="separate"/>
          </w:r>
          <w:r w:rsidR="00333204" w:rsidRPr="00333204">
            <w:rPr>
              <w:rFonts w:ascii="Times New Roman" w:hAnsi="Times New Roman" w:cs="Times New Roman"/>
              <w:noProof/>
              <w:sz w:val="24"/>
              <w:szCs w:val="24"/>
            </w:rPr>
            <w:t>(RAMOS, 2003)</w:t>
          </w:r>
          <w:r w:rsidR="00333204">
            <w:rPr>
              <w:rFonts w:ascii="Times New Roman" w:hAnsi="Times New Roman" w:cs="Times New Roman"/>
              <w:sz w:val="24"/>
              <w:szCs w:val="24"/>
            </w:rPr>
            <w:fldChar w:fldCharType="end"/>
          </w:r>
        </w:sdtContent>
      </w:sdt>
      <w:r w:rsidR="00333204" w:rsidRPr="00333204">
        <w:rPr>
          <w:rFonts w:ascii="Times New Roman" w:hAnsi="Times New Roman" w:cs="Times New Roman"/>
          <w:sz w:val="24"/>
          <w:szCs w:val="24"/>
        </w:rPr>
        <w:t>. Due to these scandals including loss of billion dollars of investors, collapse of the share price of the companies, and losing of customers' confidence of the investors, regulators begin to think the requirement to make the financial reporting and audit of financial reports must be more accurate and reliable for sustaining the high confidence of the investors in the market.</w:t>
      </w:r>
    </w:p>
    <w:p w:rsidR="000A1994"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33204" w:rsidRPr="00333204">
        <w:rPr>
          <w:rFonts w:ascii="Times New Roman" w:hAnsi="Times New Roman" w:cs="Times New Roman"/>
          <w:sz w:val="24"/>
          <w:szCs w:val="24"/>
        </w:rPr>
        <w:t>The results of the Sarbanes- Oxley Act are the independence of the auditors who engages on reviewing and verifying the accuracy of the information in the financial statements, and nature of the audit profession &amp; responsibilities of the auditors. It has a significant impact on detection and prevention of fraud within the public companies, and increase the confidence of the investors in the market. Also, the issue of fraud investigation has achieved a great importance on the audit of public companies.</w:t>
      </w:r>
    </w:p>
    <w:p w:rsidR="00181679" w:rsidRDefault="00181679" w:rsidP="009362AD">
      <w:pPr>
        <w:shd w:val="clear" w:color="auto" w:fill="FFFFFF"/>
        <w:spacing w:after="0" w:line="240" w:lineRule="auto"/>
        <w:rPr>
          <w:rFonts w:ascii="Times New Roman" w:eastAsia="Times New Roman" w:hAnsi="Times New Roman" w:cs="Times New Roman"/>
          <w:color w:val="000000"/>
          <w:sz w:val="24"/>
          <w:szCs w:val="24"/>
        </w:rPr>
      </w:pPr>
    </w:p>
    <w:p w:rsidR="003D1AA0" w:rsidRDefault="003D1AA0" w:rsidP="009362AD">
      <w:pPr>
        <w:shd w:val="clear" w:color="auto" w:fill="FFFFFF"/>
        <w:spacing w:after="0" w:line="240" w:lineRule="auto"/>
        <w:rPr>
          <w:rFonts w:ascii="Times New Roman" w:eastAsia="Times New Roman" w:hAnsi="Times New Roman" w:cs="Times New Roman"/>
          <w:color w:val="000000"/>
          <w:sz w:val="24"/>
          <w:szCs w:val="24"/>
        </w:rPr>
      </w:pPr>
    </w:p>
    <w:p w:rsidR="003D1AA0" w:rsidRDefault="003D1AA0"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D24B4" w:rsidRDefault="00BD24B4" w:rsidP="009362AD">
      <w:pPr>
        <w:shd w:val="clear" w:color="auto" w:fill="FFFFFF"/>
        <w:spacing w:after="0" w:line="240" w:lineRule="auto"/>
        <w:rPr>
          <w:rFonts w:ascii="Times New Roman" w:eastAsia="Times New Roman" w:hAnsi="Times New Roman" w:cs="Times New Roman"/>
          <w:color w:val="000000"/>
          <w:sz w:val="24"/>
          <w:szCs w:val="24"/>
        </w:rPr>
      </w:pPr>
    </w:p>
    <w:p w:rsidR="00B427AD" w:rsidRDefault="00B427AD" w:rsidP="00BD24B4">
      <w:pPr>
        <w:shd w:val="clear" w:color="auto" w:fill="FFFFFF"/>
        <w:spacing w:after="0" w:line="240" w:lineRule="auto"/>
        <w:jc w:val="both"/>
        <w:rPr>
          <w:b/>
        </w:rPr>
      </w:pPr>
    </w:p>
    <w:p w:rsidR="00F3451B" w:rsidRDefault="00F3451B" w:rsidP="00BD24B4">
      <w:pPr>
        <w:shd w:val="clear" w:color="auto" w:fill="FFFFFF"/>
        <w:spacing w:after="0" w:line="240" w:lineRule="auto"/>
        <w:jc w:val="both"/>
        <w:rPr>
          <w:b/>
        </w:rPr>
      </w:pPr>
    </w:p>
    <w:p w:rsidR="00653B7D" w:rsidRPr="00653B7D" w:rsidRDefault="00653B7D" w:rsidP="00653B7D">
      <w:pPr>
        <w:pStyle w:val="Heading1"/>
        <w:jc w:val="center"/>
        <w:rPr>
          <w:rFonts w:ascii="Times New Roman" w:hAnsi="Times New Roman" w:cs="Times New Roman"/>
          <w:b/>
          <w:sz w:val="24"/>
          <w:szCs w:val="24"/>
        </w:rPr>
      </w:pPr>
      <w:bookmarkStart w:id="1" w:name="_Toc464310192"/>
      <w:r w:rsidRPr="00653B7D">
        <w:rPr>
          <w:rFonts w:ascii="Times New Roman" w:hAnsi="Times New Roman" w:cs="Times New Roman"/>
          <w:b/>
          <w:sz w:val="24"/>
          <w:szCs w:val="24"/>
        </w:rPr>
        <w:lastRenderedPageBreak/>
        <w:t>Body of the Report</w:t>
      </w:r>
      <w:bookmarkEnd w:id="1"/>
    </w:p>
    <w:p w:rsidR="00653B7D" w:rsidRDefault="00653B7D" w:rsidP="00BD24B4">
      <w:pPr>
        <w:shd w:val="clear" w:color="auto" w:fill="FFFFFF"/>
        <w:spacing w:after="0" w:line="240" w:lineRule="auto"/>
        <w:jc w:val="both"/>
        <w:rPr>
          <w:b/>
        </w:rPr>
      </w:pPr>
    </w:p>
    <w:p w:rsidR="003D1AA0" w:rsidRPr="00653B7D" w:rsidRDefault="003D1AA0" w:rsidP="00653B7D">
      <w:pPr>
        <w:pStyle w:val="Heading2"/>
        <w:rPr>
          <w:rFonts w:ascii="Times New Roman" w:hAnsi="Times New Roman" w:cs="Times New Roman"/>
          <w:sz w:val="24"/>
          <w:szCs w:val="24"/>
        </w:rPr>
      </w:pPr>
      <w:bookmarkStart w:id="2" w:name="_Toc464310193"/>
      <w:r w:rsidRPr="00653B7D">
        <w:rPr>
          <w:rFonts w:ascii="Times New Roman" w:hAnsi="Times New Roman" w:cs="Times New Roman"/>
          <w:sz w:val="24"/>
          <w:szCs w:val="24"/>
        </w:rPr>
        <w:t>Sarbanes- Oxley Act 2002</w:t>
      </w:r>
      <w:bookmarkEnd w:id="2"/>
    </w:p>
    <w:p w:rsidR="003D1AA0" w:rsidRDefault="003D1AA0" w:rsidP="009362AD">
      <w:pPr>
        <w:shd w:val="clear" w:color="auto" w:fill="FFFFFF"/>
        <w:spacing w:after="0" w:line="240" w:lineRule="auto"/>
      </w:pPr>
    </w:p>
    <w:p w:rsidR="00BD24B4"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BD24B4" w:rsidRPr="00653B7D">
        <w:rPr>
          <w:rFonts w:ascii="Times New Roman" w:hAnsi="Times New Roman" w:cs="Times New Roman"/>
          <w:sz w:val="24"/>
          <w:szCs w:val="24"/>
        </w:rPr>
        <w:t xml:space="preserve">Sarbanes- Oxley Act, also known as Public Company Accounting Reform and Investor Protection Act and Corporate and Auditing Accountability and Responsibility Act, was enacted in July 2002. It is a federal law of United States that sets out the mandates and requirements for boards, managements, and audit firms of the public companies. The Act was named after the Sponsors named Paul Sarbanes (U.S. Senator), and Michael G. Oxley (U.S Representative). </w:t>
      </w:r>
    </w:p>
    <w:p w:rsidR="00DA56BF" w:rsidRPr="00653B7D" w:rsidRDefault="00DA56BF" w:rsidP="00653B7D">
      <w:pPr>
        <w:spacing w:after="0" w:line="480" w:lineRule="auto"/>
        <w:rPr>
          <w:rFonts w:ascii="Times New Roman" w:hAnsi="Times New Roman" w:cs="Times New Roman"/>
          <w:sz w:val="24"/>
          <w:szCs w:val="24"/>
        </w:rPr>
      </w:pPr>
      <w:r w:rsidRPr="00653B7D">
        <w:rPr>
          <w:rFonts w:ascii="Times New Roman" w:hAnsi="Times New Roman" w:cs="Times New Roman"/>
          <w:sz w:val="24"/>
          <w:szCs w:val="24"/>
        </w:rPr>
        <w:t>The key objective of the introduction of SOX is to make financial reporting more transparent, and restoring the confidence of the investors in the financial market through-</w:t>
      </w:r>
    </w:p>
    <w:p w:rsidR="00DA56BF" w:rsidRPr="00653B7D" w:rsidRDefault="00DA56BF" w:rsidP="00653B7D">
      <w:pPr>
        <w:pStyle w:val="ListParagraph"/>
        <w:numPr>
          <w:ilvl w:val="0"/>
          <w:numId w:val="3"/>
        </w:numPr>
        <w:spacing w:after="0" w:line="480" w:lineRule="auto"/>
        <w:rPr>
          <w:rFonts w:ascii="Times New Roman" w:hAnsi="Times New Roman" w:cs="Times New Roman"/>
          <w:sz w:val="24"/>
          <w:szCs w:val="24"/>
        </w:rPr>
      </w:pPr>
      <w:r w:rsidRPr="00653B7D">
        <w:rPr>
          <w:rFonts w:ascii="Times New Roman" w:hAnsi="Times New Roman" w:cs="Times New Roman"/>
          <w:sz w:val="24"/>
          <w:szCs w:val="24"/>
        </w:rPr>
        <w:t xml:space="preserve">Enhancing independence of auditors through restriction of non-audit services that the audit firms provide to the clients, and requirements of the rotation of the audit partner. </w:t>
      </w:r>
    </w:p>
    <w:p w:rsidR="00DA56BF" w:rsidRPr="00653B7D" w:rsidRDefault="00DA56BF" w:rsidP="00653B7D">
      <w:pPr>
        <w:pStyle w:val="ListParagraph"/>
        <w:numPr>
          <w:ilvl w:val="0"/>
          <w:numId w:val="3"/>
        </w:numPr>
        <w:spacing w:after="0" w:line="480" w:lineRule="auto"/>
        <w:rPr>
          <w:rFonts w:ascii="Times New Roman" w:hAnsi="Times New Roman" w:cs="Times New Roman"/>
          <w:sz w:val="24"/>
          <w:szCs w:val="24"/>
        </w:rPr>
      </w:pPr>
      <w:r w:rsidRPr="00653B7D">
        <w:rPr>
          <w:rFonts w:ascii="Times New Roman" w:hAnsi="Times New Roman" w:cs="Times New Roman"/>
          <w:sz w:val="24"/>
          <w:szCs w:val="24"/>
        </w:rPr>
        <w:t xml:space="preserve">Addressing the audit professional’s self-regulation by </w:t>
      </w:r>
      <w:r w:rsidR="00333204">
        <w:rPr>
          <w:rFonts w:ascii="Times New Roman" w:hAnsi="Times New Roman" w:cs="Times New Roman"/>
          <w:sz w:val="24"/>
          <w:szCs w:val="24"/>
        </w:rPr>
        <w:t xml:space="preserve">the </w:t>
      </w:r>
      <w:r w:rsidRPr="00653B7D">
        <w:rPr>
          <w:rFonts w:ascii="Times New Roman" w:hAnsi="Times New Roman" w:cs="Times New Roman"/>
          <w:sz w:val="24"/>
          <w:szCs w:val="24"/>
        </w:rPr>
        <w:t xml:space="preserve">creation of PCAOB, and charging PCAOB to establish standard &amp; regulate audit profession. </w:t>
      </w:r>
    </w:p>
    <w:p w:rsidR="00DA56BF" w:rsidRPr="00653B7D" w:rsidRDefault="00DA56BF" w:rsidP="00653B7D">
      <w:pPr>
        <w:pStyle w:val="ListParagraph"/>
        <w:numPr>
          <w:ilvl w:val="0"/>
          <w:numId w:val="3"/>
        </w:numPr>
        <w:spacing w:after="0" w:line="480" w:lineRule="auto"/>
        <w:rPr>
          <w:rFonts w:ascii="Times New Roman" w:hAnsi="Times New Roman" w:cs="Times New Roman"/>
          <w:sz w:val="24"/>
          <w:szCs w:val="24"/>
        </w:rPr>
      </w:pPr>
      <w:r w:rsidRPr="00653B7D">
        <w:rPr>
          <w:rFonts w:ascii="Times New Roman" w:hAnsi="Times New Roman" w:cs="Times New Roman"/>
          <w:sz w:val="24"/>
          <w:szCs w:val="24"/>
        </w:rPr>
        <w:t xml:space="preserve">Improving corporate governance system and interest control system of the companies. </w:t>
      </w:r>
    </w:p>
    <w:p w:rsidR="00333204" w:rsidRDefault="00DA56BF" w:rsidP="00653B7D">
      <w:pPr>
        <w:pStyle w:val="ListParagraph"/>
        <w:numPr>
          <w:ilvl w:val="0"/>
          <w:numId w:val="3"/>
        </w:numPr>
        <w:spacing w:after="0" w:line="480" w:lineRule="auto"/>
        <w:rPr>
          <w:rFonts w:ascii="Times New Roman" w:hAnsi="Times New Roman" w:cs="Times New Roman"/>
          <w:sz w:val="24"/>
          <w:szCs w:val="24"/>
        </w:rPr>
      </w:pPr>
      <w:r w:rsidRPr="00653B7D">
        <w:rPr>
          <w:rFonts w:ascii="Times New Roman" w:hAnsi="Times New Roman" w:cs="Times New Roman"/>
          <w:sz w:val="24"/>
          <w:szCs w:val="24"/>
        </w:rPr>
        <w:t xml:space="preserve">Assigning responsibilities to top management and officials to ensure the accuracy of the figures of the financial statement. </w:t>
      </w:r>
    </w:p>
    <w:p w:rsidR="00333204" w:rsidRPr="00333204" w:rsidRDefault="00333204" w:rsidP="00653B7D">
      <w:pPr>
        <w:pStyle w:val="ListParagraph"/>
        <w:numPr>
          <w:ilvl w:val="0"/>
          <w:numId w:val="3"/>
        </w:numPr>
        <w:spacing w:after="0" w:line="480" w:lineRule="auto"/>
        <w:rPr>
          <w:rFonts w:ascii="Times New Roman" w:hAnsi="Times New Roman" w:cs="Times New Roman"/>
          <w:sz w:val="24"/>
          <w:szCs w:val="24"/>
        </w:rPr>
      </w:pPr>
      <w:r w:rsidRPr="00333204">
        <w:rPr>
          <w:rFonts w:ascii="Times New Roman" w:hAnsi="Times New Roman" w:cs="Times New Roman"/>
          <w:sz w:val="24"/>
          <w:szCs w:val="24"/>
        </w:rPr>
        <w:t xml:space="preserve">Arranging penalties for the non-compliance with the requirements of the act. </w:t>
      </w:r>
    </w:p>
    <w:p w:rsidR="00BD24B4"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BD24B4" w:rsidRPr="00653B7D">
        <w:rPr>
          <w:rFonts w:ascii="Times New Roman" w:hAnsi="Times New Roman" w:cs="Times New Roman"/>
          <w:sz w:val="24"/>
          <w:szCs w:val="24"/>
        </w:rPr>
        <w:t xml:space="preserve">Sarbanes- Oxley Act mainly contains eleven sections or elements including Public Company Accounting Standard Board (PACOB), auditor independence, corporate social responsibility (CSR), enhanced financial disclosures, analyst conflict of interest, commission resources and authority, studies and reports, corporate and criminal fraud accountability, white collar crime penalty, corporate tax return, and corporate fraud accountability. These components of the SOX are discussed below.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bCs/>
          <w:sz w:val="24"/>
          <w:szCs w:val="24"/>
        </w:rPr>
        <w:lastRenderedPageBreak/>
        <w:t xml:space="preserve">Company Accounting Oversight Board Public (PCAOB): PCAOB aims to provide </w:t>
      </w:r>
      <w:r w:rsidRPr="00653B7D">
        <w:rPr>
          <w:rFonts w:ascii="Times New Roman" w:eastAsia="Times New Roman" w:hAnsi="Times New Roman" w:cs="Times New Roman"/>
          <w:sz w:val="24"/>
          <w:szCs w:val="24"/>
        </w:rPr>
        <w:t xml:space="preserve">independent oversight on the CPA firms providing audit services. It specifies some mandates and reviews the compliance to mandates for quality control on audit function.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sz w:val="24"/>
          <w:szCs w:val="24"/>
        </w:rPr>
      </w:pPr>
      <w:r w:rsidRPr="00653B7D">
        <w:rPr>
          <w:rFonts w:ascii="Times New Roman" w:hAnsi="Times New Roman" w:cs="Times New Roman"/>
          <w:sz w:val="24"/>
          <w:szCs w:val="24"/>
        </w:rPr>
        <w:t xml:space="preserve">Auditor Independence: The independence of the auditors limits the </w:t>
      </w:r>
      <w:r w:rsidRPr="00653B7D">
        <w:rPr>
          <w:rFonts w:ascii="Times New Roman" w:eastAsia="Times New Roman" w:hAnsi="Times New Roman" w:cs="Times New Roman"/>
          <w:sz w:val="24"/>
          <w:szCs w:val="24"/>
        </w:rPr>
        <w:t xml:space="preserve">conflicts of interest. The issue of requirements of approval of new auditors, rotation of audit partners, and reporting requirements of auditors are addressed.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 xml:space="preserve">Corporate Responsibility: The responsibility of the senior management (CEO, CFO </w:t>
      </w:r>
      <w:proofErr w:type="gramStart"/>
      <w:r w:rsidRPr="00653B7D">
        <w:rPr>
          <w:rFonts w:ascii="Times New Roman" w:eastAsia="Times New Roman" w:hAnsi="Times New Roman" w:cs="Times New Roman"/>
          <w:sz w:val="24"/>
          <w:szCs w:val="24"/>
        </w:rPr>
        <w:t>etc</w:t>
      </w:r>
      <w:proofErr w:type="gramEnd"/>
      <w:r w:rsidRPr="00653B7D">
        <w:rPr>
          <w:rFonts w:ascii="Times New Roman" w:eastAsia="Times New Roman" w:hAnsi="Times New Roman" w:cs="Times New Roman"/>
          <w:sz w:val="24"/>
          <w:szCs w:val="24"/>
        </w:rPr>
        <w:t xml:space="preserve">.) for accuracy and completeness of corporate financial reports. </w:t>
      </w:r>
    </w:p>
    <w:p w:rsidR="00BD24B4" w:rsidRPr="00653B7D" w:rsidRDefault="00BD24B4" w:rsidP="00653B7D">
      <w:pPr>
        <w:pStyle w:val="ListParagraph"/>
        <w:numPr>
          <w:ilvl w:val="0"/>
          <w:numId w:val="2"/>
        </w:numPr>
        <w:spacing w:after="0" w:line="480" w:lineRule="auto"/>
        <w:rPr>
          <w:rFonts w:ascii="Times New Roman" w:hAnsi="Times New Roman" w:cs="Times New Roman"/>
          <w:sz w:val="24"/>
          <w:szCs w:val="24"/>
        </w:rPr>
      </w:pPr>
      <w:r w:rsidRPr="00653B7D">
        <w:rPr>
          <w:rFonts w:ascii="Times New Roman" w:eastAsia="Times New Roman" w:hAnsi="Times New Roman" w:cs="Times New Roman"/>
          <w:sz w:val="24"/>
          <w:szCs w:val="24"/>
        </w:rPr>
        <w:t xml:space="preserve">Enhanced Financial Disclosures: More disclosure requirements for on-balance sheet financial transactions, off-balance sheet transactions, related party transactions, pro-forma figures and stock transactions.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 xml:space="preserve">Analyst Conflict of Interest: Defining of </w:t>
      </w:r>
      <w:r w:rsidR="00333204">
        <w:rPr>
          <w:rFonts w:ascii="Times New Roman" w:eastAsia="Times New Roman" w:hAnsi="Times New Roman" w:cs="Times New Roman"/>
          <w:sz w:val="24"/>
          <w:szCs w:val="24"/>
        </w:rPr>
        <w:t xml:space="preserve">the </w:t>
      </w:r>
      <w:r w:rsidRPr="00653B7D">
        <w:rPr>
          <w:rFonts w:ascii="Times New Roman" w:eastAsia="Times New Roman" w:hAnsi="Times New Roman" w:cs="Times New Roman"/>
          <w:sz w:val="24"/>
          <w:szCs w:val="24"/>
        </w:rPr>
        <w:t xml:space="preserve">code of conducts for security analysts and requirement of disclosure of conflict of interest if any.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 xml:space="preserve">Commission Resources and Authority: Authority of SEC to censure or bar securities professionals from their practices.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bCs/>
          <w:sz w:val="24"/>
          <w:szCs w:val="24"/>
        </w:rPr>
        <w:t>Studies and Reports: Requirement of</w:t>
      </w:r>
      <w:r w:rsidRPr="00653B7D">
        <w:rPr>
          <w:rFonts w:ascii="Times New Roman" w:eastAsia="Times New Roman" w:hAnsi="Times New Roman" w:cs="Times New Roman"/>
          <w:b/>
          <w:bCs/>
          <w:sz w:val="24"/>
          <w:szCs w:val="24"/>
        </w:rPr>
        <w:t xml:space="preserve"> </w:t>
      </w:r>
      <w:r w:rsidRPr="00653B7D">
        <w:rPr>
          <w:rFonts w:ascii="Times New Roman" w:eastAsia="Times New Roman" w:hAnsi="Times New Roman" w:cs="Times New Roman"/>
          <w:sz w:val="24"/>
          <w:szCs w:val="24"/>
        </w:rPr>
        <w:t xml:space="preserve">various studies and reports of these studies by the Securities and Exchange Commission (SEC).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bCs/>
          <w:sz w:val="24"/>
          <w:szCs w:val="24"/>
        </w:rPr>
      </w:pPr>
      <w:r w:rsidRPr="00653B7D">
        <w:rPr>
          <w:rFonts w:ascii="Times New Roman" w:eastAsia="Times New Roman" w:hAnsi="Times New Roman" w:cs="Times New Roman"/>
          <w:bCs/>
          <w:sz w:val="24"/>
          <w:szCs w:val="24"/>
        </w:rPr>
        <w:t xml:space="preserve">Corporate and Criminal Fraud Accountability: Criminal penalties for manipulation, and window dressing of financial records and information. </w:t>
      </w:r>
    </w:p>
    <w:p w:rsidR="00BD24B4" w:rsidRPr="00653B7D" w:rsidRDefault="00BD24B4" w:rsidP="00653B7D">
      <w:pPr>
        <w:pStyle w:val="ListParagraph"/>
        <w:numPr>
          <w:ilvl w:val="0"/>
          <w:numId w:val="2"/>
        </w:numPr>
        <w:spacing w:after="0" w:line="480" w:lineRule="auto"/>
        <w:rPr>
          <w:rFonts w:ascii="Times New Roman" w:eastAsia="Times New Roman" w:hAnsi="Times New Roman" w:cs="Times New Roman"/>
          <w:bCs/>
          <w:sz w:val="24"/>
          <w:szCs w:val="24"/>
        </w:rPr>
      </w:pPr>
      <w:r w:rsidRPr="00653B7D">
        <w:rPr>
          <w:rFonts w:ascii="Times New Roman" w:eastAsia="Times New Roman" w:hAnsi="Times New Roman" w:cs="Times New Roman"/>
          <w:bCs/>
          <w:sz w:val="24"/>
          <w:szCs w:val="24"/>
        </w:rPr>
        <w:t xml:space="preserve">White Collar Crime Penalty Enhancement: Raising of penalties for white collar crimes, and conspiracies. </w:t>
      </w:r>
    </w:p>
    <w:p w:rsidR="00BD24B4" w:rsidRPr="00653B7D" w:rsidRDefault="00BD24B4" w:rsidP="00653B7D">
      <w:pPr>
        <w:pStyle w:val="ListParagraph"/>
        <w:numPr>
          <w:ilvl w:val="0"/>
          <w:numId w:val="2"/>
        </w:numPr>
        <w:spacing w:after="0" w:line="480" w:lineRule="auto"/>
        <w:rPr>
          <w:rFonts w:ascii="Times New Roman" w:hAnsi="Times New Roman" w:cs="Times New Roman"/>
          <w:sz w:val="24"/>
          <w:szCs w:val="24"/>
        </w:rPr>
      </w:pPr>
      <w:r w:rsidRPr="00653B7D">
        <w:rPr>
          <w:rFonts w:ascii="Times New Roman" w:hAnsi="Times New Roman" w:cs="Times New Roman"/>
          <w:sz w:val="24"/>
          <w:szCs w:val="24"/>
        </w:rPr>
        <w:t>Corporate Tax Return: CEO should sign to the tax return of the company.</w:t>
      </w:r>
    </w:p>
    <w:p w:rsidR="00BD24B4" w:rsidRPr="00653B7D" w:rsidRDefault="00BD24B4" w:rsidP="00653B7D">
      <w:pPr>
        <w:pStyle w:val="ListParagraph"/>
        <w:numPr>
          <w:ilvl w:val="0"/>
          <w:numId w:val="2"/>
        </w:numPr>
        <w:spacing w:after="0" w:line="480" w:lineRule="auto"/>
        <w:rPr>
          <w:rFonts w:ascii="Times New Roman" w:hAnsi="Times New Roman" w:cs="Times New Roman"/>
          <w:sz w:val="24"/>
          <w:szCs w:val="24"/>
        </w:rPr>
      </w:pPr>
      <w:r w:rsidRPr="00653B7D">
        <w:rPr>
          <w:rFonts w:ascii="Times New Roman" w:hAnsi="Times New Roman" w:cs="Times New Roman"/>
          <w:sz w:val="24"/>
          <w:szCs w:val="24"/>
        </w:rPr>
        <w:lastRenderedPageBreak/>
        <w:t xml:space="preserve">Corporate Fraud Accountability: Identification of the corporate frauds and recording of </w:t>
      </w:r>
      <w:r w:rsidRPr="00653B7D">
        <w:rPr>
          <w:rFonts w:ascii="Times New Roman" w:eastAsia="Times New Roman" w:hAnsi="Times New Roman" w:cs="Times New Roman"/>
          <w:sz w:val="24"/>
          <w:szCs w:val="24"/>
        </w:rPr>
        <w:t xml:space="preserve">criminal offenses along with relevant specific penalties have been made here. </w:t>
      </w:r>
    </w:p>
    <w:p w:rsidR="003D1AA0" w:rsidRPr="001B2877" w:rsidRDefault="003D1AA0" w:rsidP="009362AD">
      <w:pPr>
        <w:shd w:val="clear" w:color="auto" w:fill="FFFFFF"/>
        <w:spacing w:after="0" w:line="240" w:lineRule="auto"/>
        <w:rPr>
          <w:rFonts w:ascii="Times New Roman" w:eastAsia="Times New Roman" w:hAnsi="Times New Roman" w:cs="Times New Roman"/>
          <w:b/>
          <w:color w:val="FF0000"/>
          <w:sz w:val="24"/>
          <w:szCs w:val="24"/>
        </w:rPr>
      </w:pPr>
    </w:p>
    <w:p w:rsidR="00BD24B4" w:rsidRPr="00653B7D" w:rsidRDefault="002F3500" w:rsidP="00653B7D">
      <w:pPr>
        <w:pStyle w:val="Heading2"/>
        <w:rPr>
          <w:rFonts w:ascii="Times New Roman" w:hAnsi="Times New Roman" w:cs="Times New Roman"/>
          <w:sz w:val="24"/>
          <w:szCs w:val="24"/>
        </w:rPr>
      </w:pPr>
      <w:bookmarkStart w:id="3" w:name="_Toc464310194"/>
      <w:r w:rsidRPr="00653B7D">
        <w:rPr>
          <w:rFonts w:ascii="Times New Roman" w:eastAsia="Times New Roman" w:hAnsi="Times New Roman" w:cs="Times New Roman"/>
          <w:sz w:val="24"/>
          <w:szCs w:val="24"/>
        </w:rPr>
        <w:t xml:space="preserve">Impact of </w:t>
      </w:r>
      <w:r w:rsidRPr="00653B7D">
        <w:rPr>
          <w:rFonts w:ascii="Times New Roman" w:hAnsi="Times New Roman" w:cs="Times New Roman"/>
          <w:sz w:val="24"/>
          <w:szCs w:val="24"/>
        </w:rPr>
        <w:t>Sarbanes- Oxley Act 2002 on Auditing Profession</w:t>
      </w:r>
      <w:bookmarkEnd w:id="3"/>
    </w:p>
    <w:p w:rsidR="002F3500" w:rsidRPr="002F3500" w:rsidRDefault="002F3500" w:rsidP="002F3500">
      <w:pPr>
        <w:shd w:val="clear" w:color="auto" w:fill="FFFFFF"/>
        <w:spacing w:after="0" w:line="240" w:lineRule="auto"/>
        <w:jc w:val="both"/>
        <w:rPr>
          <w:b/>
        </w:rPr>
      </w:pPr>
    </w:p>
    <w:p w:rsidR="00772BC6" w:rsidRPr="00653B7D" w:rsidRDefault="00653B7D" w:rsidP="00653B7D">
      <w:pPr>
        <w:shd w:val="clear" w:color="auto" w:fill="FFFFFF"/>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00772BC6" w:rsidRPr="00653B7D">
        <w:rPr>
          <w:rFonts w:ascii="Times New Roman" w:eastAsia="Times New Roman" w:hAnsi="Times New Roman" w:cs="Times New Roman"/>
          <w:bCs/>
          <w:sz w:val="24"/>
          <w:szCs w:val="24"/>
        </w:rPr>
        <w:t xml:space="preserve">SOX created PCAOB to control the audit profession. PCAOB provides </w:t>
      </w:r>
      <w:r w:rsidR="00772BC6" w:rsidRPr="00653B7D">
        <w:rPr>
          <w:rFonts w:ascii="Times New Roman" w:eastAsia="Times New Roman" w:hAnsi="Times New Roman" w:cs="Times New Roman"/>
          <w:sz w:val="24"/>
          <w:szCs w:val="24"/>
        </w:rPr>
        <w:t xml:space="preserve">independent oversight on the CPA firms providing audit services. It sets and enforces ethics, auditing, quality control standards. The auditors of public limited companies required to adhere to the standards prescribed by the </w:t>
      </w:r>
      <w:r w:rsidR="00772BC6" w:rsidRPr="00653B7D">
        <w:rPr>
          <w:rFonts w:ascii="Times New Roman" w:eastAsia="Times New Roman" w:hAnsi="Times New Roman" w:cs="Times New Roman"/>
          <w:bCs/>
          <w:sz w:val="24"/>
          <w:szCs w:val="24"/>
        </w:rPr>
        <w:t xml:space="preserve">PCAOB to ensure the sustenance of the </w:t>
      </w:r>
      <w:r w:rsidR="00772BC6" w:rsidRPr="00653B7D">
        <w:rPr>
          <w:rFonts w:ascii="Times New Roman" w:eastAsia="Times New Roman" w:hAnsi="Times New Roman" w:cs="Times New Roman"/>
          <w:sz w:val="24"/>
          <w:szCs w:val="24"/>
        </w:rPr>
        <w:t xml:space="preserve">quality of their audits. </w:t>
      </w:r>
      <w:r w:rsidR="003F1A86" w:rsidRPr="00653B7D">
        <w:rPr>
          <w:rFonts w:ascii="Times New Roman" w:eastAsia="Times New Roman" w:hAnsi="Times New Roman" w:cs="Times New Roman"/>
          <w:color w:val="000000"/>
          <w:sz w:val="24"/>
          <w:szCs w:val="24"/>
        </w:rPr>
        <w:t xml:space="preserve">Auditors are in a place in between the </w:t>
      </w:r>
      <w:r w:rsidR="003F1A86" w:rsidRPr="00653B7D">
        <w:rPr>
          <w:rFonts w:ascii="Times New Roman" w:eastAsia="Times New Roman" w:hAnsi="Times New Roman" w:cs="Times New Roman"/>
          <w:sz w:val="24"/>
          <w:szCs w:val="24"/>
        </w:rPr>
        <w:t xml:space="preserve">preparers and users of financial statements. There is an expectation gap with respect to the perceived underlying responsibility of the audit and believes of the investors. PCAOB has helped to bridge the gap through increase of </w:t>
      </w:r>
      <w:r w:rsidR="00333204">
        <w:rPr>
          <w:rFonts w:ascii="Times New Roman" w:eastAsia="Times New Roman" w:hAnsi="Times New Roman" w:cs="Times New Roman"/>
          <w:sz w:val="24"/>
          <w:szCs w:val="24"/>
        </w:rPr>
        <w:t xml:space="preserve">the </w:t>
      </w:r>
      <w:r w:rsidR="003F1A86" w:rsidRPr="00653B7D">
        <w:rPr>
          <w:rFonts w:ascii="Times New Roman" w:eastAsia="Times New Roman" w:hAnsi="Times New Roman" w:cs="Times New Roman"/>
          <w:sz w:val="24"/>
          <w:szCs w:val="24"/>
        </w:rPr>
        <w:t>responsibility, ethical requirements, and quality controls of the auditors of financial statements</w:t>
      </w:r>
      <w:r w:rsidR="00CE582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13823149"/>
          <w:citation/>
        </w:sdtPr>
        <w:sdtContent>
          <w:r w:rsidR="00CE582D">
            <w:rPr>
              <w:rFonts w:ascii="Times New Roman" w:eastAsia="Times New Roman" w:hAnsi="Times New Roman" w:cs="Times New Roman"/>
              <w:sz w:val="24"/>
              <w:szCs w:val="24"/>
            </w:rPr>
            <w:fldChar w:fldCharType="begin"/>
          </w:r>
          <w:r w:rsidR="00CE582D">
            <w:rPr>
              <w:rFonts w:ascii="Times New Roman" w:eastAsia="Times New Roman" w:hAnsi="Times New Roman" w:cs="Times New Roman"/>
              <w:sz w:val="24"/>
              <w:szCs w:val="24"/>
            </w:rPr>
            <w:instrText xml:space="preserve"> CITATION Nor14 \l 1033 </w:instrText>
          </w:r>
          <w:r w:rsidR="00CE582D">
            <w:rPr>
              <w:rFonts w:ascii="Times New Roman" w:eastAsia="Times New Roman" w:hAnsi="Times New Roman" w:cs="Times New Roman"/>
              <w:sz w:val="24"/>
              <w:szCs w:val="24"/>
            </w:rPr>
            <w:fldChar w:fldCharType="separate"/>
          </w:r>
          <w:r w:rsidR="00CE582D" w:rsidRPr="00CE582D">
            <w:rPr>
              <w:rFonts w:ascii="Times New Roman" w:eastAsia="Times New Roman" w:hAnsi="Times New Roman" w:cs="Times New Roman"/>
              <w:noProof/>
              <w:sz w:val="24"/>
              <w:szCs w:val="24"/>
            </w:rPr>
            <w:t>(Spencer, 2014)</w:t>
          </w:r>
          <w:r w:rsidR="00CE582D">
            <w:rPr>
              <w:rFonts w:ascii="Times New Roman" w:eastAsia="Times New Roman" w:hAnsi="Times New Roman" w:cs="Times New Roman"/>
              <w:sz w:val="24"/>
              <w:szCs w:val="24"/>
            </w:rPr>
            <w:fldChar w:fldCharType="end"/>
          </w:r>
        </w:sdtContent>
      </w:sdt>
      <w:r w:rsidR="003F1A86" w:rsidRPr="00653B7D">
        <w:rPr>
          <w:rFonts w:ascii="Times New Roman" w:eastAsia="Times New Roman" w:hAnsi="Times New Roman" w:cs="Times New Roman"/>
          <w:sz w:val="24"/>
          <w:szCs w:val="24"/>
        </w:rPr>
        <w:t xml:space="preserve">. </w:t>
      </w:r>
    </w:p>
    <w:p w:rsidR="007E1C96"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7E1C96" w:rsidRPr="00653B7D">
        <w:rPr>
          <w:rFonts w:ascii="Times New Roman" w:hAnsi="Times New Roman" w:cs="Times New Roman"/>
          <w:sz w:val="24"/>
          <w:szCs w:val="24"/>
        </w:rPr>
        <w:t>Under the Sarbanes-Oxley Act, each public company should have an audit committee that oversees and governs the integrity of financial reporting within the company</w:t>
      </w:r>
      <w:r w:rsidR="00CE582D">
        <w:rPr>
          <w:rFonts w:ascii="Times New Roman" w:hAnsi="Times New Roman" w:cs="Times New Roman"/>
          <w:sz w:val="24"/>
          <w:szCs w:val="24"/>
        </w:rPr>
        <w:t xml:space="preserve"> </w:t>
      </w:r>
      <w:sdt>
        <w:sdtPr>
          <w:rPr>
            <w:rFonts w:ascii="Times New Roman" w:hAnsi="Times New Roman" w:cs="Times New Roman"/>
            <w:sz w:val="24"/>
            <w:szCs w:val="24"/>
          </w:rPr>
          <w:id w:val="-1913539960"/>
          <w:citation/>
        </w:sdtPr>
        <w:sdtContent>
          <w:r w:rsidR="00CE582D">
            <w:rPr>
              <w:rFonts w:ascii="Times New Roman" w:hAnsi="Times New Roman" w:cs="Times New Roman"/>
              <w:sz w:val="24"/>
              <w:szCs w:val="24"/>
            </w:rPr>
            <w:fldChar w:fldCharType="begin"/>
          </w:r>
          <w:r w:rsidR="00CE582D">
            <w:rPr>
              <w:rFonts w:ascii="Times New Roman" w:hAnsi="Times New Roman" w:cs="Times New Roman"/>
              <w:sz w:val="24"/>
              <w:szCs w:val="24"/>
            </w:rPr>
            <w:instrText xml:space="preserve"> CITATION MCC03 \l 1033 </w:instrText>
          </w:r>
          <w:r w:rsidR="00CE582D">
            <w:rPr>
              <w:rFonts w:ascii="Times New Roman" w:hAnsi="Times New Roman" w:cs="Times New Roman"/>
              <w:sz w:val="24"/>
              <w:szCs w:val="24"/>
            </w:rPr>
            <w:fldChar w:fldCharType="separate"/>
          </w:r>
          <w:r w:rsidR="00CE582D" w:rsidRPr="00CE582D">
            <w:rPr>
              <w:rFonts w:ascii="Times New Roman" w:hAnsi="Times New Roman" w:cs="Times New Roman"/>
              <w:noProof/>
              <w:sz w:val="24"/>
              <w:szCs w:val="24"/>
            </w:rPr>
            <w:t>(MCCONNELL &amp; BANKS, 2003)</w:t>
          </w:r>
          <w:r w:rsidR="00CE582D">
            <w:rPr>
              <w:rFonts w:ascii="Times New Roman" w:hAnsi="Times New Roman" w:cs="Times New Roman"/>
              <w:sz w:val="24"/>
              <w:szCs w:val="24"/>
            </w:rPr>
            <w:fldChar w:fldCharType="end"/>
          </w:r>
        </w:sdtContent>
      </w:sdt>
      <w:r w:rsidR="007E1C96" w:rsidRPr="00653B7D">
        <w:rPr>
          <w:rFonts w:ascii="Times New Roman" w:hAnsi="Times New Roman" w:cs="Times New Roman"/>
          <w:sz w:val="24"/>
          <w:szCs w:val="24"/>
        </w:rPr>
        <w:t xml:space="preserve">. This committee also oversees the auditors (both internal and external auditors). </w:t>
      </w:r>
    </w:p>
    <w:p w:rsidR="00C06B0C"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CE582D" w:rsidRPr="00CE582D">
        <w:rPr>
          <w:rFonts w:ascii="Times New Roman" w:hAnsi="Times New Roman" w:cs="Times New Roman"/>
          <w:sz w:val="24"/>
          <w:szCs w:val="24"/>
        </w:rPr>
        <w:t>As per Section 202 of SOX, all public companies must have the independent audit committee. All audit and non-audit services must be approved by the audit committee. Before the introduction of SOX, all communications and interactions with auditors including the hiring, compensation, and firing of auditors were handled by the top officials (CEO, CFO) of the company. This resulted in the more great deal of power for the top officials over auditors and influence on the auditors' works and opinions</w:t>
      </w:r>
      <w:r w:rsidR="00CE582D">
        <w:rPr>
          <w:rFonts w:ascii="Times New Roman" w:hAnsi="Times New Roman" w:cs="Times New Roman"/>
          <w:sz w:val="24"/>
          <w:szCs w:val="24"/>
        </w:rPr>
        <w:t xml:space="preserve"> </w:t>
      </w:r>
      <w:sdt>
        <w:sdtPr>
          <w:rPr>
            <w:rFonts w:ascii="Times New Roman" w:hAnsi="Times New Roman" w:cs="Times New Roman"/>
            <w:sz w:val="24"/>
            <w:szCs w:val="24"/>
          </w:rPr>
          <w:id w:val="1394237382"/>
          <w:citation/>
        </w:sdtPr>
        <w:sdtContent>
          <w:r w:rsidR="00CE582D">
            <w:rPr>
              <w:rFonts w:ascii="Times New Roman" w:hAnsi="Times New Roman" w:cs="Times New Roman"/>
              <w:sz w:val="24"/>
              <w:szCs w:val="24"/>
            </w:rPr>
            <w:fldChar w:fldCharType="begin"/>
          </w:r>
          <w:r w:rsidR="00CE582D">
            <w:rPr>
              <w:rFonts w:ascii="Times New Roman" w:hAnsi="Times New Roman" w:cs="Times New Roman"/>
              <w:sz w:val="24"/>
              <w:szCs w:val="24"/>
            </w:rPr>
            <w:instrText xml:space="preserve"> CITATION Law13 \l 1033 </w:instrText>
          </w:r>
          <w:r w:rsidR="00CE582D">
            <w:rPr>
              <w:rFonts w:ascii="Times New Roman" w:hAnsi="Times New Roman" w:cs="Times New Roman"/>
              <w:sz w:val="24"/>
              <w:szCs w:val="24"/>
            </w:rPr>
            <w:fldChar w:fldCharType="separate"/>
          </w:r>
          <w:r w:rsidR="00CE582D" w:rsidRPr="00CE582D">
            <w:rPr>
              <w:rFonts w:ascii="Times New Roman" w:hAnsi="Times New Roman" w:cs="Times New Roman"/>
              <w:noProof/>
              <w:sz w:val="24"/>
              <w:szCs w:val="24"/>
            </w:rPr>
            <w:t>(Chui &amp; Pike, 2013)</w:t>
          </w:r>
          <w:r w:rsidR="00CE582D">
            <w:rPr>
              <w:rFonts w:ascii="Times New Roman" w:hAnsi="Times New Roman" w:cs="Times New Roman"/>
              <w:sz w:val="24"/>
              <w:szCs w:val="24"/>
            </w:rPr>
            <w:fldChar w:fldCharType="end"/>
          </w:r>
        </w:sdtContent>
      </w:sdt>
      <w:r w:rsidR="00CE582D" w:rsidRPr="00CE582D">
        <w:rPr>
          <w:rFonts w:ascii="Times New Roman" w:hAnsi="Times New Roman" w:cs="Times New Roman"/>
          <w:sz w:val="24"/>
          <w:szCs w:val="24"/>
        </w:rPr>
        <w:t>. After the introduction of SOX, this power of the top officials has been eliminated.</w:t>
      </w:r>
    </w:p>
    <w:p w:rsidR="00917D87"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CE582D" w:rsidRPr="00CE582D">
        <w:rPr>
          <w:rFonts w:ascii="Times New Roman" w:eastAsia="Times New Roman" w:hAnsi="Times New Roman" w:cs="Times New Roman"/>
          <w:sz w:val="24"/>
          <w:szCs w:val="24"/>
        </w:rPr>
        <w:t>As per section 203 of SOX, the audit partner of the firm requires to rotate in every five years</w:t>
      </w:r>
      <w:r w:rsidR="00CE582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43757612"/>
          <w:citation/>
        </w:sdtPr>
        <w:sdtContent>
          <w:r w:rsidR="00CE582D">
            <w:rPr>
              <w:rFonts w:ascii="Times New Roman" w:eastAsia="Times New Roman" w:hAnsi="Times New Roman" w:cs="Times New Roman"/>
              <w:sz w:val="24"/>
              <w:szCs w:val="24"/>
            </w:rPr>
            <w:fldChar w:fldCharType="begin"/>
          </w:r>
          <w:r w:rsidR="00CE582D">
            <w:rPr>
              <w:rFonts w:ascii="Times New Roman" w:eastAsia="Times New Roman" w:hAnsi="Times New Roman" w:cs="Times New Roman"/>
              <w:sz w:val="24"/>
              <w:szCs w:val="24"/>
            </w:rPr>
            <w:instrText xml:space="preserve"> CITATION LuS05 \l 1033 </w:instrText>
          </w:r>
          <w:r w:rsidR="00CE582D">
            <w:rPr>
              <w:rFonts w:ascii="Times New Roman" w:eastAsia="Times New Roman" w:hAnsi="Times New Roman" w:cs="Times New Roman"/>
              <w:sz w:val="24"/>
              <w:szCs w:val="24"/>
            </w:rPr>
            <w:fldChar w:fldCharType="separate"/>
          </w:r>
          <w:r w:rsidR="00CE582D" w:rsidRPr="00CE582D">
            <w:rPr>
              <w:rFonts w:ascii="Times New Roman" w:eastAsia="Times New Roman" w:hAnsi="Times New Roman" w:cs="Times New Roman"/>
              <w:noProof/>
              <w:sz w:val="24"/>
              <w:szCs w:val="24"/>
            </w:rPr>
            <w:t>(Lu, 2005)</w:t>
          </w:r>
          <w:r w:rsidR="00CE582D">
            <w:rPr>
              <w:rFonts w:ascii="Times New Roman" w:eastAsia="Times New Roman" w:hAnsi="Times New Roman" w:cs="Times New Roman"/>
              <w:sz w:val="24"/>
              <w:szCs w:val="24"/>
            </w:rPr>
            <w:fldChar w:fldCharType="end"/>
          </w:r>
        </w:sdtContent>
      </w:sdt>
      <w:r w:rsidR="00CE582D" w:rsidRPr="00CE582D">
        <w:rPr>
          <w:rFonts w:ascii="Times New Roman" w:eastAsia="Times New Roman" w:hAnsi="Times New Roman" w:cs="Times New Roman"/>
          <w:sz w:val="24"/>
          <w:szCs w:val="24"/>
        </w:rPr>
        <w:t>. The implementation of this will help to resolve the ‘familiarity threat' of the audit. The familiarity threat, as well as the formation of the close relationship in between client and audit partner, can influence the partner's independence.</w:t>
      </w:r>
    </w:p>
    <w:p w:rsidR="00E3512B" w:rsidRPr="00E3512B" w:rsidRDefault="00653B7D" w:rsidP="00E3512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3512B" w:rsidRPr="00E3512B">
        <w:rPr>
          <w:rFonts w:ascii="Times New Roman" w:eastAsia="Times New Roman" w:hAnsi="Times New Roman" w:cs="Times New Roman"/>
          <w:sz w:val="24"/>
          <w:szCs w:val="24"/>
        </w:rPr>
        <w:t xml:space="preserve">As per section 204 of SOX, auditors require communicating the deficiencies of the existing accounting policies and procedures, their ramifications to the audit committee, and suggestions to improve the deficiencies as a part of detecting and preventing the audit fraud. </w:t>
      </w:r>
    </w:p>
    <w:p w:rsidR="00E3512B" w:rsidRPr="00E3512B" w:rsidRDefault="00E3512B" w:rsidP="00E3512B">
      <w:pPr>
        <w:spacing w:after="0" w:line="480" w:lineRule="auto"/>
        <w:rPr>
          <w:rFonts w:ascii="Times New Roman" w:eastAsia="Times New Roman" w:hAnsi="Times New Roman" w:cs="Times New Roman"/>
          <w:sz w:val="24"/>
          <w:szCs w:val="24"/>
        </w:rPr>
      </w:pPr>
      <w:r w:rsidRPr="00E3512B">
        <w:rPr>
          <w:rFonts w:ascii="Times New Roman" w:eastAsia="Times New Roman" w:hAnsi="Times New Roman" w:cs="Times New Roman"/>
          <w:sz w:val="24"/>
          <w:szCs w:val="24"/>
        </w:rPr>
        <w:t xml:space="preserve">As per section 205 of SOX, the audit firm cannot be engaged in the audit engagement if top management of the company is appointed by the audit firm and audit firm works on the company's audit in the last preceding twelve months. This is an attempt to safeguard against the risk of ‘familiarity threat' in the audit process. If any top level employee of the company is appointed by the audit firm or by the from the audit firm there is the high risk of impairment of the audit work and audit opinion due to an influence of that top level management employees. </w:t>
      </w:r>
    </w:p>
    <w:p w:rsidR="003F1A86" w:rsidRPr="00653B7D" w:rsidRDefault="00E3512B" w:rsidP="00E3512B">
      <w:pPr>
        <w:spacing w:after="0" w:line="480" w:lineRule="auto"/>
        <w:rPr>
          <w:rFonts w:ascii="Times New Roman" w:eastAsia="Times New Roman" w:hAnsi="Times New Roman" w:cs="Times New Roman"/>
          <w:sz w:val="24"/>
          <w:szCs w:val="24"/>
        </w:rPr>
      </w:pPr>
      <w:r w:rsidRPr="00E3512B">
        <w:rPr>
          <w:rFonts w:ascii="Times New Roman" w:eastAsia="Times New Roman" w:hAnsi="Times New Roman" w:cs="Times New Roman"/>
          <w:sz w:val="24"/>
          <w:szCs w:val="24"/>
        </w:rPr>
        <w:t xml:space="preserve">Audit firms now tend to much more conservative with respect to the acceptance and retention of client's decisions because of the high risks associated with auditing attributed by the legal liability and accountability due to the making of inappropriate audit opinion (Rama &amp; Read, 2006). The study of </w:t>
      </w:r>
      <w:proofErr w:type="spellStart"/>
      <w:r w:rsidRPr="00E3512B">
        <w:rPr>
          <w:rFonts w:ascii="Times New Roman" w:eastAsia="Times New Roman" w:hAnsi="Times New Roman" w:cs="Times New Roman"/>
          <w:sz w:val="24"/>
          <w:szCs w:val="24"/>
        </w:rPr>
        <w:t>Ryu</w:t>
      </w:r>
      <w:proofErr w:type="spellEnd"/>
      <w:r w:rsidRPr="00E3512B">
        <w:rPr>
          <w:rFonts w:ascii="Times New Roman" w:eastAsia="Times New Roman" w:hAnsi="Times New Roman" w:cs="Times New Roman"/>
          <w:sz w:val="24"/>
          <w:szCs w:val="24"/>
        </w:rPr>
        <w:t xml:space="preserve">, </w:t>
      </w:r>
      <w:proofErr w:type="spellStart"/>
      <w:r w:rsidRPr="00E3512B">
        <w:rPr>
          <w:rFonts w:ascii="Times New Roman" w:eastAsia="Times New Roman" w:hAnsi="Times New Roman" w:cs="Times New Roman"/>
          <w:sz w:val="24"/>
          <w:szCs w:val="24"/>
        </w:rPr>
        <w:t>Uliss</w:t>
      </w:r>
      <w:proofErr w:type="spellEnd"/>
      <w:r w:rsidRPr="00E3512B">
        <w:rPr>
          <w:rFonts w:ascii="Times New Roman" w:eastAsia="Times New Roman" w:hAnsi="Times New Roman" w:cs="Times New Roman"/>
          <w:sz w:val="24"/>
          <w:szCs w:val="24"/>
        </w:rPr>
        <w:t xml:space="preserve">, and </w:t>
      </w:r>
      <w:proofErr w:type="spellStart"/>
      <w:r w:rsidRPr="00E3512B">
        <w:rPr>
          <w:rFonts w:ascii="Times New Roman" w:eastAsia="Times New Roman" w:hAnsi="Times New Roman" w:cs="Times New Roman"/>
          <w:sz w:val="24"/>
          <w:szCs w:val="24"/>
        </w:rPr>
        <w:t>Roh</w:t>
      </w:r>
      <w:proofErr w:type="spellEnd"/>
      <w:r w:rsidRPr="00E3512B">
        <w:rPr>
          <w:rFonts w:ascii="Times New Roman" w:eastAsia="Times New Roman" w:hAnsi="Times New Roman" w:cs="Times New Roman"/>
          <w:sz w:val="24"/>
          <w:szCs w:val="24"/>
        </w:rPr>
        <w:t xml:space="preserve"> (2012) pointed out that the accuracy rate of the auditor work has been improved greatly after the issuance of SOX. The accuracy rate has increased from 43.5% to 52% for big firms, and from 25.0% to 50.0% for small firms. </w:t>
      </w:r>
      <w:r w:rsidR="00D74ABF" w:rsidRPr="00653B7D">
        <w:rPr>
          <w:rFonts w:ascii="Times New Roman" w:eastAsia="Times New Roman" w:hAnsi="Times New Roman" w:cs="Times New Roman"/>
          <w:sz w:val="24"/>
          <w:szCs w:val="24"/>
        </w:rPr>
        <w:t xml:space="preserve"> </w:t>
      </w:r>
      <w:r w:rsidR="003F1A86" w:rsidRPr="00653B7D">
        <w:rPr>
          <w:rFonts w:ascii="Times New Roman" w:eastAsia="Times New Roman" w:hAnsi="Times New Roman" w:cs="Times New Roman"/>
          <w:sz w:val="24"/>
          <w:szCs w:val="24"/>
        </w:rPr>
        <w:t xml:space="preserve">  </w:t>
      </w:r>
    </w:p>
    <w:p w:rsidR="007F459C"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F459C" w:rsidRPr="00653B7D">
        <w:rPr>
          <w:rFonts w:ascii="Times New Roman" w:eastAsia="Times New Roman" w:hAnsi="Times New Roman" w:cs="Times New Roman"/>
          <w:sz w:val="24"/>
          <w:szCs w:val="24"/>
        </w:rPr>
        <w:t xml:space="preserve">After the introduction of the SOX, auditors are now more vigorous with respect to designing and taking more conservative steps in </w:t>
      </w:r>
      <w:r w:rsidR="006C168F" w:rsidRPr="00653B7D">
        <w:rPr>
          <w:rFonts w:ascii="Times New Roman" w:eastAsia="Times New Roman" w:hAnsi="Times New Roman" w:cs="Times New Roman"/>
          <w:sz w:val="24"/>
          <w:szCs w:val="24"/>
        </w:rPr>
        <w:t xml:space="preserve">the </w:t>
      </w:r>
      <w:r w:rsidR="007F459C" w:rsidRPr="00653B7D">
        <w:rPr>
          <w:rFonts w:ascii="Times New Roman" w:eastAsia="Times New Roman" w:hAnsi="Times New Roman" w:cs="Times New Roman"/>
          <w:sz w:val="24"/>
          <w:szCs w:val="24"/>
        </w:rPr>
        <w:t xml:space="preserve">acceptance, audit planning, audit performance, and final review &amp; opinion. The SOX has significantly increased the risks involved with auditing, and insurance &amp; other liability-related costs </w:t>
      </w:r>
      <w:sdt>
        <w:sdtPr>
          <w:rPr>
            <w:rFonts w:ascii="Times New Roman" w:eastAsia="Times New Roman" w:hAnsi="Times New Roman" w:cs="Times New Roman"/>
            <w:sz w:val="24"/>
            <w:szCs w:val="24"/>
          </w:rPr>
          <w:id w:val="1707518663"/>
          <w:citation/>
        </w:sdtPr>
        <w:sdtEndPr/>
        <w:sdtContent>
          <w:r w:rsidR="007F459C" w:rsidRPr="00653B7D">
            <w:rPr>
              <w:rFonts w:ascii="Times New Roman" w:eastAsia="Times New Roman" w:hAnsi="Times New Roman" w:cs="Times New Roman"/>
              <w:sz w:val="24"/>
              <w:szCs w:val="24"/>
            </w:rPr>
            <w:fldChar w:fldCharType="begin"/>
          </w:r>
          <w:r w:rsidR="007F459C" w:rsidRPr="00653B7D">
            <w:rPr>
              <w:rFonts w:ascii="Times New Roman" w:eastAsia="Times New Roman" w:hAnsi="Times New Roman" w:cs="Times New Roman"/>
              <w:sz w:val="24"/>
              <w:szCs w:val="24"/>
            </w:rPr>
            <w:instrText xml:space="preserve"> CITATION Ram06 \l 1033 </w:instrText>
          </w:r>
          <w:r w:rsidR="007F459C" w:rsidRPr="00653B7D">
            <w:rPr>
              <w:rFonts w:ascii="Times New Roman" w:eastAsia="Times New Roman" w:hAnsi="Times New Roman" w:cs="Times New Roman"/>
              <w:sz w:val="24"/>
              <w:szCs w:val="24"/>
            </w:rPr>
            <w:fldChar w:fldCharType="separate"/>
          </w:r>
          <w:r w:rsidR="007F459C" w:rsidRPr="00653B7D">
            <w:rPr>
              <w:rFonts w:ascii="Times New Roman" w:eastAsia="Times New Roman" w:hAnsi="Times New Roman" w:cs="Times New Roman"/>
              <w:noProof/>
              <w:sz w:val="24"/>
              <w:szCs w:val="24"/>
            </w:rPr>
            <w:t>(Rama &amp; Read, 2006)</w:t>
          </w:r>
          <w:r w:rsidR="007F459C" w:rsidRPr="00653B7D">
            <w:rPr>
              <w:rFonts w:ascii="Times New Roman" w:eastAsia="Times New Roman" w:hAnsi="Times New Roman" w:cs="Times New Roman"/>
              <w:sz w:val="24"/>
              <w:szCs w:val="24"/>
            </w:rPr>
            <w:fldChar w:fldCharType="end"/>
          </w:r>
        </w:sdtContent>
      </w:sdt>
      <w:r w:rsidR="007F459C" w:rsidRPr="00653B7D">
        <w:rPr>
          <w:rFonts w:ascii="Times New Roman" w:eastAsia="Times New Roman" w:hAnsi="Times New Roman" w:cs="Times New Roman"/>
          <w:sz w:val="24"/>
          <w:szCs w:val="24"/>
        </w:rPr>
        <w:t xml:space="preserve">. </w:t>
      </w:r>
    </w:p>
    <w:p w:rsidR="007F459C"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           </w:t>
      </w:r>
      <w:r w:rsidR="007F459C" w:rsidRPr="00653B7D">
        <w:rPr>
          <w:rFonts w:ascii="Times New Roman" w:eastAsia="Times New Roman" w:hAnsi="Times New Roman" w:cs="Times New Roman"/>
          <w:sz w:val="24"/>
          <w:szCs w:val="24"/>
        </w:rPr>
        <w:t xml:space="preserve">The audit firms are now more concerned to discharge their audit liability as auditors are now closely held accountable and punished for the inappropriate audit option. The number of making inappropriate audit option has been decreased after SOX implementation. The study of </w:t>
      </w:r>
      <w:proofErr w:type="spellStart"/>
      <w:r w:rsidR="007F459C" w:rsidRPr="00653B7D">
        <w:rPr>
          <w:rFonts w:ascii="Times New Roman" w:eastAsia="Times New Roman" w:hAnsi="Times New Roman" w:cs="Times New Roman"/>
          <w:sz w:val="24"/>
          <w:szCs w:val="24"/>
        </w:rPr>
        <w:t>Ryu</w:t>
      </w:r>
      <w:proofErr w:type="spellEnd"/>
      <w:r w:rsidR="007F459C" w:rsidRPr="00653B7D">
        <w:rPr>
          <w:rFonts w:ascii="Times New Roman" w:eastAsia="Times New Roman" w:hAnsi="Times New Roman" w:cs="Times New Roman"/>
          <w:sz w:val="24"/>
          <w:szCs w:val="24"/>
        </w:rPr>
        <w:t xml:space="preserve">, </w:t>
      </w:r>
      <w:proofErr w:type="spellStart"/>
      <w:r w:rsidR="007F459C" w:rsidRPr="00653B7D">
        <w:rPr>
          <w:rFonts w:ascii="Times New Roman" w:eastAsia="Times New Roman" w:hAnsi="Times New Roman" w:cs="Times New Roman"/>
          <w:sz w:val="24"/>
          <w:szCs w:val="24"/>
        </w:rPr>
        <w:t>Uliss</w:t>
      </w:r>
      <w:proofErr w:type="spellEnd"/>
      <w:r w:rsidR="007F459C" w:rsidRPr="00653B7D">
        <w:rPr>
          <w:rFonts w:ascii="Times New Roman" w:eastAsia="Times New Roman" w:hAnsi="Times New Roman" w:cs="Times New Roman"/>
          <w:sz w:val="24"/>
          <w:szCs w:val="24"/>
        </w:rPr>
        <w:t xml:space="preserve">, and </w:t>
      </w:r>
      <w:proofErr w:type="spellStart"/>
      <w:r w:rsidR="007F459C" w:rsidRPr="00653B7D">
        <w:rPr>
          <w:rFonts w:ascii="Times New Roman" w:eastAsia="Times New Roman" w:hAnsi="Times New Roman" w:cs="Times New Roman"/>
          <w:sz w:val="24"/>
          <w:szCs w:val="24"/>
        </w:rPr>
        <w:t>Roh</w:t>
      </w:r>
      <w:proofErr w:type="spellEnd"/>
      <w:r w:rsidR="007F459C" w:rsidRPr="00653B7D">
        <w:rPr>
          <w:rFonts w:ascii="Times New Roman" w:eastAsia="Times New Roman" w:hAnsi="Times New Roman" w:cs="Times New Roman"/>
          <w:sz w:val="24"/>
          <w:szCs w:val="24"/>
        </w:rPr>
        <w:t xml:space="preserve"> (2012) pointed out that pre-SOX period, total number of unmodified opinion by big four and non-big four together was for 18 bankrupt firms, but in post-SOX period the number of unmodified opinion by big four and non-big four together was for 10 bankrupt firms in 2004, 7 bankrupt firms in 2005, and 1 bankrupt firms in 2006. </w:t>
      </w:r>
    </w:p>
    <w:p w:rsidR="00653B7D" w:rsidRDefault="00653B7D" w:rsidP="00653B7D">
      <w:pPr>
        <w:pStyle w:val="Heading2"/>
        <w:rPr>
          <w:rFonts w:ascii="Times New Roman" w:hAnsi="Times New Roman" w:cs="Times New Roman"/>
          <w:sz w:val="24"/>
          <w:szCs w:val="24"/>
        </w:rPr>
      </w:pPr>
    </w:p>
    <w:p w:rsidR="007E1C96" w:rsidRPr="00653B7D" w:rsidRDefault="00972878" w:rsidP="00653B7D">
      <w:pPr>
        <w:pStyle w:val="Heading2"/>
        <w:rPr>
          <w:rFonts w:ascii="Times New Roman" w:hAnsi="Times New Roman" w:cs="Times New Roman"/>
          <w:sz w:val="24"/>
          <w:szCs w:val="24"/>
        </w:rPr>
      </w:pPr>
      <w:bookmarkStart w:id="4" w:name="_Toc464310195"/>
      <w:r w:rsidRPr="00653B7D">
        <w:rPr>
          <w:rFonts w:ascii="Times New Roman" w:hAnsi="Times New Roman" w:cs="Times New Roman"/>
          <w:sz w:val="24"/>
          <w:szCs w:val="24"/>
        </w:rPr>
        <w:t>Sarbanes- Oxley Act 2002 as a meant to prevent/detect fraud</w:t>
      </w:r>
      <w:bookmarkEnd w:id="4"/>
    </w:p>
    <w:p w:rsidR="00653B7D" w:rsidRPr="00653B7D" w:rsidRDefault="00653B7D" w:rsidP="001B2877">
      <w:pPr>
        <w:rPr>
          <w:sz w:val="12"/>
          <w:szCs w:val="12"/>
        </w:rPr>
      </w:pPr>
    </w:p>
    <w:p w:rsidR="008F1692"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8F1692" w:rsidRPr="00653B7D">
        <w:rPr>
          <w:rFonts w:ascii="Times New Roman" w:hAnsi="Times New Roman" w:cs="Times New Roman"/>
          <w:sz w:val="24"/>
          <w:szCs w:val="24"/>
        </w:rPr>
        <w:t xml:space="preserve">Sarbanes- Oxley Act 2002 can be considered as an attempt to </w:t>
      </w:r>
      <w:r w:rsidR="002F7107" w:rsidRPr="00653B7D">
        <w:rPr>
          <w:rFonts w:ascii="Times New Roman" w:hAnsi="Times New Roman" w:cs="Times New Roman"/>
          <w:sz w:val="24"/>
          <w:szCs w:val="24"/>
        </w:rPr>
        <w:t>detect and prevent the fraudulent activities through</w:t>
      </w:r>
      <w:r w:rsidR="008F1692" w:rsidRPr="00653B7D">
        <w:rPr>
          <w:rFonts w:ascii="Times New Roman" w:hAnsi="Times New Roman" w:cs="Times New Roman"/>
          <w:sz w:val="24"/>
          <w:szCs w:val="24"/>
        </w:rPr>
        <w:t xml:space="preserve"> the increase of </w:t>
      </w:r>
      <w:r w:rsidR="002F7107" w:rsidRPr="00653B7D">
        <w:rPr>
          <w:rFonts w:ascii="Times New Roman" w:hAnsi="Times New Roman" w:cs="Times New Roman"/>
          <w:sz w:val="24"/>
          <w:szCs w:val="24"/>
        </w:rPr>
        <w:t>requirements and responsibilities</w:t>
      </w:r>
      <w:r w:rsidR="008F1692" w:rsidRPr="00653B7D">
        <w:rPr>
          <w:rFonts w:ascii="Times New Roman" w:hAnsi="Times New Roman" w:cs="Times New Roman"/>
          <w:sz w:val="24"/>
          <w:szCs w:val="24"/>
        </w:rPr>
        <w:t xml:space="preserve"> of both internal management of the company and the auditors. </w:t>
      </w:r>
    </w:p>
    <w:p w:rsidR="002F7107" w:rsidRPr="00653B7D" w:rsidRDefault="002F7107" w:rsidP="00653B7D">
      <w:pPr>
        <w:spacing w:after="0" w:line="480" w:lineRule="auto"/>
        <w:rPr>
          <w:rFonts w:ascii="Times New Roman" w:hAnsi="Times New Roman" w:cs="Times New Roman"/>
          <w:b/>
          <w:sz w:val="24"/>
          <w:szCs w:val="24"/>
        </w:rPr>
      </w:pPr>
      <w:r w:rsidRPr="00653B7D">
        <w:rPr>
          <w:rFonts w:ascii="Times New Roman" w:hAnsi="Times New Roman" w:cs="Times New Roman"/>
          <w:b/>
          <w:sz w:val="24"/>
          <w:szCs w:val="24"/>
        </w:rPr>
        <w:t xml:space="preserve">Requirements and Responsibilities of the Internal Management </w:t>
      </w:r>
    </w:p>
    <w:p w:rsidR="00071F4C"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E3512B" w:rsidRPr="00E3512B">
        <w:rPr>
          <w:rFonts w:ascii="Times New Roman" w:hAnsi="Times New Roman" w:cs="Times New Roman"/>
          <w:sz w:val="24"/>
          <w:szCs w:val="24"/>
        </w:rPr>
        <w:t>Section 404 of requires the management of the company to issue a report by stating the fact that the management of the company is responsible for setting up and maintaining appropriate internal control system. For any wrong opinion, the management of the company will be held responsible. Thus, the management of the companies tries to ensure that there exists appropriate internal control system within the companies. Appropriate and effective internal control system helps to detect and prevent the fraudulent activities (Spencer, 2014).</w:t>
      </w:r>
    </w:p>
    <w:p w:rsidR="004C5454" w:rsidRPr="00653B7D" w:rsidRDefault="00653B7D" w:rsidP="00653B7D">
      <w:pPr>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E3512B" w:rsidRPr="00E3512B">
        <w:rPr>
          <w:rFonts w:ascii="Times New Roman" w:hAnsi="Times New Roman" w:cs="Times New Roman"/>
          <w:sz w:val="24"/>
          <w:szCs w:val="24"/>
        </w:rPr>
        <w:t>Section 404 of requires the management of the company to certify that all significant deficiencies of the internal control system and reporting have been communicated to the auditors. The appropriate communication of the significant deficiencies of the internal control system and reporting may affect the opinions of the auditors</w:t>
      </w:r>
      <w:r w:rsidR="00D316D5">
        <w:rPr>
          <w:rFonts w:ascii="Times New Roman" w:hAnsi="Times New Roman" w:cs="Times New Roman"/>
          <w:sz w:val="24"/>
          <w:szCs w:val="24"/>
        </w:rPr>
        <w:t xml:space="preserve"> </w:t>
      </w:r>
      <w:sdt>
        <w:sdtPr>
          <w:rPr>
            <w:rFonts w:ascii="Times New Roman" w:hAnsi="Times New Roman" w:cs="Times New Roman"/>
            <w:sz w:val="24"/>
            <w:szCs w:val="24"/>
          </w:rPr>
          <w:id w:val="1365251473"/>
          <w:citation/>
        </w:sdtPr>
        <w:sdtContent>
          <w:r w:rsidR="00D316D5">
            <w:rPr>
              <w:rFonts w:ascii="Times New Roman" w:hAnsi="Times New Roman" w:cs="Times New Roman"/>
              <w:sz w:val="24"/>
              <w:szCs w:val="24"/>
            </w:rPr>
            <w:fldChar w:fldCharType="begin"/>
          </w:r>
          <w:r w:rsidR="00D316D5">
            <w:rPr>
              <w:rFonts w:ascii="Times New Roman" w:hAnsi="Times New Roman" w:cs="Times New Roman"/>
              <w:sz w:val="24"/>
              <w:szCs w:val="24"/>
            </w:rPr>
            <w:instrText xml:space="preserve"> CITATION Tod08 \l 1033 </w:instrText>
          </w:r>
          <w:r w:rsidR="00D316D5">
            <w:rPr>
              <w:rFonts w:ascii="Times New Roman" w:hAnsi="Times New Roman" w:cs="Times New Roman"/>
              <w:sz w:val="24"/>
              <w:szCs w:val="24"/>
            </w:rPr>
            <w:fldChar w:fldCharType="separate"/>
          </w:r>
          <w:r w:rsidR="00D316D5" w:rsidRPr="00D316D5">
            <w:rPr>
              <w:rFonts w:ascii="Times New Roman" w:hAnsi="Times New Roman" w:cs="Times New Roman"/>
              <w:noProof/>
              <w:sz w:val="24"/>
              <w:szCs w:val="24"/>
            </w:rPr>
            <w:t>(DeZoort &amp; Harrison, 2008)</w:t>
          </w:r>
          <w:r w:rsidR="00D316D5">
            <w:rPr>
              <w:rFonts w:ascii="Times New Roman" w:hAnsi="Times New Roman" w:cs="Times New Roman"/>
              <w:sz w:val="24"/>
              <w:szCs w:val="24"/>
            </w:rPr>
            <w:fldChar w:fldCharType="end"/>
          </w:r>
        </w:sdtContent>
      </w:sdt>
      <w:r w:rsidR="00E3512B" w:rsidRPr="00E3512B">
        <w:rPr>
          <w:rFonts w:ascii="Times New Roman" w:hAnsi="Times New Roman" w:cs="Times New Roman"/>
          <w:sz w:val="24"/>
          <w:szCs w:val="24"/>
        </w:rPr>
        <w:t xml:space="preserve">. Thus, the management of the company has a usual internal effort to ensure the existence of appropriate </w:t>
      </w:r>
      <w:r w:rsidR="00E3512B" w:rsidRPr="00E3512B">
        <w:rPr>
          <w:rFonts w:ascii="Times New Roman" w:hAnsi="Times New Roman" w:cs="Times New Roman"/>
          <w:sz w:val="24"/>
          <w:szCs w:val="24"/>
        </w:rPr>
        <w:lastRenderedPageBreak/>
        <w:t xml:space="preserve">internal control and reporting system. The study of </w:t>
      </w:r>
      <w:proofErr w:type="spellStart"/>
      <w:r w:rsidR="00E3512B" w:rsidRPr="00E3512B">
        <w:rPr>
          <w:rFonts w:ascii="Times New Roman" w:hAnsi="Times New Roman" w:cs="Times New Roman"/>
          <w:sz w:val="24"/>
          <w:szCs w:val="24"/>
        </w:rPr>
        <w:t>Ryu</w:t>
      </w:r>
      <w:proofErr w:type="spellEnd"/>
      <w:r w:rsidR="00E3512B" w:rsidRPr="00E3512B">
        <w:rPr>
          <w:rFonts w:ascii="Times New Roman" w:hAnsi="Times New Roman" w:cs="Times New Roman"/>
          <w:sz w:val="24"/>
          <w:szCs w:val="24"/>
        </w:rPr>
        <w:t xml:space="preserve">, </w:t>
      </w:r>
      <w:proofErr w:type="spellStart"/>
      <w:r w:rsidR="00E3512B" w:rsidRPr="00E3512B">
        <w:rPr>
          <w:rFonts w:ascii="Times New Roman" w:hAnsi="Times New Roman" w:cs="Times New Roman"/>
          <w:sz w:val="24"/>
          <w:szCs w:val="24"/>
        </w:rPr>
        <w:t>Uliss</w:t>
      </w:r>
      <w:proofErr w:type="spellEnd"/>
      <w:r w:rsidR="00E3512B" w:rsidRPr="00E3512B">
        <w:rPr>
          <w:rFonts w:ascii="Times New Roman" w:hAnsi="Times New Roman" w:cs="Times New Roman"/>
          <w:sz w:val="24"/>
          <w:szCs w:val="24"/>
        </w:rPr>
        <w:t xml:space="preserve">, and </w:t>
      </w:r>
      <w:proofErr w:type="spellStart"/>
      <w:r w:rsidR="00E3512B" w:rsidRPr="00E3512B">
        <w:rPr>
          <w:rFonts w:ascii="Times New Roman" w:hAnsi="Times New Roman" w:cs="Times New Roman"/>
          <w:sz w:val="24"/>
          <w:szCs w:val="24"/>
        </w:rPr>
        <w:t>Roh</w:t>
      </w:r>
      <w:proofErr w:type="spellEnd"/>
      <w:r w:rsidR="00E3512B" w:rsidRPr="00E3512B">
        <w:rPr>
          <w:rFonts w:ascii="Times New Roman" w:hAnsi="Times New Roman" w:cs="Times New Roman"/>
          <w:sz w:val="24"/>
          <w:szCs w:val="24"/>
        </w:rPr>
        <w:t xml:space="preserve"> (2012) pointed out that the corporate governance and internal control system of the companies have been improved substantially in the post-SOX period.</w:t>
      </w:r>
    </w:p>
    <w:p w:rsidR="002C2372"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316D5" w:rsidRPr="00D316D5">
        <w:rPr>
          <w:rFonts w:ascii="Times New Roman" w:eastAsia="Times New Roman" w:hAnsi="Times New Roman" w:cs="Times New Roman"/>
          <w:sz w:val="24"/>
          <w:szCs w:val="24"/>
        </w:rPr>
        <w:t>SOX requires CEO and CFO of the company to certify that the financial statements of the company is fairly presented, reviewed by the management, and are free from misleading information</w:t>
      </w:r>
      <w:r w:rsidR="00D316D5">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60630142"/>
          <w:citation/>
        </w:sdtPr>
        <w:sdtContent>
          <w:r w:rsidR="00D316D5">
            <w:rPr>
              <w:rFonts w:ascii="Times New Roman" w:eastAsia="Times New Roman" w:hAnsi="Times New Roman" w:cs="Times New Roman"/>
              <w:sz w:val="24"/>
              <w:szCs w:val="24"/>
            </w:rPr>
            <w:fldChar w:fldCharType="begin"/>
          </w:r>
          <w:r w:rsidR="00D316D5">
            <w:rPr>
              <w:rFonts w:ascii="Times New Roman" w:eastAsia="Times New Roman" w:hAnsi="Times New Roman" w:cs="Times New Roman"/>
              <w:sz w:val="24"/>
              <w:szCs w:val="24"/>
            </w:rPr>
            <w:instrText xml:space="preserve"> CITATION Law13 \l 1033 </w:instrText>
          </w:r>
          <w:r w:rsidR="00D316D5">
            <w:rPr>
              <w:rFonts w:ascii="Times New Roman" w:eastAsia="Times New Roman" w:hAnsi="Times New Roman" w:cs="Times New Roman"/>
              <w:sz w:val="24"/>
              <w:szCs w:val="24"/>
            </w:rPr>
            <w:fldChar w:fldCharType="separate"/>
          </w:r>
          <w:r w:rsidR="00D316D5" w:rsidRPr="00D316D5">
            <w:rPr>
              <w:rFonts w:ascii="Times New Roman" w:eastAsia="Times New Roman" w:hAnsi="Times New Roman" w:cs="Times New Roman"/>
              <w:noProof/>
              <w:sz w:val="24"/>
              <w:szCs w:val="24"/>
            </w:rPr>
            <w:t>(Chui &amp; Pike, 2013)</w:t>
          </w:r>
          <w:r w:rsidR="00D316D5">
            <w:rPr>
              <w:rFonts w:ascii="Times New Roman" w:eastAsia="Times New Roman" w:hAnsi="Times New Roman" w:cs="Times New Roman"/>
              <w:sz w:val="24"/>
              <w:szCs w:val="24"/>
            </w:rPr>
            <w:fldChar w:fldCharType="end"/>
          </w:r>
        </w:sdtContent>
      </w:sdt>
      <w:r w:rsidR="00D316D5" w:rsidRPr="00D316D5">
        <w:rPr>
          <w:rFonts w:ascii="Times New Roman" w:eastAsia="Times New Roman" w:hAnsi="Times New Roman" w:cs="Times New Roman"/>
          <w:sz w:val="24"/>
          <w:szCs w:val="24"/>
        </w:rPr>
        <w:t xml:space="preserve">. The wrong opinion with respect to this the CEO and CFO of the company can be held responsible and punished. Due to this, the tendency of the top level management to engage in fraud and provide misleading information has decreased substantially. The study of </w:t>
      </w:r>
      <w:proofErr w:type="spellStart"/>
      <w:r w:rsidR="00D316D5" w:rsidRPr="00D316D5">
        <w:rPr>
          <w:rFonts w:ascii="Times New Roman" w:eastAsia="Times New Roman" w:hAnsi="Times New Roman" w:cs="Times New Roman"/>
          <w:sz w:val="24"/>
          <w:szCs w:val="24"/>
        </w:rPr>
        <w:t>Ryu</w:t>
      </w:r>
      <w:proofErr w:type="spellEnd"/>
      <w:r w:rsidR="00D316D5" w:rsidRPr="00D316D5">
        <w:rPr>
          <w:rFonts w:ascii="Times New Roman" w:eastAsia="Times New Roman" w:hAnsi="Times New Roman" w:cs="Times New Roman"/>
          <w:sz w:val="24"/>
          <w:szCs w:val="24"/>
        </w:rPr>
        <w:t xml:space="preserve">, </w:t>
      </w:r>
      <w:proofErr w:type="spellStart"/>
      <w:r w:rsidR="00D316D5" w:rsidRPr="00D316D5">
        <w:rPr>
          <w:rFonts w:ascii="Times New Roman" w:eastAsia="Times New Roman" w:hAnsi="Times New Roman" w:cs="Times New Roman"/>
          <w:sz w:val="24"/>
          <w:szCs w:val="24"/>
        </w:rPr>
        <w:t>Uliss</w:t>
      </w:r>
      <w:proofErr w:type="spellEnd"/>
      <w:r w:rsidR="00D316D5" w:rsidRPr="00D316D5">
        <w:rPr>
          <w:rFonts w:ascii="Times New Roman" w:eastAsia="Times New Roman" w:hAnsi="Times New Roman" w:cs="Times New Roman"/>
          <w:sz w:val="24"/>
          <w:szCs w:val="24"/>
        </w:rPr>
        <w:t xml:space="preserve">, and </w:t>
      </w:r>
      <w:proofErr w:type="spellStart"/>
      <w:r w:rsidR="00D316D5" w:rsidRPr="00D316D5">
        <w:rPr>
          <w:rFonts w:ascii="Times New Roman" w:eastAsia="Times New Roman" w:hAnsi="Times New Roman" w:cs="Times New Roman"/>
          <w:sz w:val="24"/>
          <w:szCs w:val="24"/>
        </w:rPr>
        <w:t>Roh</w:t>
      </w:r>
      <w:proofErr w:type="spellEnd"/>
      <w:r w:rsidR="00D316D5" w:rsidRPr="00D316D5">
        <w:rPr>
          <w:rFonts w:ascii="Times New Roman" w:eastAsia="Times New Roman" w:hAnsi="Times New Roman" w:cs="Times New Roman"/>
          <w:sz w:val="24"/>
          <w:szCs w:val="24"/>
        </w:rPr>
        <w:t xml:space="preserve"> (2012) pointed out that the share prices of the companies have increased due to observed high transparency in reporting by the companies.</w:t>
      </w:r>
    </w:p>
    <w:p w:rsidR="001B2877"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D316D5" w:rsidRPr="00D316D5">
        <w:rPr>
          <w:rFonts w:ascii="Times New Roman" w:hAnsi="Times New Roman" w:cs="Times New Roman"/>
          <w:sz w:val="24"/>
          <w:szCs w:val="24"/>
        </w:rPr>
        <w:t xml:space="preserve"> The SOX requires for each public company to have an internal audit committee that will oversee and govern the integrity and accuracy of the financial reporting system within the organization. The audit committee will oversee the activities of both- internal and external audit committee. Due to this, both- internal auditors and external auditors become keen in the detection of misstatement and fraud in financial reporting.</w:t>
      </w:r>
    </w:p>
    <w:p w:rsidR="001B2877"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D316D5" w:rsidRPr="00D316D5">
        <w:rPr>
          <w:rFonts w:ascii="Times New Roman" w:eastAsia="Times New Roman" w:hAnsi="Times New Roman" w:cs="Times New Roman"/>
          <w:color w:val="000000"/>
          <w:sz w:val="24"/>
          <w:szCs w:val="24"/>
        </w:rPr>
        <w:t xml:space="preserve"> SOX has provisions to punish the executives who perpetrate frauds. The provision of the punishment reduces the risk of fraudulent activities by the officials of the companies and misleading reporting substantially</w:t>
      </w:r>
      <w:r w:rsidR="00D316D5">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2146224917"/>
          <w:citation/>
        </w:sdtPr>
        <w:sdtContent>
          <w:r w:rsidR="00D316D5">
            <w:rPr>
              <w:rFonts w:ascii="Times New Roman" w:eastAsia="Times New Roman" w:hAnsi="Times New Roman" w:cs="Times New Roman"/>
              <w:color w:val="000000"/>
              <w:sz w:val="24"/>
              <w:szCs w:val="24"/>
            </w:rPr>
            <w:fldChar w:fldCharType="begin"/>
          </w:r>
          <w:r w:rsidR="00D316D5">
            <w:rPr>
              <w:rFonts w:ascii="Times New Roman" w:eastAsia="Times New Roman" w:hAnsi="Times New Roman" w:cs="Times New Roman"/>
              <w:color w:val="000000"/>
              <w:sz w:val="24"/>
              <w:szCs w:val="24"/>
            </w:rPr>
            <w:instrText xml:space="preserve"> CITATION Tod08 \l 1033 </w:instrText>
          </w:r>
          <w:r w:rsidR="00D316D5">
            <w:rPr>
              <w:rFonts w:ascii="Times New Roman" w:eastAsia="Times New Roman" w:hAnsi="Times New Roman" w:cs="Times New Roman"/>
              <w:color w:val="000000"/>
              <w:sz w:val="24"/>
              <w:szCs w:val="24"/>
            </w:rPr>
            <w:fldChar w:fldCharType="separate"/>
          </w:r>
          <w:r w:rsidR="00D316D5" w:rsidRPr="00D316D5">
            <w:rPr>
              <w:rFonts w:ascii="Times New Roman" w:eastAsia="Times New Roman" w:hAnsi="Times New Roman" w:cs="Times New Roman"/>
              <w:noProof/>
              <w:color w:val="000000"/>
              <w:sz w:val="24"/>
              <w:szCs w:val="24"/>
            </w:rPr>
            <w:t>(DeZoort &amp; Harrison, 2008)</w:t>
          </w:r>
          <w:r w:rsidR="00D316D5">
            <w:rPr>
              <w:rFonts w:ascii="Times New Roman" w:eastAsia="Times New Roman" w:hAnsi="Times New Roman" w:cs="Times New Roman"/>
              <w:color w:val="000000"/>
              <w:sz w:val="24"/>
              <w:szCs w:val="24"/>
            </w:rPr>
            <w:fldChar w:fldCharType="end"/>
          </w:r>
        </w:sdtContent>
      </w:sdt>
      <w:r w:rsidR="00D316D5" w:rsidRPr="00D316D5">
        <w:rPr>
          <w:rFonts w:ascii="Times New Roman" w:eastAsia="Times New Roman" w:hAnsi="Times New Roman" w:cs="Times New Roman"/>
          <w:color w:val="000000"/>
          <w:sz w:val="24"/>
          <w:szCs w:val="24"/>
        </w:rPr>
        <w:t xml:space="preserve">. The study of </w:t>
      </w:r>
      <w:proofErr w:type="spellStart"/>
      <w:r w:rsidR="00D316D5" w:rsidRPr="00D316D5">
        <w:rPr>
          <w:rFonts w:ascii="Times New Roman" w:eastAsia="Times New Roman" w:hAnsi="Times New Roman" w:cs="Times New Roman"/>
          <w:color w:val="000000"/>
          <w:sz w:val="24"/>
          <w:szCs w:val="24"/>
        </w:rPr>
        <w:t>Ryu</w:t>
      </w:r>
      <w:proofErr w:type="spellEnd"/>
      <w:r w:rsidR="00D316D5" w:rsidRPr="00D316D5">
        <w:rPr>
          <w:rFonts w:ascii="Times New Roman" w:eastAsia="Times New Roman" w:hAnsi="Times New Roman" w:cs="Times New Roman"/>
          <w:color w:val="000000"/>
          <w:sz w:val="24"/>
          <w:szCs w:val="24"/>
        </w:rPr>
        <w:t xml:space="preserve">, </w:t>
      </w:r>
      <w:proofErr w:type="spellStart"/>
      <w:r w:rsidR="00D316D5" w:rsidRPr="00D316D5">
        <w:rPr>
          <w:rFonts w:ascii="Times New Roman" w:eastAsia="Times New Roman" w:hAnsi="Times New Roman" w:cs="Times New Roman"/>
          <w:color w:val="000000"/>
          <w:sz w:val="24"/>
          <w:szCs w:val="24"/>
        </w:rPr>
        <w:t>Uliss</w:t>
      </w:r>
      <w:proofErr w:type="spellEnd"/>
      <w:r w:rsidR="00D316D5" w:rsidRPr="00D316D5">
        <w:rPr>
          <w:rFonts w:ascii="Times New Roman" w:eastAsia="Times New Roman" w:hAnsi="Times New Roman" w:cs="Times New Roman"/>
          <w:color w:val="000000"/>
          <w:sz w:val="24"/>
          <w:szCs w:val="24"/>
        </w:rPr>
        <w:t xml:space="preserve">, and </w:t>
      </w:r>
      <w:proofErr w:type="spellStart"/>
      <w:r w:rsidR="00D316D5" w:rsidRPr="00D316D5">
        <w:rPr>
          <w:rFonts w:ascii="Times New Roman" w:eastAsia="Times New Roman" w:hAnsi="Times New Roman" w:cs="Times New Roman"/>
          <w:color w:val="000000"/>
          <w:sz w:val="24"/>
          <w:szCs w:val="24"/>
        </w:rPr>
        <w:t>Roh</w:t>
      </w:r>
      <w:proofErr w:type="spellEnd"/>
      <w:r w:rsidR="00D316D5" w:rsidRPr="00D316D5">
        <w:rPr>
          <w:rFonts w:ascii="Times New Roman" w:eastAsia="Times New Roman" w:hAnsi="Times New Roman" w:cs="Times New Roman"/>
          <w:color w:val="000000"/>
          <w:sz w:val="24"/>
          <w:szCs w:val="24"/>
        </w:rPr>
        <w:t xml:space="preserve"> (2012) pointed out that in the pre-SOX period the accuracy rate of issuing audit opinion was 44.4%, and in the post-SOX period the accuracy rate of issuing audit opinion was 51.9%. From the result, it is apparent that SOX has the important contribution to the improvement of making accurate audit opinions by the CPA firms that are somewhat attributed to the low risk of internal fraud along with others.</w:t>
      </w:r>
    </w:p>
    <w:p w:rsidR="00653B7D" w:rsidRPr="00653B7D" w:rsidRDefault="00653B7D" w:rsidP="00653B7D">
      <w:pPr>
        <w:spacing w:after="0" w:line="480" w:lineRule="auto"/>
        <w:rPr>
          <w:rFonts w:ascii="Times New Roman" w:eastAsia="Times New Roman" w:hAnsi="Times New Roman" w:cs="Times New Roman"/>
          <w:sz w:val="6"/>
          <w:szCs w:val="6"/>
        </w:rPr>
      </w:pPr>
    </w:p>
    <w:p w:rsidR="007C0C40" w:rsidRPr="00653B7D" w:rsidRDefault="007C0C40" w:rsidP="00653B7D">
      <w:pPr>
        <w:spacing w:after="0" w:line="480" w:lineRule="auto"/>
        <w:rPr>
          <w:rFonts w:ascii="Times New Roman" w:hAnsi="Times New Roman" w:cs="Times New Roman"/>
          <w:b/>
          <w:sz w:val="24"/>
          <w:szCs w:val="24"/>
        </w:rPr>
      </w:pPr>
      <w:r w:rsidRPr="00653B7D">
        <w:rPr>
          <w:rFonts w:ascii="Times New Roman" w:hAnsi="Times New Roman" w:cs="Times New Roman"/>
          <w:b/>
          <w:sz w:val="24"/>
          <w:szCs w:val="24"/>
        </w:rPr>
        <w:lastRenderedPageBreak/>
        <w:t>Requirements and Responsibilities of the Auditors</w:t>
      </w:r>
    </w:p>
    <w:p w:rsidR="007C0C40" w:rsidRPr="00653B7D" w:rsidRDefault="00653B7D" w:rsidP="00653B7D">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           </w:t>
      </w:r>
      <w:r w:rsidR="009977CE" w:rsidRPr="009977CE">
        <w:rPr>
          <w:rFonts w:ascii="Times New Roman" w:eastAsia="Times New Roman" w:hAnsi="Times New Roman" w:cs="Times New Roman"/>
          <w:sz w:val="24"/>
          <w:szCs w:val="24"/>
        </w:rPr>
        <w:t xml:space="preserve">The SOX has made the preliminary risk assessment and acceptance of the engagement procedure more rigorous as the auditors can be charged for any detected frauds later on. The audit firms are now very keen with respect to acceptance of audit client with the high risk that increases the risk of the inappropriate audit opinion. The issue of suspected fraud is a major consideration in the acceptance of engagement decision as high risk or fraud goes with the high risk of inappropriate audit opinion in hand to hand. When the risk of internal fraud is high, the audit procedures are made more rigorous and frauds are tried to detect. </w:t>
      </w:r>
      <w:r w:rsidR="00F6028A" w:rsidRPr="00653B7D">
        <w:rPr>
          <w:rFonts w:ascii="Times New Roman" w:eastAsia="Times New Roman" w:hAnsi="Times New Roman" w:cs="Times New Roman"/>
          <w:color w:val="000000"/>
          <w:sz w:val="24"/>
          <w:szCs w:val="24"/>
        </w:rPr>
        <w:t xml:space="preserve"> </w:t>
      </w:r>
    </w:p>
    <w:p w:rsidR="00F6028A"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F6028A" w:rsidRPr="00653B7D">
        <w:rPr>
          <w:rFonts w:ascii="Times New Roman" w:hAnsi="Times New Roman" w:cs="Times New Roman"/>
          <w:sz w:val="24"/>
          <w:szCs w:val="24"/>
        </w:rPr>
        <w:t>After the introduction of the SOX, the auditors cannot be too close to the management of the company. Thus, the possibility of fraud by the management of the companies in association with the auditors has been reduced. Under the act, the auditor cannot assist in creating new procedures or guidelines for the company. They must maintain a professional distance and can only offer opinions and assessments of current systems.</w:t>
      </w:r>
    </w:p>
    <w:p w:rsidR="001B2877" w:rsidRPr="00653B7D" w:rsidRDefault="00653B7D" w:rsidP="00653B7D">
      <w:pPr>
        <w:shd w:val="clear" w:color="auto" w:fill="FFFFFF"/>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C43D68" w:rsidRPr="00653B7D">
        <w:rPr>
          <w:rFonts w:ascii="Times New Roman" w:eastAsia="Times New Roman" w:hAnsi="Times New Roman" w:cs="Times New Roman"/>
          <w:color w:val="000000"/>
          <w:sz w:val="24"/>
          <w:szCs w:val="24"/>
        </w:rPr>
        <w:t xml:space="preserve">The SOX requires the auditors to audit </w:t>
      </w:r>
      <w:r w:rsidR="00C43D68" w:rsidRPr="00653B7D">
        <w:rPr>
          <w:rFonts w:ascii="Times New Roman" w:hAnsi="Times New Roman" w:cs="Times New Roman"/>
          <w:sz w:val="24"/>
          <w:szCs w:val="24"/>
        </w:rPr>
        <w:t>internal controls and procedures designed for the financial reporting using control framework such as COBIT</w:t>
      </w:r>
      <w:r w:rsidR="00C43D68" w:rsidRPr="00653B7D">
        <w:rPr>
          <w:rStyle w:val="FootnoteReference"/>
          <w:rFonts w:ascii="Times New Roman" w:hAnsi="Times New Roman" w:cs="Times New Roman"/>
          <w:sz w:val="24"/>
          <w:szCs w:val="24"/>
        </w:rPr>
        <w:footnoteReference w:id="1"/>
      </w:r>
      <w:r w:rsidR="00C43D68" w:rsidRPr="00653B7D">
        <w:rPr>
          <w:rFonts w:ascii="Times New Roman" w:hAnsi="Times New Roman" w:cs="Times New Roman"/>
          <w:sz w:val="24"/>
          <w:szCs w:val="24"/>
        </w:rPr>
        <w:t xml:space="preserve">. Auditors require to gain an understanding of the internal controls and procedures of the clients, and test internal controls and procedures for compliance to SOX requirements. Auditors require to carefully concentrate and review large or unusual transactions occurring outside the normal business scope. Auditors also require to ensure existence or placing of proper and effective internal controls and procedures to deter likely possibilities of fraudulent activities. </w:t>
      </w:r>
    </w:p>
    <w:p w:rsidR="007C0C40"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F1A66" w:rsidRPr="00653B7D">
        <w:rPr>
          <w:rFonts w:ascii="Times New Roman" w:eastAsia="Times New Roman" w:hAnsi="Times New Roman" w:cs="Times New Roman"/>
          <w:sz w:val="24"/>
          <w:szCs w:val="24"/>
        </w:rPr>
        <w:t>As per section 205 of SOX</w:t>
      </w:r>
      <w:r w:rsidR="00DF1A66" w:rsidRPr="00653B7D">
        <w:rPr>
          <w:rFonts w:ascii="Times New Roman" w:hAnsi="Times New Roman" w:cs="Times New Roman"/>
          <w:sz w:val="24"/>
          <w:szCs w:val="24"/>
        </w:rPr>
        <w:t xml:space="preserve">, auditors require to communicate with respect to the existence &amp; efficiency of the </w:t>
      </w:r>
      <w:r w:rsidR="00DF1A66" w:rsidRPr="00653B7D">
        <w:rPr>
          <w:rFonts w:ascii="Times New Roman" w:eastAsia="Times New Roman" w:hAnsi="Times New Roman" w:cs="Times New Roman"/>
          <w:sz w:val="24"/>
          <w:szCs w:val="24"/>
        </w:rPr>
        <w:t xml:space="preserve">internal control system for appropriate and accurate financial system and </w:t>
      </w:r>
      <w:r w:rsidR="00DF1A66" w:rsidRPr="00653B7D">
        <w:rPr>
          <w:rFonts w:ascii="Times New Roman" w:eastAsia="Times New Roman" w:hAnsi="Times New Roman" w:cs="Times New Roman"/>
          <w:sz w:val="24"/>
          <w:szCs w:val="24"/>
        </w:rPr>
        <w:lastRenderedPageBreak/>
        <w:t xml:space="preserve">reporting, significant accounting policies, and suspected or actual frauds. Based on the communication suspected or actual frauds, the appropriate actions are triggered by the management of the company.  </w:t>
      </w:r>
    </w:p>
    <w:p w:rsidR="002F3500" w:rsidRDefault="002F3500" w:rsidP="009362AD">
      <w:pPr>
        <w:shd w:val="clear" w:color="auto" w:fill="FFFFFF"/>
        <w:spacing w:after="0" w:line="240" w:lineRule="auto"/>
        <w:rPr>
          <w:rFonts w:ascii="Times New Roman" w:eastAsia="Times New Roman" w:hAnsi="Times New Roman" w:cs="Times New Roman"/>
          <w:color w:val="000000"/>
          <w:sz w:val="24"/>
          <w:szCs w:val="24"/>
        </w:rPr>
      </w:pPr>
    </w:p>
    <w:p w:rsidR="00653B7D" w:rsidRDefault="00653B7D" w:rsidP="009362AD">
      <w:pPr>
        <w:shd w:val="clear" w:color="auto" w:fill="FFFFFF"/>
        <w:spacing w:after="0" w:line="240" w:lineRule="auto"/>
        <w:rPr>
          <w:rFonts w:ascii="Times New Roman" w:eastAsia="Times New Roman" w:hAnsi="Times New Roman" w:cs="Times New Roman"/>
          <w:color w:val="000000"/>
          <w:sz w:val="24"/>
          <w:szCs w:val="24"/>
        </w:rPr>
      </w:pPr>
    </w:p>
    <w:p w:rsidR="00A5623A" w:rsidRPr="00653B7D" w:rsidRDefault="001B2877" w:rsidP="00653B7D">
      <w:pPr>
        <w:pStyle w:val="Heading2"/>
        <w:rPr>
          <w:rFonts w:ascii="Times New Roman" w:hAnsi="Times New Roman" w:cs="Times New Roman"/>
          <w:sz w:val="24"/>
          <w:szCs w:val="24"/>
        </w:rPr>
      </w:pPr>
      <w:bookmarkStart w:id="5" w:name="_Toc464310196"/>
      <w:r w:rsidRPr="00653B7D">
        <w:rPr>
          <w:rFonts w:ascii="Times New Roman" w:hAnsi="Times New Roman" w:cs="Times New Roman"/>
          <w:sz w:val="24"/>
          <w:szCs w:val="24"/>
        </w:rPr>
        <w:t>Investigation of the public companies under the Sarbanes- Oxley Act 2002</w:t>
      </w:r>
      <w:bookmarkEnd w:id="5"/>
    </w:p>
    <w:p w:rsidR="00653B7D" w:rsidRDefault="00653B7D" w:rsidP="00E61FC9"/>
    <w:p w:rsidR="00A5623A" w:rsidRPr="00653B7D" w:rsidRDefault="00653B7D" w:rsidP="00653B7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9977CE" w:rsidRPr="009977CE">
        <w:rPr>
          <w:rFonts w:ascii="Times New Roman" w:hAnsi="Times New Roman" w:cs="Times New Roman"/>
          <w:sz w:val="24"/>
          <w:szCs w:val="24"/>
        </w:rPr>
        <w:t xml:space="preserve">Fraud cannot be eliminated completely. But steps should be undertaken to minimize the likelihood of fraud events in consideration of its consequence. Under the requirement of SOX, the audit firm now requires being more concerned about the issue of fraud occurred within the entity. SOX through its extended requirements has effectively blended of auditor's consideration of fraud into audit the whole audit process- from the audit engagement acceptance to final review and opinion (RAMOS, 2003). A thorough investigation is performed by the auditor to investigate the fraud and find the misstatements in financial statements caused by fraud. The issues emphasized by the auditors in the investigation of fraud during the time of audit in the public companies are as follows. </w:t>
      </w:r>
      <w:r w:rsidR="00F458E1" w:rsidRPr="00653B7D">
        <w:rPr>
          <w:rFonts w:ascii="Times New Roman" w:hAnsi="Times New Roman" w:cs="Times New Roman"/>
          <w:sz w:val="24"/>
          <w:szCs w:val="24"/>
        </w:rPr>
        <w:t xml:space="preserve"> </w:t>
      </w:r>
    </w:p>
    <w:p w:rsidR="009977CE" w:rsidRPr="009977CE" w:rsidRDefault="00653B7D" w:rsidP="009977CE">
      <w:pPr>
        <w:spacing w:after="0" w:line="480" w:lineRule="auto"/>
        <w:rPr>
          <w:rFonts w:ascii="Times New Roman" w:hAnsi="Times New Roman" w:cs="Times New Roman"/>
          <w:sz w:val="24"/>
          <w:szCs w:val="24"/>
        </w:rPr>
      </w:pPr>
      <w:r>
        <w:rPr>
          <w:rFonts w:ascii="Times New Roman" w:hAnsi="Times New Roman" w:cs="Times New Roman"/>
          <w:b/>
          <w:sz w:val="24"/>
          <w:szCs w:val="24"/>
        </w:rPr>
        <w:t xml:space="preserve">           </w:t>
      </w:r>
      <w:r w:rsidR="00F458E1" w:rsidRPr="00653B7D">
        <w:rPr>
          <w:rFonts w:ascii="Times New Roman" w:hAnsi="Times New Roman" w:cs="Times New Roman"/>
          <w:b/>
          <w:sz w:val="24"/>
          <w:szCs w:val="24"/>
        </w:rPr>
        <w:t xml:space="preserve">Holding the Mind of Professional Skepticism: </w:t>
      </w:r>
      <w:r w:rsidR="009977CE" w:rsidRPr="009977CE">
        <w:rPr>
          <w:rFonts w:ascii="Times New Roman" w:hAnsi="Times New Roman" w:cs="Times New Roman"/>
          <w:sz w:val="24"/>
          <w:szCs w:val="24"/>
        </w:rPr>
        <w:t>Holding the Mind of Professional Skepticism: For the investigation of the fraud, the auditors tend to bear high professional skepticism Professional Skepticism: An attitude of questioning mind, and assessing of audit evidence very critically (</w:t>
      </w:r>
      <w:proofErr w:type="spellStart"/>
      <w:r w:rsidR="009977CE" w:rsidRPr="009977CE">
        <w:rPr>
          <w:rFonts w:ascii="Times New Roman" w:hAnsi="Times New Roman" w:cs="Times New Roman"/>
          <w:sz w:val="24"/>
          <w:szCs w:val="24"/>
        </w:rPr>
        <w:t>Puncel</w:t>
      </w:r>
      <w:proofErr w:type="spellEnd"/>
      <w:r w:rsidR="009977CE" w:rsidRPr="009977CE">
        <w:rPr>
          <w:rFonts w:ascii="Times New Roman" w:hAnsi="Times New Roman" w:cs="Times New Roman"/>
          <w:sz w:val="24"/>
          <w:szCs w:val="24"/>
        </w:rPr>
        <w:t xml:space="preserve">, 2008). </w:t>
      </w:r>
    </w:p>
    <w:p w:rsidR="00F458E1" w:rsidRPr="00653B7D" w:rsidRDefault="009977CE" w:rsidP="009977CE">
      <w:pPr>
        <w:spacing w:after="0" w:line="480" w:lineRule="auto"/>
        <w:rPr>
          <w:rFonts w:ascii="Times New Roman" w:eastAsia="Times New Roman" w:hAnsi="Times New Roman" w:cs="Times New Roman"/>
          <w:sz w:val="24"/>
          <w:szCs w:val="24"/>
        </w:rPr>
      </w:pPr>
      <w:r w:rsidRPr="009977CE">
        <w:rPr>
          <w:rFonts w:ascii="Times New Roman" w:hAnsi="Times New Roman" w:cs="Times New Roman"/>
          <w:sz w:val="24"/>
          <w:szCs w:val="24"/>
        </w:rPr>
        <w:t xml:space="preserve"> </w:t>
      </w:r>
      <w:proofErr w:type="gramStart"/>
      <w:r w:rsidRPr="009977CE">
        <w:rPr>
          <w:rFonts w:ascii="Times New Roman" w:hAnsi="Times New Roman" w:cs="Times New Roman"/>
          <w:sz w:val="24"/>
          <w:szCs w:val="24"/>
        </w:rPr>
        <w:t>during</w:t>
      </w:r>
      <w:proofErr w:type="gramEnd"/>
      <w:r w:rsidRPr="009977CE">
        <w:rPr>
          <w:rFonts w:ascii="Times New Roman" w:hAnsi="Times New Roman" w:cs="Times New Roman"/>
          <w:sz w:val="24"/>
          <w:szCs w:val="24"/>
        </w:rPr>
        <w:t xml:space="preserve"> the course of the audit. The practice of professional is crucial in consideration of the risk of material misstatement due to fraud (Spencer, 2014). Auditors should perform the engagement having a mindset that the possibility of material misstatements due to fraud may present regardless of the belief regarding honesty &amp; integrity of the management and any past experience </w:t>
      </w:r>
      <w:r w:rsidRPr="009977CE">
        <w:rPr>
          <w:rFonts w:ascii="Times New Roman" w:hAnsi="Times New Roman" w:cs="Times New Roman"/>
          <w:sz w:val="24"/>
          <w:szCs w:val="24"/>
        </w:rPr>
        <w:lastRenderedPageBreak/>
        <w:t>with the entity. It enables to engage in ongoing questioning any little clue or evidence is obtained suggesting material misstatements may have occurred due to fraud.</w:t>
      </w:r>
      <w:r w:rsidR="00F458E1" w:rsidRPr="00653B7D">
        <w:rPr>
          <w:rFonts w:ascii="Times New Roman" w:eastAsia="Times New Roman" w:hAnsi="Times New Roman" w:cs="Times New Roman"/>
          <w:sz w:val="24"/>
          <w:szCs w:val="24"/>
        </w:rPr>
        <w:t xml:space="preserve"> </w:t>
      </w:r>
    </w:p>
    <w:p w:rsidR="001B05ED" w:rsidRPr="00653B7D" w:rsidRDefault="00653B7D" w:rsidP="00653B7D">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           </w:t>
      </w:r>
      <w:r w:rsidR="001B05ED" w:rsidRPr="00653B7D">
        <w:rPr>
          <w:rFonts w:ascii="Times New Roman" w:hAnsi="Times New Roman" w:cs="Times New Roman"/>
          <w:b/>
          <w:sz w:val="24"/>
          <w:szCs w:val="24"/>
        </w:rPr>
        <w:t xml:space="preserve">Inquiry to those in charge with the governance: </w:t>
      </w:r>
      <w:r w:rsidR="001B05ED" w:rsidRPr="00653B7D">
        <w:rPr>
          <w:rFonts w:ascii="Times New Roman" w:eastAsia="Times New Roman" w:hAnsi="Times New Roman" w:cs="Times New Roman"/>
          <w:sz w:val="24"/>
          <w:szCs w:val="24"/>
        </w:rPr>
        <w:t xml:space="preserve">The auditors now in an obligation to inquire </w:t>
      </w:r>
      <w:r w:rsidR="009977CE">
        <w:rPr>
          <w:rFonts w:ascii="Times New Roman" w:eastAsia="Times New Roman" w:hAnsi="Times New Roman" w:cs="Times New Roman"/>
          <w:sz w:val="24"/>
          <w:szCs w:val="24"/>
        </w:rPr>
        <w:t>in</w:t>
      </w:r>
      <w:r w:rsidR="001B05ED" w:rsidRPr="00653B7D">
        <w:rPr>
          <w:rFonts w:ascii="Times New Roman" w:eastAsia="Times New Roman" w:hAnsi="Times New Roman" w:cs="Times New Roman"/>
          <w:sz w:val="24"/>
          <w:szCs w:val="24"/>
        </w:rPr>
        <w:t>to the management, officials, and other parties of the entity to understand the risk of frauds, and detect frauds. Inquiries by the auditors can be made with respect to-</w:t>
      </w:r>
    </w:p>
    <w:p w:rsidR="001B05ED" w:rsidRPr="00653B7D" w:rsidRDefault="001B05ED" w:rsidP="00653B7D">
      <w:pPr>
        <w:pStyle w:val="ListParagraph"/>
        <w:numPr>
          <w:ilvl w:val="0"/>
          <w:numId w:val="5"/>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The presence of the fraud triangle characteristics.</w:t>
      </w:r>
    </w:p>
    <w:p w:rsidR="001B05ED" w:rsidRPr="00653B7D" w:rsidRDefault="001B05ED" w:rsidP="00653B7D">
      <w:pPr>
        <w:pStyle w:val="ListParagraph"/>
        <w:numPr>
          <w:ilvl w:val="0"/>
          <w:numId w:val="5"/>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The policies, procedures</w:t>
      </w:r>
      <w:r w:rsidR="009977CE">
        <w:rPr>
          <w:rFonts w:ascii="Times New Roman" w:eastAsia="Times New Roman" w:hAnsi="Times New Roman" w:cs="Times New Roman"/>
          <w:sz w:val="24"/>
          <w:szCs w:val="24"/>
        </w:rPr>
        <w:t>,</w:t>
      </w:r>
      <w:r w:rsidRPr="00653B7D">
        <w:rPr>
          <w:rFonts w:ascii="Times New Roman" w:eastAsia="Times New Roman" w:hAnsi="Times New Roman" w:cs="Times New Roman"/>
          <w:sz w:val="24"/>
          <w:szCs w:val="24"/>
        </w:rPr>
        <w:t xml:space="preserve"> and controls for </w:t>
      </w:r>
      <w:r w:rsidR="009977CE">
        <w:rPr>
          <w:rFonts w:ascii="Times New Roman" w:eastAsia="Times New Roman" w:hAnsi="Times New Roman" w:cs="Times New Roman"/>
          <w:sz w:val="24"/>
          <w:szCs w:val="24"/>
        </w:rPr>
        <w:t xml:space="preserve">the </w:t>
      </w:r>
      <w:r w:rsidRPr="00653B7D">
        <w:rPr>
          <w:rFonts w:ascii="Times New Roman" w:eastAsia="Times New Roman" w:hAnsi="Times New Roman" w:cs="Times New Roman"/>
          <w:sz w:val="24"/>
          <w:szCs w:val="24"/>
        </w:rPr>
        <w:t>accounting system.</w:t>
      </w:r>
    </w:p>
    <w:p w:rsidR="001B05ED" w:rsidRPr="00653B7D" w:rsidRDefault="001B05ED" w:rsidP="00653B7D">
      <w:pPr>
        <w:pStyle w:val="ListParagraph"/>
        <w:numPr>
          <w:ilvl w:val="0"/>
          <w:numId w:val="5"/>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The circumstances of overriding the internal control by the management.</w:t>
      </w:r>
    </w:p>
    <w:p w:rsidR="001B05ED" w:rsidRPr="00653B7D" w:rsidRDefault="001B05ED" w:rsidP="00653B7D">
      <w:pPr>
        <w:pStyle w:val="ListParagraph"/>
        <w:numPr>
          <w:ilvl w:val="0"/>
          <w:numId w:val="5"/>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noProof/>
          <w:sz w:val="24"/>
          <w:szCs w:val="24"/>
        </w:rPr>
        <w:t>The existence of</w:t>
      </w:r>
      <w:r w:rsidRPr="00653B7D">
        <w:rPr>
          <w:rFonts w:ascii="Times New Roman" w:eastAsia="Times New Roman" w:hAnsi="Times New Roman" w:cs="Times New Roman"/>
          <w:sz w:val="24"/>
          <w:szCs w:val="24"/>
        </w:rPr>
        <w:t xml:space="preserve"> significant and unusual transactions outside the normal course of business.</w:t>
      </w:r>
    </w:p>
    <w:p w:rsidR="008D166B"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8D166B" w:rsidRPr="00653B7D">
        <w:rPr>
          <w:rFonts w:ascii="Times New Roman" w:eastAsia="Times New Roman" w:hAnsi="Times New Roman" w:cs="Times New Roman"/>
          <w:b/>
          <w:bCs/>
          <w:sz w:val="24"/>
          <w:szCs w:val="24"/>
        </w:rPr>
        <w:t xml:space="preserve">Assessment of the risk of override of controls by the management: </w:t>
      </w:r>
      <w:r w:rsidR="008D166B" w:rsidRPr="00653B7D">
        <w:rPr>
          <w:rFonts w:ascii="Times New Roman" w:eastAsia="Times New Roman" w:hAnsi="Times New Roman" w:cs="Times New Roman"/>
          <w:sz w:val="24"/>
          <w:szCs w:val="24"/>
        </w:rPr>
        <w:t xml:space="preserve">Auditors is now very careful to the issue of </w:t>
      </w:r>
      <w:r w:rsidR="008D166B" w:rsidRPr="00653B7D">
        <w:rPr>
          <w:rFonts w:ascii="Times New Roman" w:eastAsia="Times New Roman" w:hAnsi="Times New Roman" w:cs="Times New Roman"/>
          <w:bCs/>
          <w:sz w:val="24"/>
          <w:szCs w:val="24"/>
        </w:rPr>
        <w:t>risk of override of controls by the management, and try to</w:t>
      </w:r>
      <w:r w:rsidR="008D166B" w:rsidRPr="00653B7D">
        <w:rPr>
          <w:rFonts w:ascii="Times New Roman" w:eastAsia="Times New Roman" w:hAnsi="Times New Roman" w:cs="Times New Roman"/>
          <w:sz w:val="24"/>
          <w:szCs w:val="24"/>
        </w:rPr>
        <w:t xml:space="preserve"> assess the risk override of internal control by the management. Internal personnel can perpetrate financial reporting frauds by overriding established control procedures and un</w:t>
      </w:r>
      <w:r w:rsidR="00BC39BB" w:rsidRPr="00653B7D">
        <w:rPr>
          <w:rFonts w:ascii="Times New Roman" w:eastAsia="Times New Roman" w:hAnsi="Times New Roman" w:cs="Times New Roman"/>
          <w:sz w:val="24"/>
          <w:szCs w:val="24"/>
        </w:rPr>
        <w:t xml:space="preserve">authorized </w:t>
      </w:r>
      <w:r w:rsidR="008D166B" w:rsidRPr="00653B7D">
        <w:rPr>
          <w:rFonts w:ascii="Times New Roman" w:eastAsia="Times New Roman" w:hAnsi="Times New Roman" w:cs="Times New Roman"/>
          <w:sz w:val="24"/>
          <w:szCs w:val="24"/>
        </w:rPr>
        <w:t>recording</w:t>
      </w:r>
      <w:r w:rsidR="00BC39BB" w:rsidRPr="00653B7D">
        <w:rPr>
          <w:rFonts w:ascii="Times New Roman" w:eastAsia="Times New Roman" w:hAnsi="Times New Roman" w:cs="Times New Roman"/>
          <w:sz w:val="24"/>
          <w:szCs w:val="24"/>
        </w:rPr>
        <w:t xml:space="preserve">. About 67% of the frauds occurred in the corporate business world are through the </w:t>
      </w:r>
      <w:r w:rsidR="00BC39BB" w:rsidRPr="00653B7D">
        <w:rPr>
          <w:rFonts w:ascii="Times New Roman" w:eastAsia="Times New Roman" w:hAnsi="Times New Roman" w:cs="Times New Roman"/>
          <w:bCs/>
          <w:sz w:val="24"/>
          <w:szCs w:val="24"/>
        </w:rPr>
        <w:t xml:space="preserve">override of controls by the management </w:t>
      </w:r>
      <w:sdt>
        <w:sdtPr>
          <w:rPr>
            <w:rFonts w:ascii="Times New Roman" w:eastAsia="Times New Roman" w:hAnsi="Times New Roman" w:cs="Times New Roman"/>
            <w:bCs/>
            <w:sz w:val="24"/>
            <w:szCs w:val="24"/>
          </w:rPr>
          <w:id w:val="846755328"/>
          <w:citation/>
        </w:sdtPr>
        <w:sdtEndPr/>
        <w:sdtContent>
          <w:r w:rsidR="00BC39BB" w:rsidRPr="00653B7D">
            <w:rPr>
              <w:rFonts w:ascii="Times New Roman" w:eastAsia="Times New Roman" w:hAnsi="Times New Roman" w:cs="Times New Roman"/>
              <w:bCs/>
              <w:sz w:val="24"/>
              <w:szCs w:val="24"/>
            </w:rPr>
            <w:fldChar w:fldCharType="begin"/>
          </w:r>
          <w:r w:rsidR="00BC39BB" w:rsidRPr="00653B7D">
            <w:rPr>
              <w:rFonts w:ascii="Times New Roman" w:eastAsia="Times New Roman" w:hAnsi="Times New Roman" w:cs="Times New Roman"/>
              <w:bCs/>
              <w:sz w:val="24"/>
              <w:szCs w:val="24"/>
            </w:rPr>
            <w:instrText xml:space="preserve"> CITATION MCC03 \l 1033 </w:instrText>
          </w:r>
          <w:r w:rsidR="00BC39BB" w:rsidRPr="00653B7D">
            <w:rPr>
              <w:rFonts w:ascii="Times New Roman" w:eastAsia="Times New Roman" w:hAnsi="Times New Roman" w:cs="Times New Roman"/>
              <w:bCs/>
              <w:sz w:val="24"/>
              <w:szCs w:val="24"/>
            </w:rPr>
            <w:fldChar w:fldCharType="separate"/>
          </w:r>
          <w:r w:rsidR="00BC39BB" w:rsidRPr="00653B7D">
            <w:rPr>
              <w:rFonts w:ascii="Times New Roman" w:eastAsia="Times New Roman" w:hAnsi="Times New Roman" w:cs="Times New Roman"/>
              <w:noProof/>
              <w:sz w:val="24"/>
              <w:szCs w:val="24"/>
            </w:rPr>
            <w:t>(MCCONNELL &amp; BANKS, 2003)</w:t>
          </w:r>
          <w:r w:rsidR="00BC39BB" w:rsidRPr="00653B7D">
            <w:rPr>
              <w:rFonts w:ascii="Times New Roman" w:eastAsia="Times New Roman" w:hAnsi="Times New Roman" w:cs="Times New Roman"/>
              <w:bCs/>
              <w:sz w:val="24"/>
              <w:szCs w:val="24"/>
            </w:rPr>
            <w:fldChar w:fldCharType="end"/>
          </w:r>
        </w:sdtContent>
      </w:sdt>
      <w:r w:rsidR="00BC39BB" w:rsidRPr="00653B7D">
        <w:rPr>
          <w:rFonts w:ascii="Times New Roman" w:eastAsia="Times New Roman" w:hAnsi="Times New Roman" w:cs="Times New Roman"/>
          <w:bCs/>
          <w:sz w:val="24"/>
          <w:szCs w:val="24"/>
        </w:rPr>
        <w:t xml:space="preserve">. </w:t>
      </w:r>
    </w:p>
    <w:p w:rsidR="000204FC" w:rsidRPr="00653B7D" w:rsidRDefault="00653B7D" w:rsidP="00653B7D">
      <w:pPr>
        <w:spacing w:after="0"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00850B11" w:rsidRPr="00653B7D">
        <w:rPr>
          <w:rFonts w:ascii="Times New Roman" w:eastAsia="Times New Roman" w:hAnsi="Times New Roman" w:cs="Times New Roman"/>
          <w:b/>
          <w:bCs/>
          <w:sz w:val="24"/>
          <w:szCs w:val="24"/>
        </w:rPr>
        <w:t xml:space="preserve">Proper </w:t>
      </w:r>
      <w:r w:rsidR="00BD0679" w:rsidRPr="00653B7D">
        <w:rPr>
          <w:rFonts w:ascii="Times New Roman" w:eastAsia="Times New Roman" w:hAnsi="Times New Roman" w:cs="Times New Roman"/>
          <w:b/>
          <w:bCs/>
          <w:sz w:val="24"/>
          <w:szCs w:val="24"/>
        </w:rPr>
        <w:t>Documentation</w:t>
      </w:r>
      <w:r w:rsidR="00E5670B" w:rsidRPr="00653B7D">
        <w:rPr>
          <w:rFonts w:ascii="Times New Roman" w:eastAsia="Times New Roman" w:hAnsi="Times New Roman" w:cs="Times New Roman"/>
          <w:b/>
          <w:bCs/>
          <w:sz w:val="24"/>
          <w:szCs w:val="24"/>
        </w:rPr>
        <w:t xml:space="preserve">: </w:t>
      </w:r>
      <w:r w:rsidR="00850B11" w:rsidRPr="00653B7D">
        <w:rPr>
          <w:rFonts w:ascii="Times New Roman" w:eastAsia="Times New Roman" w:hAnsi="Times New Roman" w:cs="Times New Roman"/>
          <w:sz w:val="24"/>
          <w:szCs w:val="24"/>
        </w:rPr>
        <w:t>A</w:t>
      </w:r>
      <w:r w:rsidR="00BD0679" w:rsidRPr="00653B7D">
        <w:rPr>
          <w:rFonts w:ascii="Times New Roman" w:eastAsia="Times New Roman" w:hAnsi="Times New Roman" w:cs="Times New Roman"/>
          <w:sz w:val="24"/>
          <w:szCs w:val="24"/>
        </w:rPr>
        <w:t xml:space="preserve">uditors </w:t>
      </w:r>
      <w:r w:rsidR="00850B11" w:rsidRPr="00653B7D">
        <w:rPr>
          <w:rFonts w:ascii="Times New Roman" w:eastAsia="Times New Roman" w:hAnsi="Times New Roman" w:cs="Times New Roman"/>
          <w:sz w:val="24"/>
          <w:szCs w:val="24"/>
        </w:rPr>
        <w:t>now tend to concentrate on</w:t>
      </w:r>
      <w:r w:rsidR="00BD0679" w:rsidRPr="00653B7D">
        <w:rPr>
          <w:rFonts w:ascii="Times New Roman" w:eastAsia="Times New Roman" w:hAnsi="Times New Roman" w:cs="Times New Roman"/>
          <w:sz w:val="24"/>
          <w:szCs w:val="24"/>
        </w:rPr>
        <w:t xml:space="preserve"> properly prepare the working files of the documents collected in the investigation of fraud</w:t>
      </w:r>
      <w:r w:rsidR="00850B11" w:rsidRPr="00653B7D">
        <w:rPr>
          <w:rFonts w:ascii="Times New Roman" w:eastAsia="Times New Roman" w:hAnsi="Times New Roman" w:cs="Times New Roman"/>
          <w:sz w:val="24"/>
          <w:szCs w:val="24"/>
        </w:rPr>
        <w:t xml:space="preserve"> to create a safeguard against any fraudulent issues raised after the audit period</w:t>
      </w:r>
      <w:r w:rsidR="00BD0679" w:rsidRPr="00653B7D">
        <w:rPr>
          <w:rFonts w:ascii="Times New Roman" w:eastAsia="Times New Roman" w:hAnsi="Times New Roman" w:cs="Times New Roman"/>
          <w:sz w:val="24"/>
          <w:szCs w:val="24"/>
        </w:rPr>
        <w:t xml:space="preserve">. </w:t>
      </w:r>
      <w:r w:rsidR="00850B11" w:rsidRPr="00653B7D">
        <w:rPr>
          <w:rFonts w:ascii="Times New Roman" w:eastAsia="Times New Roman" w:hAnsi="Times New Roman" w:cs="Times New Roman"/>
          <w:sz w:val="24"/>
          <w:szCs w:val="24"/>
        </w:rPr>
        <w:t>Proper audit documentation provided support to the auditors if any dispute arise</w:t>
      </w:r>
      <w:r w:rsidR="009977CE">
        <w:rPr>
          <w:rFonts w:ascii="Times New Roman" w:eastAsia="Times New Roman" w:hAnsi="Times New Roman" w:cs="Times New Roman"/>
          <w:sz w:val="24"/>
          <w:szCs w:val="24"/>
        </w:rPr>
        <w:t>s</w:t>
      </w:r>
      <w:r w:rsidR="00850B11" w:rsidRPr="00653B7D">
        <w:rPr>
          <w:rFonts w:ascii="Times New Roman" w:eastAsia="Times New Roman" w:hAnsi="Times New Roman" w:cs="Times New Roman"/>
          <w:sz w:val="24"/>
          <w:szCs w:val="24"/>
        </w:rPr>
        <w:t xml:space="preserve"> in future. </w:t>
      </w:r>
      <w:proofErr w:type="gramStart"/>
      <w:r w:rsidR="00850B11" w:rsidRPr="00653B7D">
        <w:rPr>
          <w:rFonts w:ascii="Times New Roman" w:eastAsia="Times New Roman" w:hAnsi="Times New Roman" w:cs="Times New Roman"/>
          <w:sz w:val="24"/>
          <w:szCs w:val="24"/>
        </w:rPr>
        <w:t>A</w:t>
      </w:r>
      <w:r w:rsidR="00612A3B" w:rsidRPr="00653B7D">
        <w:rPr>
          <w:rFonts w:ascii="Times New Roman" w:eastAsia="Times New Roman" w:hAnsi="Times New Roman" w:cs="Times New Roman"/>
          <w:sz w:val="24"/>
          <w:szCs w:val="24"/>
        </w:rPr>
        <w:t>uditors</w:t>
      </w:r>
      <w:proofErr w:type="gramEnd"/>
      <w:r w:rsidR="00612A3B" w:rsidRPr="00653B7D">
        <w:rPr>
          <w:rFonts w:ascii="Times New Roman" w:eastAsia="Times New Roman" w:hAnsi="Times New Roman" w:cs="Times New Roman"/>
          <w:sz w:val="24"/>
          <w:szCs w:val="24"/>
        </w:rPr>
        <w:t xml:space="preserve"> document-</w:t>
      </w:r>
    </w:p>
    <w:p w:rsidR="00612A3B" w:rsidRPr="00653B7D" w:rsidRDefault="00612A3B" w:rsidP="00653B7D">
      <w:pPr>
        <w:pStyle w:val="ListParagraph"/>
        <w:numPr>
          <w:ilvl w:val="0"/>
          <w:numId w:val="6"/>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 xml:space="preserve">The information i.e. nature &amp; complexity of </w:t>
      </w:r>
      <w:r w:rsidR="009977CE">
        <w:rPr>
          <w:rFonts w:ascii="Times New Roman" w:eastAsia="Times New Roman" w:hAnsi="Times New Roman" w:cs="Times New Roman"/>
          <w:sz w:val="24"/>
          <w:szCs w:val="24"/>
        </w:rPr>
        <w:t xml:space="preserve">the </w:t>
      </w:r>
      <w:r w:rsidRPr="00653B7D">
        <w:rPr>
          <w:rFonts w:ascii="Times New Roman" w:eastAsia="Times New Roman" w:hAnsi="Times New Roman" w:cs="Times New Roman"/>
          <w:sz w:val="24"/>
          <w:szCs w:val="24"/>
        </w:rPr>
        <w:t>operation, integrity &amp; honesty of the management etc. collected and assessed for risk assessment in making decision of engagement acceptance.</w:t>
      </w:r>
    </w:p>
    <w:p w:rsidR="00A5623A" w:rsidRPr="00653B7D" w:rsidRDefault="00A5623A" w:rsidP="00653B7D">
      <w:pPr>
        <w:pStyle w:val="ListParagraph"/>
        <w:numPr>
          <w:ilvl w:val="0"/>
          <w:numId w:val="4"/>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lastRenderedPageBreak/>
        <w:t xml:space="preserve">The discussion among engagement </w:t>
      </w:r>
      <w:r w:rsidR="00612A3B" w:rsidRPr="00653B7D">
        <w:rPr>
          <w:rFonts w:ascii="Times New Roman" w:eastAsia="Times New Roman" w:hAnsi="Times New Roman" w:cs="Times New Roman"/>
          <w:sz w:val="24"/>
          <w:szCs w:val="24"/>
        </w:rPr>
        <w:t>personnel’s</w:t>
      </w:r>
      <w:r w:rsidRPr="00653B7D">
        <w:rPr>
          <w:rFonts w:ascii="Times New Roman" w:eastAsia="Times New Roman" w:hAnsi="Times New Roman" w:cs="Times New Roman"/>
          <w:sz w:val="24"/>
          <w:szCs w:val="24"/>
        </w:rPr>
        <w:t xml:space="preserve"> regarding material misstatement</w:t>
      </w:r>
      <w:r w:rsidR="00612A3B" w:rsidRPr="00653B7D">
        <w:rPr>
          <w:rFonts w:ascii="Times New Roman" w:eastAsia="Times New Roman" w:hAnsi="Times New Roman" w:cs="Times New Roman"/>
          <w:sz w:val="24"/>
          <w:szCs w:val="24"/>
        </w:rPr>
        <w:t>s in fraud in financial statements caused by</w:t>
      </w:r>
      <w:r w:rsidRPr="00653B7D">
        <w:rPr>
          <w:rFonts w:ascii="Times New Roman" w:eastAsia="Times New Roman" w:hAnsi="Times New Roman" w:cs="Times New Roman"/>
          <w:sz w:val="24"/>
          <w:szCs w:val="24"/>
        </w:rPr>
        <w:t xml:space="preserve"> fraud</w:t>
      </w:r>
      <w:r w:rsidR="009977CE">
        <w:rPr>
          <w:rFonts w:ascii="Times New Roman" w:eastAsia="Times New Roman" w:hAnsi="Times New Roman" w:cs="Times New Roman"/>
          <w:sz w:val="24"/>
          <w:szCs w:val="24"/>
        </w:rPr>
        <w:t>s in the planning stage</w:t>
      </w:r>
      <w:r w:rsidRPr="00653B7D">
        <w:rPr>
          <w:rFonts w:ascii="Times New Roman" w:eastAsia="Times New Roman" w:hAnsi="Times New Roman" w:cs="Times New Roman"/>
          <w:sz w:val="24"/>
          <w:szCs w:val="24"/>
        </w:rPr>
        <w:t>.</w:t>
      </w:r>
    </w:p>
    <w:p w:rsidR="00A5623A" w:rsidRPr="00653B7D" w:rsidRDefault="00A5623A" w:rsidP="00653B7D">
      <w:pPr>
        <w:pStyle w:val="ListParagraph"/>
        <w:numPr>
          <w:ilvl w:val="0"/>
          <w:numId w:val="4"/>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The procedures performed identify and assess the risks</w:t>
      </w:r>
      <w:r w:rsidR="002F4EB1" w:rsidRPr="00653B7D">
        <w:rPr>
          <w:rFonts w:ascii="Times New Roman" w:eastAsia="Times New Roman" w:hAnsi="Times New Roman" w:cs="Times New Roman"/>
          <w:sz w:val="24"/>
          <w:szCs w:val="24"/>
        </w:rPr>
        <w:t xml:space="preserve"> of material misstatements caused by</w:t>
      </w:r>
      <w:r w:rsidRPr="00653B7D">
        <w:rPr>
          <w:rFonts w:ascii="Times New Roman" w:eastAsia="Times New Roman" w:hAnsi="Times New Roman" w:cs="Times New Roman"/>
          <w:sz w:val="24"/>
          <w:szCs w:val="24"/>
        </w:rPr>
        <w:t xml:space="preserve"> fraud</w:t>
      </w:r>
      <w:r w:rsidR="002F4EB1" w:rsidRPr="00653B7D">
        <w:rPr>
          <w:rFonts w:ascii="Times New Roman" w:eastAsia="Times New Roman" w:hAnsi="Times New Roman" w:cs="Times New Roman"/>
          <w:sz w:val="24"/>
          <w:szCs w:val="24"/>
        </w:rPr>
        <w:t>s</w:t>
      </w:r>
      <w:r w:rsidRPr="00653B7D">
        <w:rPr>
          <w:rFonts w:ascii="Times New Roman" w:eastAsia="Times New Roman" w:hAnsi="Times New Roman" w:cs="Times New Roman"/>
          <w:sz w:val="24"/>
          <w:szCs w:val="24"/>
        </w:rPr>
        <w:t>.</w:t>
      </w:r>
    </w:p>
    <w:p w:rsidR="002F4EB1" w:rsidRPr="00653B7D" w:rsidRDefault="002F4EB1" w:rsidP="00653B7D">
      <w:pPr>
        <w:pStyle w:val="ListParagraph"/>
        <w:numPr>
          <w:ilvl w:val="0"/>
          <w:numId w:val="4"/>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 xml:space="preserve">The procedures performed for obtaining necessary audit evidences against the suspected frauds. </w:t>
      </w:r>
    </w:p>
    <w:p w:rsidR="002F4EB1" w:rsidRPr="00653B7D" w:rsidRDefault="002F4EB1" w:rsidP="00653B7D">
      <w:pPr>
        <w:pStyle w:val="ListParagraph"/>
        <w:numPr>
          <w:ilvl w:val="0"/>
          <w:numId w:val="4"/>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The</w:t>
      </w:r>
      <w:r w:rsidR="00A5623A" w:rsidRPr="00653B7D">
        <w:rPr>
          <w:rFonts w:ascii="Times New Roman" w:eastAsia="Times New Roman" w:hAnsi="Times New Roman" w:cs="Times New Roman"/>
          <w:sz w:val="24"/>
          <w:szCs w:val="24"/>
        </w:rPr>
        <w:t xml:space="preserve"> procedures performed to </w:t>
      </w:r>
      <w:r w:rsidRPr="00653B7D">
        <w:rPr>
          <w:rFonts w:ascii="Times New Roman" w:eastAsia="Times New Roman" w:hAnsi="Times New Roman" w:cs="Times New Roman"/>
          <w:sz w:val="24"/>
          <w:szCs w:val="24"/>
        </w:rPr>
        <w:t xml:space="preserve">check the </w:t>
      </w:r>
      <w:r w:rsidR="00A5623A" w:rsidRPr="00653B7D">
        <w:rPr>
          <w:rFonts w:ascii="Times New Roman" w:eastAsia="Times New Roman" w:hAnsi="Times New Roman" w:cs="Times New Roman"/>
          <w:sz w:val="24"/>
          <w:szCs w:val="24"/>
        </w:rPr>
        <w:t xml:space="preserve">risk of </w:t>
      </w:r>
      <w:r w:rsidRPr="00653B7D">
        <w:rPr>
          <w:rFonts w:ascii="Times New Roman" w:eastAsia="Times New Roman" w:hAnsi="Times New Roman" w:cs="Times New Roman"/>
          <w:sz w:val="24"/>
          <w:szCs w:val="24"/>
        </w:rPr>
        <w:t>the override of control by management</w:t>
      </w:r>
      <w:r w:rsidR="00A5623A" w:rsidRPr="00653B7D">
        <w:rPr>
          <w:rFonts w:ascii="Times New Roman" w:eastAsia="Times New Roman" w:hAnsi="Times New Roman" w:cs="Times New Roman"/>
          <w:sz w:val="24"/>
          <w:szCs w:val="24"/>
        </w:rPr>
        <w:t>.</w:t>
      </w:r>
    </w:p>
    <w:p w:rsidR="00A5623A" w:rsidRPr="00653B7D" w:rsidRDefault="002F4EB1" w:rsidP="00653B7D">
      <w:pPr>
        <w:pStyle w:val="ListParagraph"/>
        <w:numPr>
          <w:ilvl w:val="0"/>
          <w:numId w:val="4"/>
        </w:numPr>
        <w:spacing w:after="0" w:line="480" w:lineRule="auto"/>
        <w:rPr>
          <w:rFonts w:ascii="Times New Roman" w:eastAsia="Times New Roman" w:hAnsi="Times New Roman" w:cs="Times New Roman"/>
          <w:sz w:val="24"/>
          <w:szCs w:val="24"/>
        </w:rPr>
      </w:pPr>
      <w:r w:rsidRPr="00653B7D">
        <w:rPr>
          <w:rFonts w:ascii="Times New Roman" w:eastAsia="Times New Roman" w:hAnsi="Times New Roman" w:cs="Times New Roman"/>
          <w:sz w:val="24"/>
          <w:szCs w:val="24"/>
        </w:rPr>
        <w:t>The</w:t>
      </w:r>
      <w:r w:rsidR="00A5623A" w:rsidRPr="00653B7D">
        <w:rPr>
          <w:rFonts w:ascii="Times New Roman" w:eastAsia="Times New Roman" w:hAnsi="Times New Roman" w:cs="Times New Roman"/>
          <w:sz w:val="24"/>
          <w:szCs w:val="24"/>
        </w:rPr>
        <w:t xml:space="preserve"> communications </w:t>
      </w:r>
      <w:r w:rsidRPr="00653B7D">
        <w:rPr>
          <w:rFonts w:ascii="Times New Roman" w:eastAsia="Times New Roman" w:hAnsi="Times New Roman" w:cs="Times New Roman"/>
          <w:sz w:val="24"/>
          <w:szCs w:val="24"/>
        </w:rPr>
        <w:t>with those in charge with governance i.e. top</w:t>
      </w:r>
      <w:r w:rsidR="00A5623A" w:rsidRPr="00653B7D">
        <w:rPr>
          <w:rFonts w:ascii="Times New Roman" w:eastAsia="Times New Roman" w:hAnsi="Times New Roman" w:cs="Times New Roman"/>
          <w:sz w:val="24"/>
          <w:szCs w:val="24"/>
        </w:rPr>
        <w:t xml:space="preserve"> management, audit committee </w:t>
      </w:r>
      <w:r w:rsidRPr="00653B7D">
        <w:rPr>
          <w:rFonts w:ascii="Times New Roman" w:eastAsia="Times New Roman" w:hAnsi="Times New Roman" w:cs="Times New Roman"/>
          <w:sz w:val="24"/>
          <w:szCs w:val="24"/>
        </w:rPr>
        <w:t xml:space="preserve">etc. regarding the detected or suspected frauds. </w:t>
      </w:r>
    </w:p>
    <w:p w:rsidR="00A5623A"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512460" w:rsidRPr="00512460">
        <w:rPr>
          <w:rFonts w:ascii="Times New Roman" w:eastAsia="Times New Roman" w:hAnsi="Times New Roman" w:cs="Times New Roman"/>
          <w:b/>
          <w:bCs/>
          <w:sz w:val="24"/>
          <w:szCs w:val="24"/>
        </w:rPr>
        <w:t xml:space="preserve">The quality of Audit Evidence: </w:t>
      </w:r>
      <w:r w:rsidR="00512460" w:rsidRPr="00512460">
        <w:rPr>
          <w:rFonts w:ascii="Times New Roman" w:eastAsia="Times New Roman" w:hAnsi="Times New Roman" w:cs="Times New Roman"/>
          <w:bCs/>
          <w:sz w:val="24"/>
          <w:szCs w:val="24"/>
        </w:rPr>
        <w:t>Auditors now concentrate on collecting appropriate and sufficient audit evidence to form audit opinion with respect to the fact that financial statements are free of material misstatements caused by error and fraud. Emphasis is placed on the issue that the audit evidence collected are of high quality. Auditors are not now satisfied with less-than-persuasive evidence in gathering audit evidence. Rather, comprehensive and detailed audit evidence is gathered. Analytical procedures are conducted at the review stage of the audit besides planning and completion stages of the audit process. At the review stage, analytical procedure helps the auditors to discover previously unrecognized risks of material misstatement due to fraud.</w:t>
      </w:r>
      <w:r w:rsidR="00512460" w:rsidRPr="00512460">
        <w:rPr>
          <w:rFonts w:ascii="Times New Roman" w:eastAsia="Times New Roman" w:hAnsi="Times New Roman" w:cs="Times New Roman"/>
          <w:b/>
          <w:bCs/>
          <w:sz w:val="24"/>
          <w:szCs w:val="24"/>
        </w:rPr>
        <w:t xml:space="preserve"> </w:t>
      </w:r>
      <w:r w:rsidR="00A5623A" w:rsidRPr="00653B7D">
        <w:rPr>
          <w:rFonts w:ascii="Times New Roman" w:eastAsia="Times New Roman" w:hAnsi="Times New Roman" w:cs="Times New Roman"/>
          <w:sz w:val="24"/>
          <w:szCs w:val="24"/>
        </w:rPr>
        <w:t xml:space="preserve">  </w:t>
      </w:r>
    </w:p>
    <w:p w:rsidR="008D166B" w:rsidRPr="00653B7D" w:rsidRDefault="00653B7D" w:rsidP="00653B7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8D166B" w:rsidRPr="00653B7D">
        <w:rPr>
          <w:rFonts w:ascii="Times New Roman" w:eastAsia="Times New Roman" w:hAnsi="Times New Roman" w:cs="Times New Roman"/>
          <w:b/>
          <w:bCs/>
          <w:sz w:val="24"/>
          <w:szCs w:val="24"/>
        </w:rPr>
        <w:t xml:space="preserve">Communication of Fraud: </w:t>
      </w:r>
      <w:r w:rsidR="00512460" w:rsidRPr="00512460">
        <w:rPr>
          <w:rFonts w:ascii="Times New Roman" w:eastAsia="Times New Roman" w:hAnsi="Times New Roman" w:cs="Times New Roman"/>
          <w:sz w:val="24"/>
          <w:szCs w:val="24"/>
        </w:rPr>
        <w:t>Auditors requires to communicate the issue to the proper level of management when there is evidence that frauds exist or may exist. The actions from the part of the top management after communication of the fraud should be observed to understand the reaction and thinking with respect to the fraud.</w:t>
      </w:r>
    </w:p>
    <w:p w:rsidR="00A450B4" w:rsidRDefault="00A450B4" w:rsidP="00E61FC9"/>
    <w:p w:rsidR="00A450B4" w:rsidRPr="00653B7D" w:rsidRDefault="00A450B4" w:rsidP="00653B7D">
      <w:pPr>
        <w:pStyle w:val="Heading1"/>
        <w:jc w:val="center"/>
        <w:rPr>
          <w:rFonts w:ascii="Times New Roman" w:hAnsi="Times New Roman" w:cs="Times New Roman"/>
          <w:b/>
          <w:sz w:val="24"/>
          <w:szCs w:val="24"/>
        </w:rPr>
      </w:pPr>
      <w:bookmarkStart w:id="6" w:name="_Toc464310197"/>
      <w:r w:rsidRPr="00653B7D">
        <w:rPr>
          <w:rFonts w:ascii="Times New Roman" w:hAnsi="Times New Roman" w:cs="Times New Roman"/>
          <w:b/>
          <w:sz w:val="24"/>
          <w:szCs w:val="24"/>
        </w:rPr>
        <w:lastRenderedPageBreak/>
        <w:t>Conclusion</w:t>
      </w:r>
      <w:bookmarkEnd w:id="6"/>
    </w:p>
    <w:p w:rsidR="00653B7D" w:rsidRPr="00653B7D" w:rsidRDefault="00653B7D" w:rsidP="00653B7D">
      <w:pPr>
        <w:spacing w:after="0" w:line="480" w:lineRule="auto"/>
        <w:rPr>
          <w:rFonts w:ascii="Times New Roman" w:hAnsi="Times New Roman" w:cs="Times New Roman"/>
          <w:sz w:val="16"/>
          <w:szCs w:val="16"/>
        </w:rPr>
      </w:pPr>
    </w:p>
    <w:p w:rsidR="00A450B4" w:rsidRDefault="00512460" w:rsidP="00512460">
      <w:pPr>
        <w:spacing w:after="0" w:line="480" w:lineRule="auto"/>
      </w:pPr>
      <w:r>
        <w:rPr>
          <w:rFonts w:ascii="Times New Roman" w:hAnsi="Times New Roman" w:cs="Times New Roman"/>
          <w:sz w:val="24"/>
          <w:szCs w:val="24"/>
        </w:rPr>
        <w:t xml:space="preserve">          </w:t>
      </w:r>
      <w:r w:rsidRPr="00512460">
        <w:rPr>
          <w:rFonts w:ascii="Times New Roman" w:hAnsi="Times New Roman" w:cs="Times New Roman"/>
          <w:sz w:val="24"/>
          <w:szCs w:val="24"/>
        </w:rPr>
        <w:t>The introduction of Sarbanes-Oxley has brought a dramatic change in the audit profession, detection &amp; prevention of fraud within the companies, and investigation of frauds by the auditors in the public companies. The responsibilities and duties of the auditors are now much more specific and clear with respect to ensuring that the financial statements are free from material misstatement caused by fraud. The Act has imposed the requirements on both- managements and auditors of the companies to detect and prevent the fraudulent activities and reporting. Finally, the nature of the investigation of fraud during the audit process in public companies has changed dramatically after the introduction of this act.</w:t>
      </w:r>
      <w:bookmarkStart w:id="7" w:name="_GoBack"/>
      <w:bookmarkEnd w:id="7"/>
    </w:p>
    <w:p w:rsidR="00180E33" w:rsidRDefault="00180E33" w:rsidP="00180E33">
      <w:pPr>
        <w:jc w:val="center"/>
      </w:pPr>
    </w:p>
    <w:p w:rsidR="00093B05" w:rsidRPr="00E61FC9" w:rsidRDefault="00093B05" w:rsidP="00E61FC9">
      <w:pPr>
        <w:rPr>
          <w:rFonts w:ascii="Times New Roman" w:eastAsia="Times New Roman" w:hAnsi="Times New Roman" w:cs="Times New Roman"/>
        </w:rPr>
      </w:pPr>
      <w:r>
        <w:t xml:space="preserve"> </w:t>
      </w:r>
    </w:p>
    <w:p w:rsidR="00E61FC9" w:rsidRPr="00E61FC9" w:rsidRDefault="00E61FC9" w:rsidP="00E61FC9">
      <w:pPr>
        <w:spacing w:after="0" w:line="240" w:lineRule="auto"/>
        <w:rPr>
          <w:rFonts w:ascii="Times New Roman" w:eastAsia="Times New Roman" w:hAnsi="Times New Roman" w:cs="Times New Roman"/>
        </w:rPr>
      </w:pPr>
      <w:r w:rsidRPr="00E61FC9">
        <w:rPr>
          <w:rFonts w:ascii="Times New Roman" w:eastAsia="Times New Roman" w:hAnsi="Times New Roman" w:cs="Times New Roman"/>
        </w:rPr>
        <w:t xml:space="preserve">. </w:t>
      </w:r>
    </w:p>
    <w:p w:rsidR="00653B7D" w:rsidRDefault="00653B7D" w:rsidP="00576989">
      <w:pPr>
        <w:rPr>
          <w:rFonts w:ascii="Arial" w:eastAsia="Times New Roman" w:hAnsi="Arial" w:cs="Arial"/>
          <w:sz w:val="30"/>
          <w:szCs w:val="30"/>
        </w:rPr>
      </w:pPr>
    </w:p>
    <w:p w:rsidR="00653B7D" w:rsidRPr="00653B7D" w:rsidRDefault="00653B7D" w:rsidP="00653B7D">
      <w:pPr>
        <w:rPr>
          <w:rFonts w:ascii="Arial" w:eastAsia="Times New Roman" w:hAnsi="Arial" w:cs="Arial"/>
          <w:sz w:val="30"/>
          <w:szCs w:val="30"/>
        </w:rPr>
      </w:pPr>
    </w:p>
    <w:p w:rsidR="00653B7D" w:rsidRPr="00653B7D" w:rsidRDefault="00653B7D" w:rsidP="00653B7D">
      <w:pPr>
        <w:rPr>
          <w:rFonts w:ascii="Arial" w:eastAsia="Times New Roman" w:hAnsi="Arial" w:cs="Arial"/>
          <w:sz w:val="30"/>
          <w:szCs w:val="30"/>
        </w:rPr>
      </w:pPr>
    </w:p>
    <w:p w:rsidR="00653B7D" w:rsidRPr="00653B7D" w:rsidRDefault="00653B7D" w:rsidP="00653B7D">
      <w:pPr>
        <w:rPr>
          <w:rFonts w:ascii="Arial" w:eastAsia="Times New Roman" w:hAnsi="Arial" w:cs="Arial"/>
          <w:sz w:val="30"/>
          <w:szCs w:val="30"/>
        </w:rPr>
      </w:pPr>
    </w:p>
    <w:p w:rsidR="00653B7D" w:rsidRPr="00653B7D" w:rsidRDefault="00653B7D" w:rsidP="00653B7D">
      <w:pPr>
        <w:rPr>
          <w:rFonts w:ascii="Arial" w:eastAsia="Times New Roman" w:hAnsi="Arial" w:cs="Arial"/>
          <w:sz w:val="30"/>
          <w:szCs w:val="30"/>
        </w:rPr>
      </w:pPr>
    </w:p>
    <w:p w:rsidR="00653B7D" w:rsidRPr="00653B7D" w:rsidRDefault="00653B7D" w:rsidP="00653B7D">
      <w:pPr>
        <w:rPr>
          <w:rFonts w:ascii="Arial" w:eastAsia="Times New Roman" w:hAnsi="Arial" w:cs="Arial"/>
          <w:sz w:val="30"/>
          <w:szCs w:val="30"/>
        </w:rPr>
      </w:pPr>
    </w:p>
    <w:p w:rsidR="00653B7D" w:rsidRPr="00653B7D" w:rsidRDefault="00653B7D" w:rsidP="00653B7D">
      <w:pPr>
        <w:rPr>
          <w:rFonts w:ascii="Arial" w:eastAsia="Times New Roman" w:hAnsi="Arial" w:cs="Arial"/>
          <w:sz w:val="30"/>
          <w:szCs w:val="30"/>
        </w:rPr>
      </w:pPr>
    </w:p>
    <w:p w:rsidR="00653B7D" w:rsidRDefault="00653B7D" w:rsidP="00653B7D">
      <w:pPr>
        <w:rPr>
          <w:rFonts w:ascii="Arial" w:eastAsia="Times New Roman" w:hAnsi="Arial" w:cs="Arial"/>
          <w:sz w:val="30"/>
          <w:szCs w:val="30"/>
        </w:rPr>
      </w:pPr>
    </w:p>
    <w:p w:rsidR="00653B7D" w:rsidRDefault="00653B7D" w:rsidP="00653B7D">
      <w:pPr>
        <w:rPr>
          <w:rFonts w:ascii="Arial" w:eastAsia="Times New Roman" w:hAnsi="Arial" w:cs="Arial"/>
          <w:sz w:val="30"/>
          <w:szCs w:val="30"/>
        </w:rPr>
      </w:pPr>
    </w:p>
    <w:p w:rsidR="005E5C05" w:rsidRDefault="005E5C05" w:rsidP="00653B7D">
      <w:pPr>
        <w:tabs>
          <w:tab w:val="left" w:pos="1223"/>
        </w:tabs>
        <w:rPr>
          <w:rFonts w:ascii="Arial" w:eastAsia="Times New Roman" w:hAnsi="Arial" w:cs="Arial"/>
          <w:sz w:val="30"/>
          <w:szCs w:val="30"/>
        </w:rPr>
      </w:pPr>
    </w:p>
    <w:p w:rsidR="00653B7D" w:rsidRDefault="00653B7D" w:rsidP="00653B7D">
      <w:pPr>
        <w:tabs>
          <w:tab w:val="left" w:pos="1223"/>
        </w:tabs>
        <w:rPr>
          <w:rFonts w:ascii="Arial" w:eastAsia="Times New Roman" w:hAnsi="Arial" w:cs="Arial"/>
          <w:sz w:val="30"/>
          <w:szCs w:val="30"/>
        </w:rPr>
      </w:pPr>
    </w:p>
    <w:p w:rsidR="00653B7D" w:rsidRDefault="00653B7D" w:rsidP="00653B7D">
      <w:pPr>
        <w:tabs>
          <w:tab w:val="left" w:pos="1223"/>
        </w:tabs>
        <w:rPr>
          <w:rFonts w:ascii="Arial" w:eastAsia="Times New Roman" w:hAnsi="Arial" w:cs="Arial"/>
          <w:sz w:val="30"/>
          <w:szCs w:val="30"/>
        </w:rPr>
      </w:pPr>
    </w:p>
    <w:bookmarkStart w:id="8" w:name="_Toc464310198" w:displacedByCustomXml="next"/>
    <w:sdt>
      <w:sdtPr>
        <w:rPr>
          <w:rFonts w:asciiTheme="minorHAnsi" w:eastAsiaTheme="minorHAnsi" w:hAnsiTheme="minorHAnsi" w:cstheme="minorBidi"/>
          <w:color w:val="auto"/>
          <w:sz w:val="22"/>
          <w:szCs w:val="22"/>
        </w:rPr>
        <w:id w:val="811293729"/>
        <w:docPartObj>
          <w:docPartGallery w:val="Bibliographies"/>
          <w:docPartUnique/>
        </w:docPartObj>
      </w:sdtPr>
      <w:sdtEndPr>
        <w:rPr>
          <w:rFonts w:ascii="Times New Roman" w:hAnsi="Times New Roman" w:cs="Times New Roman"/>
          <w:sz w:val="24"/>
          <w:szCs w:val="24"/>
        </w:rPr>
      </w:sdtEndPr>
      <w:sdtContent>
        <w:p w:rsidR="00653B7D" w:rsidRPr="00653B7D" w:rsidRDefault="00653B7D" w:rsidP="00653B7D">
          <w:pPr>
            <w:pStyle w:val="Heading1"/>
            <w:pBdr>
              <w:bottom w:val="single" w:sz="4" w:space="1" w:color="auto"/>
            </w:pBdr>
            <w:jc w:val="center"/>
            <w:rPr>
              <w:rFonts w:ascii="Times New Roman" w:hAnsi="Times New Roman" w:cs="Times New Roman"/>
              <w:sz w:val="24"/>
              <w:szCs w:val="24"/>
            </w:rPr>
          </w:pPr>
          <w:r w:rsidRPr="00653B7D">
            <w:rPr>
              <w:rFonts w:ascii="Times New Roman" w:hAnsi="Times New Roman" w:cs="Times New Roman"/>
              <w:sz w:val="24"/>
              <w:szCs w:val="24"/>
            </w:rPr>
            <w:t>References</w:t>
          </w:r>
          <w:bookmarkEnd w:id="8"/>
        </w:p>
        <w:p w:rsidR="00653B7D" w:rsidRPr="00653B7D" w:rsidRDefault="00653B7D" w:rsidP="00653B7D">
          <w:pPr>
            <w:rPr>
              <w:rFonts w:ascii="Times New Roman" w:hAnsi="Times New Roman" w:cs="Times New Roman"/>
              <w:sz w:val="24"/>
              <w:szCs w:val="24"/>
            </w:rPr>
          </w:pPr>
        </w:p>
        <w:sdt>
          <w:sdtPr>
            <w:rPr>
              <w:rFonts w:ascii="Times New Roman" w:hAnsi="Times New Roman" w:cs="Times New Roman"/>
              <w:sz w:val="24"/>
              <w:szCs w:val="24"/>
            </w:rPr>
            <w:id w:val="-573587230"/>
            <w:bibliography/>
          </w:sdtPr>
          <w:sdtEndPr/>
          <w:sdtContent>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sz w:val="24"/>
                  <w:szCs w:val="24"/>
                </w:rPr>
                <w:fldChar w:fldCharType="begin"/>
              </w:r>
              <w:r w:rsidRPr="00653B7D">
                <w:rPr>
                  <w:rFonts w:ascii="Times New Roman" w:hAnsi="Times New Roman" w:cs="Times New Roman"/>
                  <w:sz w:val="24"/>
                  <w:szCs w:val="24"/>
                </w:rPr>
                <w:instrText xml:space="preserve"> BIBLIOGRAPHY </w:instrText>
              </w:r>
              <w:r w:rsidRPr="00653B7D">
                <w:rPr>
                  <w:rFonts w:ascii="Times New Roman" w:hAnsi="Times New Roman" w:cs="Times New Roman"/>
                  <w:sz w:val="24"/>
                  <w:szCs w:val="24"/>
                </w:rPr>
                <w:fldChar w:fldCharType="separate"/>
              </w:r>
              <w:r w:rsidRPr="00653B7D">
                <w:rPr>
                  <w:rFonts w:ascii="Times New Roman" w:hAnsi="Times New Roman" w:cs="Times New Roman"/>
                  <w:i/>
                  <w:iCs/>
                  <w:noProof/>
                  <w:sz w:val="24"/>
                  <w:szCs w:val="24"/>
                </w:rPr>
                <w:t>AU Section 316</w:t>
              </w:r>
              <w:r w:rsidRPr="00653B7D">
                <w:rPr>
                  <w:rFonts w:ascii="Times New Roman" w:hAnsi="Times New Roman" w:cs="Times New Roman"/>
                  <w:noProof/>
                  <w:sz w:val="24"/>
                  <w:szCs w:val="24"/>
                </w:rPr>
                <w:t>. (2002). Retrieved October 13, 2016, from Consideration of Fraud in a Financial Statement Audit: http://www.aicpa.org/Research/Standards/AuditAttest/DownloadableDocuments/AU-00316.pdf</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Chui, L., &amp; Pike, B. (2013). Auditor's responsibility for fruad detection: New wine in old bottles? </w:t>
              </w:r>
              <w:r w:rsidRPr="00653B7D">
                <w:rPr>
                  <w:rFonts w:ascii="Times New Roman" w:hAnsi="Times New Roman" w:cs="Times New Roman"/>
                  <w:i/>
                  <w:iCs/>
                  <w:noProof/>
                  <w:sz w:val="24"/>
                  <w:szCs w:val="24"/>
                </w:rPr>
                <w:t>Accounting Faculty Publications</w:t>
              </w:r>
              <w:r w:rsidRPr="00653B7D">
                <w:rPr>
                  <w:rFonts w:ascii="Times New Roman" w:hAnsi="Times New Roman" w:cs="Times New Roman"/>
                  <w:noProof/>
                  <w:sz w:val="24"/>
                  <w:szCs w:val="24"/>
                </w:rPr>
                <w:t>.</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DeZoort, T., &amp; Harrison, P. (2008). An Evaluation of Internal Auditor Responsibility Internal Auditor Responsibility. </w:t>
              </w:r>
              <w:r w:rsidRPr="00653B7D">
                <w:rPr>
                  <w:rFonts w:ascii="Times New Roman" w:hAnsi="Times New Roman" w:cs="Times New Roman"/>
                  <w:i/>
                  <w:iCs/>
                  <w:noProof/>
                  <w:sz w:val="24"/>
                  <w:szCs w:val="24"/>
                </w:rPr>
                <w:t>Culverhouse School of Accountancy</w:t>
              </w:r>
              <w:r w:rsidRPr="00653B7D">
                <w:rPr>
                  <w:rFonts w:ascii="Times New Roman" w:hAnsi="Times New Roman" w:cs="Times New Roman"/>
                  <w:noProof/>
                  <w:sz w:val="24"/>
                  <w:szCs w:val="24"/>
                </w:rPr>
                <w:t>.</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i/>
                  <w:iCs/>
                  <w:noProof/>
                  <w:sz w:val="24"/>
                  <w:szCs w:val="24"/>
                </w:rPr>
                <w:t>Investopedia</w:t>
              </w:r>
              <w:r w:rsidRPr="00653B7D">
                <w:rPr>
                  <w:rFonts w:ascii="Times New Roman" w:hAnsi="Times New Roman" w:cs="Times New Roman"/>
                  <w:noProof/>
                  <w:sz w:val="24"/>
                  <w:szCs w:val="24"/>
                </w:rPr>
                <w:t>. (2016, October 14). Retrieved 2016, from Sarbanes-Oxley Act Of 2002 - SOX: http://www.investopedia.com/terms/s/sarbanesoxleyact.asp</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Lu, S. (2005). SAS 99 &amp; Fraud Detection. </w:t>
              </w:r>
              <w:r w:rsidRPr="00653B7D">
                <w:rPr>
                  <w:rFonts w:ascii="Times New Roman" w:hAnsi="Times New Roman" w:cs="Times New Roman"/>
                  <w:i/>
                  <w:iCs/>
                  <w:noProof/>
                  <w:sz w:val="24"/>
                  <w:szCs w:val="24"/>
                </w:rPr>
                <w:t>University of Tennessee Honors These Projects</w:t>
              </w:r>
              <w:r w:rsidRPr="00653B7D">
                <w:rPr>
                  <w:rFonts w:ascii="Times New Roman" w:hAnsi="Times New Roman" w:cs="Times New Roman"/>
                  <w:noProof/>
                  <w:sz w:val="24"/>
                  <w:szCs w:val="24"/>
                </w:rPr>
                <w:t>.</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MCCONNELL, D. K., &amp; BANKS, G. Y. (2003, December 01). </w:t>
              </w:r>
              <w:r w:rsidRPr="00653B7D">
                <w:rPr>
                  <w:rFonts w:ascii="Times New Roman" w:hAnsi="Times New Roman" w:cs="Times New Roman"/>
                  <w:i/>
                  <w:iCs/>
                  <w:noProof/>
                  <w:sz w:val="24"/>
                  <w:szCs w:val="24"/>
                </w:rPr>
                <w:t>Journal of Accountancy</w:t>
              </w:r>
              <w:r w:rsidRPr="00653B7D">
                <w:rPr>
                  <w:rFonts w:ascii="Times New Roman" w:hAnsi="Times New Roman" w:cs="Times New Roman"/>
                  <w:noProof/>
                  <w:sz w:val="24"/>
                  <w:szCs w:val="24"/>
                </w:rPr>
                <w:t>. Retrieved October 14, 2016, from How Sarbanes-Oxley Will Change the Audit Process: http://www.journalofaccountancy.com/issues/2003/sep/howsarbanesoxleywillchangetheauditprocess.html</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Nicholls, C. (2014, June 10). </w:t>
              </w:r>
              <w:r w:rsidRPr="00653B7D">
                <w:rPr>
                  <w:rFonts w:ascii="Times New Roman" w:hAnsi="Times New Roman" w:cs="Times New Roman"/>
                  <w:i/>
                  <w:iCs/>
                  <w:noProof/>
                  <w:sz w:val="24"/>
                  <w:szCs w:val="24"/>
                </w:rPr>
                <w:t>Insurance News Net</w:t>
              </w:r>
              <w:r w:rsidRPr="00653B7D">
                <w:rPr>
                  <w:rFonts w:ascii="Times New Roman" w:hAnsi="Times New Roman" w:cs="Times New Roman"/>
                  <w:noProof/>
                  <w:sz w:val="24"/>
                  <w:szCs w:val="24"/>
                </w:rPr>
                <w:t>. Retrieved October 14, 2016, from Is the Sarbanes-Oxley Act Working?: http://insurancenewsnet.com/oarticle/Is-the-Sarbanes-Oxley-Act-Working-a-516096</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Puncel, L. (2008). </w:t>
              </w:r>
              <w:r w:rsidRPr="00653B7D">
                <w:rPr>
                  <w:rFonts w:ascii="Times New Roman" w:hAnsi="Times New Roman" w:cs="Times New Roman"/>
                  <w:i/>
                  <w:iCs/>
                  <w:noProof/>
                  <w:sz w:val="24"/>
                  <w:szCs w:val="24"/>
                </w:rPr>
                <w:t>Audit Procedures.</w:t>
              </w:r>
              <w:r w:rsidRPr="00653B7D">
                <w:rPr>
                  <w:rFonts w:ascii="Times New Roman" w:hAnsi="Times New Roman" w:cs="Times New Roman"/>
                  <w:noProof/>
                  <w:sz w:val="24"/>
                  <w:szCs w:val="24"/>
                </w:rPr>
                <w:t xml:space="preserve"> Chicago: CCH.</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Rama, D., &amp; Read, W. J. (2006). Resignations by the Big 4 and the market for audit services. </w:t>
              </w:r>
              <w:r w:rsidRPr="00653B7D">
                <w:rPr>
                  <w:rFonts w:ascii="Times New Roman" w:hAnsi="Times New Roman" w:cs="Times New Roman"/>
                  <w:i/>
                  <w:iCs/>
                  <w:noProof/>
                  <w:sz w:val="24"/>
                  <w:szCs w:val="24"/>
                </w:rPr>
                <w:t>Accounting Horizons</w:t>
              </w:r>
              <w:r w:rsidRPr="00653B7D">
                <w:rPr>
                  <w:rFonts w:ascii="Times New Roman" w:hAnsi="Times New Roman" w:cs="Times New Roman"/>
                  <w:noProof/>
                  <w:sz w:val="24"/>
                  <w:szCs w:val="24"/>
                </w:rPr>
                <w:t>, 03-05.</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RAMOS, M. (2003, January 01). </w:t>
              </w:r>
              <w:r w:rsidRPr="00653B7D">
                <w:rPr>
                  <w:rFonts w:ascii="Times New Roman" w:hAnsi="Times New Roman" w:cs="Times New Roman"/>
                  <w:i/>
                  <w:iCs/>
                  <w:noProof/>
                  <w:sz w:val="24"/>
                  <w:szCs w:val="24"/>
                </w:rPr>
                <w:t>Journal of Accountancy</w:t>
              </w:r>
              <w:r w:rsidRPr="00653B7D">
                <w:rPr>
                  <w:rFonts w:ascii="Times New Roman" w:hAnsi="Times New Roman" w:cs="Times New Roman"/>
                  <w:noProof/>
                  <w:sz w:val="24"/>
                  <w:szCs w:val="24"/>
                </w:rPr>
                <w:t>. Retrieved October 14, 2016, from Auditors’ Responsibility for Fraud Detection: http://www.journalofaccountancy.com/issues/2003/jan/auditorsresponsibilityforfrauddetection.html</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Ryu, T. G., Uliss, B., &amp; Roh, C.-Y. (2012). The Effect of the Sarbanes-Oxley Act on Auditors’ Audit Performance . </w:t>
              </w:r>
              <w:r w:rsidRPr="00653B7D">
                <w:rPr>
                  <w:rFonts w:ascii="Times New Roman" w:hAnsi="Times New Roman" w:cs="Times New Roman"/>
                  <w:i/>
                  <w:iCs/>
                  <w:noProof/>
                  <w:sz w:val="24"/>
                  <w:szCs w:val="24"/>
                </w:rPr>
                <w:t xml:space="preserve">Journal of Finance and Accountancy </w:t>
              </w:r>
              <w:r w:rsidRPr="00653B7D">
                <w:rPr>
                  <w:rFonts w:ascii="Times New Roman" w:hAnsi="Times New Roman" w:cs="Times New Roman"/>
                  <w:noProof/>
                  <w:sz w:val="24"/>
                  <w:szCs w:val="24"/>
                </w:rPr>
                <w:t>.</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i/>
                  <w:iCs/>
                  <w:noProof/>
                  <w:sz w:val="24"/>
                  <w:szCs w:val="24"/>
                </w:rPr>
                <w:t>Sarbanes Oxley 101</w:t>
              </w:r>
              <w:r w:rsidRPr="00653B7D">
                <w:rPr>
                  <w:rFonts w:ascii="Times New Roman" w:hAnsi="Times New Roman" w:cs="Times New Roman"/>
                  <w:noProof/>
                  <w:sz w:val="24"/>
                  <w:szCs w:val="24"/>
                </w:rPr>
                <w:t>. (2016). Retrieved )ctober 12, 2016, from Welcome to Sarbanes Oxley 101: http://www.sarbanes-oxley-101.com/</w:t>
              </w:r>
            </w:p>
            <w:p w:rsidR="00653B7D" w:rsidRPr="00653B7D" w:rsidRDefault="00653B7D" w:rsidP="00653B7D">
              <w:pPr>
                <w:pStyle w:val="Bibliography"/>
                <w:ind w:left="720" w:hanging="720"/>
                <w:rPr>
                  <w:rFonts w:ascii="Times New Roman" w:hAnsi="Times New Roman" w:cs="Times New Roman"/>
                  <w:noProof/>
                  <w:sz w:val="24"/>
                  <w:szCs w:val="24"/>
                </w:rPr>
              </w:pPr>
              <w:r w:rsidRPr="00653B7D">
                <w:rPr>
                  <w:rFonts w:ascii="Times New Roman" w:hAnsi="Times New Roman" w:cs="Times New Roman"/>
                  <w:noProof/>
                  <w:sz w:val="24"/>
                  <w:szCs w:val="24"/>
                </w:rPr>
                <w:t xml:space="preserve">Spencer, N. (2014). </w:t>
              </w:r>
              <w:r w:rsidRPr="00653B7D">
                <w:rPr>
                  <w:rFonts w:ascii="Times New Roman" w:hAnsi="Times New Roman" w:cs="Times New Roman"/>
                  <w:i/>
                  <w:iCs/>
                  <w:noProof/>
                  <w:sz w:val="24"/>
                  <w:szCs w:val="24"/>
                </w:rPr>
                <w:t>A Text Book of Auditong Principles .</w:t>
              </w:r>
              <w:r w:rsidRPr="00653B7D">
                <w:rPr>
                  <w:rFonts w:ascii="Times New Roman" w:hAnsi="Times New Roman" w:cs="Times New Roman"/>
                  <w:noProof/>
                  <w:sz w:val="24"/>
                  <w:szCs w:val="24"/>
                </w:rPr>
                <w:t xml:space="preserve"> Westlands, Nairobi: East African Educational Publishers.</w:t>
              </w:r>
            </w:p>
            <w:p w:rsidR="00653B7D" w:rsidRPr="00653B7D" w:rsidRDefault="00653B7D" w:rsidP="00653B7D">
              <w:pPr>
                <w:rPr>
                  <w:rFonts w:ascii="Times New Roman" w:hAnsi="Times New Roman" w:cs="Times New Roman"/>
                  <w:sz w:val="24"/>
                  <w:szCs w:val="24"/>
                </w:rPr>
              </w:pPr>
              <w:r w:rsidRPr="00653B7D">
                <w:rPr>
                  <w:rFonts w:ascii="Times New Roman" w:hAnsi="Times New Roman" w:cs="Times New Roman"/>
                  <w:b/>
                  <w:bCs/>
                  <w:noProof/>
                  <w:sz w:val="24"/>
                  <w:szCs w:val="24"/>
                </w:rPr>
                <w:fldChar w:fldCharType="end"/>
              </w:r>
            </w:p>
          </w:sdtContent>
        </w:sdt>
      </w:sdtContent>
    </w:sdt>
    <w:p w:rsidR="00653B7D" w:rsidRPr="00653B7D" w:rsidRDefault="00653B7D" w:rsidP="00653B7D">
      <w:pPr>
        <w:tabs>
          <w:tab w:val="left" w:pos="1223"/>
        </w:tabs>
        <w:rPr>
          <w:rFonts w:ascii="Times New Roman" w:eastAsia="Times New Roman" w:hAnsi="Times New Roman" w:cs="Times New Roman"/>
          <w:sz w:val="24"/>
          <w:szCs w:val="24"/>
        </w:rPr>
      </w:pPr>
    </w:p>
    <w:sectPr w:rsidR="00653B7D" w:rsidRPr="00653B7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5F9A" w:rsidRDefault="00195F9A" w:rsidP="00A830CF">
      <w:pPr>
        <w:spacing w:after="0" w:line="240" w:lineRule="auto"/>
      </w:pPr>
      <w:r>
        <w:separator/>
      </w:r>
    </w:p>
  </w:endnote>
  <w:endnote w:type="continuationSeparator" w:id="0">
    <w:p w:rsidR="00195F9A" w:rsidRDefault="00195F9A" w:rsidP="00A83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5F9A" w:rsidRDefault="00195F9A" w:rsidP="00A830CF">
      <w:pPr>
        <w:spacing w:after="0" w:line="240" w:lineRule="auto"/>
      </w:pPr>
      <w:r>
        <w:separator/>
      </w:r>
    </w:p>
  </w:footnote>
  <w:footnote w:type="continuationSeparator" w:id="0">
    <w:p w:rsidR="00195F9A" w:rsidRDefault="00195F9A" w:rsidP="00A830CF">
      <w:pPr>
        <w:spacing w:after="0" w:line="240" w:lineRule="auto"/>
      </w:pPr>
      <w:r>
        <w:continuationSeparator/>
      </w:r>
    </w:p>
  </w:footnote>
  <w:footnote w:id="1">
    <w:p w:rsidR="00C43D68" w:rsidRPr="00653B7D" w:rsidRDefault="00C43D68" w:rsidP="00C43D68">
      <w:pPr>
        <w:pStyle w:val="FootnoteText"/>
        <w:rPr>
          <w:rFonts w:ascii="Times New Roman" w:hAnsi="Times New Roman" w:cs="Times New Roman"/>
          <w:sz w:val="24"/>
          <w:szCs w:val="24"/>
        </w:rPr>
      </w:pPr>
      <w:r w:rsidRPr="00653B7D">
        <w:rPr>
          <w:rStyle w:val="FootnoteReference"/>
          <w:rFonts w:ascii="Times New Roman" w:hAnsi="Times New Roman" w:cs="Times New Roman"/>
          <w:sz w:val="24"/>
          <w:szCs w:val="24"/>
        </w:rPr>
        <w:footnoteRef/>
      </w:r>
      <w:r w:rsidRPr="00653B7D">
        <w:rPr>
          <w:rFonts w:ascii="Times New Roman" w:hAnsi="Times New Roman" w:cs="Times New Roman"/>
          <w:sz w:val="24"/>
          <w:szCs w:val="24"/>
        </w:rPr>
        <w:t xml:space="preserve"> COBIT: </w:t>
      </w:r>
      <w:r w:rsidRPr="00653B7D">
        <w:rPr>
          <w:rStyle w:val="tgc"/>
          <w:rFonts w:ascii="Times New Roman" w:hAnsi="Times New Roman" w:cs="Times New Roman"/>
          <w:sz w:val="24"/>
          <w:szCs w:val="24"/>
        </w:rPr>
        <w:t>Control Objectives for Information and Related Technologies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2A1F66"/>
    <w:multiLevelType w:val="multilevel"/>
    <w:tmpl w:val="98B87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DF2205A"/>
    <w:multiLevelType w:val="hybridMultilevel"/>
    <w:tmpl w:val="AB5ED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F32D75"/>
    <w:multiLevelType w:val="hybridMultilevel"/>
    <w:tmpl w:val="58400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836A7D"/>
    <w:multiLevelType w:val="hybridMultilevel"/>
    <w:tmpl w:val="04EC1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0A4C95"/>
    <w:multiLevelType w:val="hybridMultilevel"/>
    <w:tmpl w:val="461AC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616CC4"/>
    <w:multiLevelType w:val="hybridMultilevel"/>
    <w:tmpl w:val="AF1C6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04B"/>
    <w:rsid w:val="000025F3"/>
    <w:rsid w:val="00006BE5"/>
    <w:rsid w:val="0001391F"/>
    <w:rsid w:val="0001407D"/>
    <w:rsid w:val="00016FF3"/>
    <w:rsid w:val="000204FC"/>
    <w:rsid w:val="00021129"/>
    <w:rsid w:val="00027DE7"/>
    <w:rsid w:val="00047EB1"/>
    <w:rsid w:val="0005465C"/>
    <w:rsid w:val="000560FA"/>
    <w:rsid w:val="00071CEB"/>
    <w:rsid w:val="00071F4C"/>
    <w:rsid w:val="000724FB"/>
    <w:rsid w:val="000858EE"/>
    <w:rsid w:val="00093B05"/>
    <w:rsid w:val="000A1994"/>
    <w:rsid w:val="000A240F"/>
    <w:rsid w:val="000B5ED5"/>
    <w:rsid w:val="000F0E01"/>
    <w:rsid w:val="00103F8E"/>
    <w:rsid w:val="00110E33"/>
    <w:rsid w:val="00146A42"/>
    <w:rsid w:val="00162ADC"/>
    <w:rsid w:val="00171C80"/>
    <w:rsid w:val="00180E33"/>
    <w:rsid w:val="00181679"/>
    <w:rsid w:val="00181AE5"/>
    <w:rsid w:val="00195F9A"/>
    <w:rsid w:val="001A1A5F"/>
    <w:rsid w:val="001A20D2"/>
    <w:rsid w:val="001B05ED"/>
    <w:rsid w:val="001B2877"/>
    <w:rsid w:val="001F0C80"/>
    <w:rsid w:val="00204894"/>
    <w:rsid w:val="0024641B"/>
    <w:rsid w:val="00254226"/>
    <w:rsid w:val="0027791E"/>
    <w:rsid w:val="002817BD"/>
    <w:rsid w:val="002A004B"/>
    <w:rsid w:val="002A5875"/>
    <w:rsid w:val="002C2372"/>
    <w:rsid w:val="002E0ECE"/>
    <w:rsid w:val="002F3500"/>
    <w:rsid w:val="002F4EB1"/>
    <w:rsid w:val="002F54BC"/>
    <w:rsid w:val="002F594C"/>
    <w:rsid w:val="002F5C26"/>
    <w:rsid w:val="002F7107"/>
    <w:rsid w:val="00307CC3"/>
    <w:rsid w:val="00317D92"/>
    <w:rsid w:val="00333204"/>
    <w:rsid w:val="00333EC2"/>
    <w:rsid w:val="003658FA"/>
    <w:rsid w:val="00372CA8"/>
    <w:rsid w:val="0037559C"/>
    <w:rsid w:val="00393525"/>
    <w:rsid w:val="003978B8"/>
    <w:rsid w:val="003A4F43"/>
    <w:rsid w:val="003A5C61"/>
    <w:rsid w:val="003B5E63"/>
    <w:rsid w:val="003D1AA0"/>
    <w:rsid w:val="003E4817"/>
    <w:rsid w:val="003F1A86"/>
    <w:rsid w:val="00403DA2"/>
    <w:rsid w:val="00417703"/>
    <w:rsid w:val="00417E5D"/>
    <w:rsid w:val="00426841"/>
    <w:rsid w:val="00451604"/>
    <w:rsid w:val="00467CA8"/>
    <w:rsid w:val="00473551"/>
    <w:rsid w:val="00475E95"/>
    <w:rsid w:val="00485CCA"/>
    <w:rsid w:val="004A0CF1"/>
    <w:rsid w:val="004A7341"/>
    <w:rsid w:val="004B0D5D"/>
    <w:rsid w:val="004C4719"/>
    <w:rsid w:val="004C5454"/>
    <w:rsid w:val="004C6F95"/>
    <w:rsid w:val="00502D95"/>
    <w:rsid w:val="00512460"/>
    <w:rsid w:val="0051418B"/>
    <w:rsid w:val="00533051"/>
    <w:rsid w:val="00551613"/>
    <w:rsid w:val="00571A35"/>
    <w:rsid w:val="00576989"/>
    <w:rsid w:val="005B29C5"/>
    <w:rsid w:val="005D487A"/>
    <w:rsid w:val="005D7FDF"/>
    <w:rsid w:val="005E5C05"/>
    <w:rsid w:val="00612A3B"/>
    <w:rsid w:val="00635A0A"/>
    <w:rsid w:val="00640C98"/>
    <w:rsid w:val="00653B7D"/>
    <w:rsid w:val="00664409"/>
    <w:rsid w:val="00664581"/>
    <w:rsid w:val="006877A0"/>
    <w:rsid w:val="00687E5E"/>
    <w:rsid w:val="0069482D"/>
    <w:rsid w:val="006B6D2B"/>
    <w:rsid w:val="006C168F"/>
    <w:rsid w:val="006C748E"/>
    <w:rsid w:val="006D236F"/>
    <w:rsid w:val="006E1063"/>
    <w:rsid w:val="0070018A"/>
    <w:rsid w:val="00710A71"/>
    <w:rsid w:val="007130BC"/>
    <w:rsid w:val="007132F4"/>
    <w:rsid w:val="00713560"/>
    <w:rsid w:val="00733AEE"/>
    <w:rsid w:val="007378EE"/>
    <w:rsid w:val="00757599"/>
    <w:rsid w:val="00772BC6"/>
    <w:rsid w:val="00795F26"/>
    <w:rsid w:val="007C0C40"/>
    <w:rsid w:val="007C7F3A"/>
    <w:rsid w:val="007E1175"/>
    <w:rsid w:val="007E1C96"/>
    <w:rsid w:val="007F459C"/>
    <w:rsid w:val="00801DEC"/>
    <w:rsid w:val="008026D0"/>
    <w:rsid w:val="0080509C"/>
    <w:rsid w:val="00850B11"/>
    <w:rsid w:val="00857338"/>
    <w:rsid w:val="00861B37"/>
    <w:rsid w:val="008C3B99"/>
    <w:rsid w:val="008C5B84"/>
    <w:rsid w:val="008D166B"/>
    <w:rsid w:val="008D2F34"/>
    <w:rsid w:val="008D406D"/>
    <w:rsid w:val="008F1692"/>
    <w:rsid w:val="009077AC"/>
    <w:rsid w:val="00917D87"/>
    <w:rsid w:val="00934470"/>
    <w:rsid w:val="009362AD"/>
    <w:rsid w:val="00940C3B"/>
    <w:rsid w:val="009561EC"/>
    <w:rsid w:val="00972878"/>
    <w:rsid w:val="009770F6"/>
    <w:rsid w:val="00985160"/>
    <w:rsid w:val="00995891"/>
    <w:rsid w:val="009977CE"/>
    <w:rsid w:val="009D24B6"/>
    <w:rsid w:val="009D6F99"/>
    <w:rsid w:val="009E1136"/>
    <w:rsid w:val="009E2DD9"/>
    <w:rsid w:val="009E59FB"/>
    <w:rsid w:val="009F34F9"/>
    <w:rsid w:val="009F6BA8"/>
    <w:rsid w:val="009F7EFE"/>
    <w:rsid w:val="00A06906"/>
    <w:rsid w:val="00A17434"/>
    <w:rsid w:val="00A37A3A"/>
    <w:rsid w:val="00A450B4"/>
    <w:rsid w:val="00A522AA"/>
    <w:rsid w:val="00A5623A"/>
    <w:rsid w:val="00A638A8"/>
    <w:rsid w:val="00A818F1"/>
    <w:rsid w:val="00A830CF"/>
    <w:rsid w:val="00A8656F"/>
    <w:rsid w:val="00AA1F76"/>
    <w:rsid w:val="00AB43B2"/>
    <w:rsid w:val="00AD172E"/>
    <w:rsid w:val="00AD66F5"/>
    <w:rsid w:val="00AF75E7"/>
    <w:rsid w:val="00B04A2A"/>
    <w:rsid w:val="00B1633F"/>
    <w:rsid w:val="00B32EDF"/>
    <w:rsid w:val="00B427AD"/>
    <w:rsid w:val="00B56738"/>
    <w:rsid w:val="00B72E22"/>
    <w:rsid w:val="00B7450C"/>
    <w:rsid w:val="00B753B1"/>
    <w:rsid w:val="00B75B2D"/>
    <w:rsid w:val="00B93311"/>
    <w:rsid w:val="00B95A97"/>
    <w:rsid w:val="00B96251"/>
    <w:rsid w:val="00BA3B98"/>
    <w:rsid w:val="00BB7844"/>
    <w:rsid w:val="00BC39BB"/>
    <w:rsid w:val="00BC770F"/>
    <w:rsid w:val="00BD0679"/>
    <w:rsid w:val="00BD24B4"/>
    <w:rsid w:val="00C06B0C"/>
    <w:rsid w:val="00C27DE9"/>
    <w:rsid w:val="00C40DC2"/>
    <w:rsid w:val="00C43D68"/>
    <w:rsid w:val="00C60390"/>
    <w:rsid w:val="00C87AA3"/>
    <w:rsid w:val="00CA2398"/>
    <w:rsid w:val="00CB439F"/>
    <w:rsid w:val="00CD44C5"/>
    <w:rsid w:val="00CD53D2"/>
    <w:rsid w:val="00CD76C6"/>
    <w:rsid w:val="00CE582D"/>
    <w:rsid w:val="00D30030"/>
    <w:rsid w:val="00D316D5"/>
    <w:rsid w:val="00D33FD4"/>
    <w:rsid w:val="00D60A4B"/>
    <w:rsid w:val="00D63D5C"/>
    <w:rsid w:val="00D74ABF"/>
    <w:rsid w:val="00D80656"/>
    <w:rsid w:val="00DA56BF"/>
    <w:rsid w:val="00DD350A"/>
    <w:rsid w:val="00DE1945"/>
    <w:rsid w:val="00DF1A66"/>
    <w:rsid w:val="00E04539"/>
    <w:rsid w:val="00E26427"/>
    <w:rsid w:val="00E27C31"/>
    <w:rsid w:val="00E31153"/>
    <w:rsid w:val="00E3512B"/>
    <w:rsid w:val="00E46C1B"/>
    <w:rsid w:val="00E5670B"/>
    <w:rsid w:val="00E61FC9"/>
    <w:rsid w:val="00E806AA"/>
    <w:rsid w:val="00EB28D8"/>
    <w:rsid w:val="00EC1A7A"/>
    <w:rsid w:val="00ED381C"/>
    <w:rsid w:val="00ED483E"/>
    <w:rsid w:val="00EF2A02"/>
    <w:rsid w:val="00F12FC5"/>
    <w:rsid w:val="00F3451B"/>
    <w:rsid w:val="00F43BDB"/>
    <w:rsid w:val="00F458E1"/>
    <w:rsid w:val="00F45A95"/>
    <w:rsid w:val="00F5145D"/>
    <w:rsid w:val="00F6028A"/>
    <w:rsid w:val="00FB0A53"/>
    <w:rsid w:val="00FC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17E16A-AF7B-4435-B282-D2A49ABE0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53B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53B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004B"/>
    <w:rPr>
      <w:color w:val="0000FF"/>
      <w:u w:val="single"/>
    </w:rPr>
  </w:style>
  <w:style w:type="paragraph" w:styleId="NormalWeb">
    <w:name w:val="Normal (Web)"/>
    <w:basedOn w:val="Normal"/>
    <w:uiPriority w:val="99"/>
    <w:semiHidden/>
    <w:unhideWhenUsed/>
    <w:rsid w:val="002A00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17E5D"/>
    <w:rPr>
      <w:b/>
      <w:bCs/>
    </w:rPr>
  </w:style>
  <w:style w:type="paragraph" w:styleId="ListParagraph">
    <w:name w:val="List Paragraph"/>
    <w:basedOn w:val="Normal"/>
    <w:uiPriority w:val="34"/>
    <w:qFormat/>
    <w:rsid w:val="00664409"/>
    <w:pPr>
      <w:ind w:left="720"/>
      <w:contextualSpacing/>
    </w:pPr>
  </w:style>
  <w:style w:type="paragraph" w:styleId="FootnoteText">
    <w:name w:val="footnote text"/>
    <w:basedOn w:val="Normal"/>
    <w:link w:val="FootnoteTextChar"/>
    <w:uiPriority w:val="99"/>
    <w:semiHidden/>
    <w:unhideWhenUsed/>
    <w:rsid w:val="00A830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830CF"/>
    <w:rPr>
      <w:sz w:val="20"/>
      <w:szCs w:val="20"/>
    </w:rPr>
  </w:style>
  <w:style w:type="character" w:styleId="FootnoteReference">
    <w:name w:val="footnote reference"/>
    <w:basedOn w:val="DefaultParagraphFont"/>
    <w:uiPriority w:val="99"/>
    <w:semiHidden/>
    <w:unhideWhenUsed/>
    <w:rsid w:val="00A830CF"/>
    <w:rPr>
      <w:vertAlign w:val="superscript"/>
    </w:rPr>
  </w:style>
  <w:style w:type="character" w:customStyle="1" w:styleId="tgc">
    <w:name w:val="_tgc"/>
    <w:basedOn w:val="DefaultParagraphFont"/>
    <w:rsid w:val="00A830CF"/>
  </w:style>
  <w:style w:type="paragraph" w:styleId="Header">
    <w:name w:val="header"/>
    <w:basedOn w:val="Normal"/>
    <w:link w:val="HeaderChar"/>
    <w:uiPriority w:val="99"/>
    <w:unhideWhenUsed/>
    <w:rsid w:val="00F345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451B"/>
  </w:style>
  <w:style w:type="paragraph" w:styleId="Footer">
    <w:name w:val="footer"/>
    <w:basedOn w:val="Normal"/>
    <w:link w:val="FooterChar"/>
    <w:uiPriority w:val="99"/>
    <w:unhideWhenUsed/>
    <w:rsid w:val="00F345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451B"/>
  </w:style>
  <w:style w:type="character" w:customStyle="1" w:styleId="Heading1Char">
    <w:name w:val="Heading 1 Char"/>
    <w:basedOn w:val="DefaultParagraphFont"/>
    <w:link w:val="Heading1"/>
    <w:uiPriority w:val="9"/>
    <w:rsid w:val="00653B7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53B7D"/>
    <w:rPr>
      <w:rFonts w:asciiTheme="majorHAnsi" w:eastAsiaTheme="majorEastAsia" w:hAnsiTheme="majorHAnsi" w:cstheme="majorBidi"/>
      <w:color w:val="2E74B5" w:themeColor="accent1" w:themeShade="BF"/>
      <w:sz w:val="26"/>
      <w:szCs w:val="26"/>
    </w:rPr>
  </w:style>
  <w:style w:type="paragraph" w:styleId="Bibliography">
    <w:name w:val="Bibliography"/>
    <w:basedOn w:val="Normal"/>
    <w:next w:val="Normal"/>
    <w:uiPriority w:val="37"/>
    <w:unhideWhenUsed/>
    <w:rsid w:val="00653B7D"/>
  </w:style>
  <w:style w:type="paragraph" w:styleId="TOCHeading">
    <w:name w:val="TOC Heading"/>
    <w:basedOn w:val="Heading1"/>
    <w:next w:val="Normal"/>
    <w:uiPriority w:val="39"/>
    <w:unhideWhenUsed/>
    <w:qFormat/>
    <w:rsid w:val="00EF2A02"/>
    <w:pPr>
      <w:outlineLvl w:val="9"/>
    </w:pPr>
  </w:style>
  <w:style w:type="paragraph" w:styleId="TOC1">
    <w:name w:val="toc 1"/>
    <w:basedOn w:val="Normal"/>
    <w:next w:val="Normal"/>
    <w:autoRedefine/>
    <w:uiPriority w:val="39"/>
    <w:unhideWhenUsed/>
    <w:rsid w:val="00EF2A02"/>
    <w:pPr>
      <w:spacing w:after="100"/>
    </w:pPr>
  </w:style>
  <w:style w:type="paragraph" w:styleId="TOC2">
    <w:name w:val="toc 2"/>
    <w:basedOn w:val="Normal"/>
    <w:next w:val="Normal"/>
    <w:autoRedefine/>
    <w:uiPriority w:val="39"/>
    <w:unhideWhenUsed/>
    <w:rsid w:val="00EF2A0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16775">
      <w:bodyDiv w:val="1"/>
      <w:marLeft w:val="0"/>
      <w:marRight w:val="0"/>
      <w:marTop w:val="0"/>
      <w:marBottom w:val="0"/>
      <w:divBdr>
        <w:top w:val="none" w:sz="0" w:space="0" w:color="auto"/>
        <w:left w:val="none" w:sz="0" w:space="0" w:color="auto"/>
        <w:bottom w:val="none" w:sz="0" w:space="0" w:color="auto"/>
        <w:right w:val="none" w:sz="0" w:space="0" w:color="auto"/>
      </w:divBdr>
    </w:div>
    <w:div w:id="44573587">
      <w:bodyDiv w:val="1"/>
      <w:marLeft w:val="0"/>
      <w:marRight w:val="0"/>
      <w:marTop w:val="0"/>
      <w:marBottom w:val="0"/>
      <w:divBdr>
        <w:top w:val="none" w:sz="0" w:space="0" w:color="auto"/>
        <w:left w:val="none" w:sz="0" w:space="0" w:color="auto"/>
        <w:bottom w:val="none" w:sz="0" w:space="0" w:color="auto"/>
        <w:right w:val="none" w:sz="0" w:space="0" w:color="auto"/>
      </w:divBdr>
    </w:div>
    <w:div w:id="96291991">
      <w:bodyDiv w:val="1"/>
      <w:marLeft w:val="0"/>
      <w:marRight w:val="0"/>
      <w:marTop w:val="0"/>
      <w:marBottom w:val="0"/>
      <w:divBdr>
        <w:top w:val="none" w:sz="0" w:space="0" w:color="auto"/>
        <w:left w:val="none" w:sz="0" w:space="0" w:color="auto"/>
        <w:bottom w:val="none" w:sz="0" w:space="0" w:color="auto"/>
        <w:right w:val="none" w:sz="0" w:space="0" w:color="auto"/>
      </w:divBdr>
      <w:divsChild>
        <w:div w:id="2107455595">
          <w:marLeft w:val="0"/>
          <w:marRight w:val="0"/>
          <w:marTop w:val="0"/>
          <w:marBottom w:val="0"/>
          <w:divBdr>
            <w:top w:val="none" w:sz="0" w:space="0" w:color="auto"/>
            <w:left w:val="none" w:sz="0" w:space="0" w:color="auto"/>
            <w:bottom w:val="none" w:sz="0" w:space="0" w:color="auto"/>
            <w:right w:val="none" w:sz="0" w:space="0" w:color="auto"/>
          </w:divBdr>
        </w:div>
        <w:div w:id="4019947">
          <w:marLeft w:val="0"/>
          <w:marRight w:val="0"/>
          <w:marTop w:val="0"/>
          <w:marBottom w:val="0"/>
          <w:divBdr>
            <w:top w:val="none" w:sz="0" w:space="0" w:color="auto"/>
            <w:left w:val="none" w:sz="0" w:space="0" w:color="auto"/>
            <w:bottom w:val="none" w:sz="0" w:space="0" w:color="auto"/>
            <w:right w:val="none" w:sz="0" w:space="0" w:color="auto"/>
          </w:divBdr>
        </w:div>
        <w:div w:id="160589491">
          <w:marLeft w:val="0"/>
          <w:marRight w:val="0"/>
          <w:marTop w:val="0"/>
          <w:marBottom w:val="0"/>
          <w:divBdr>
            <w:top w:val="none" w:sz="0" w:space="0" w:color="auto"/>
            <w:left w:val="none" w:sz="0" w:space="0" w:color="auto"/>
            <w:bottom w:val="none" w:sz="0" w:space="0" w:color="auto"/>
            <w:right w:val="none" w:sz="0" w:space="0" w:color="auto"/>
          </w:divBdr>
        </w:div>
        <w:div w:id="334961184">
          <w:marLeft w:val="0"/>
          <w:marRight w:val="0"/>
          <w:marTop w:val="0"/>
          <w:marBottom w:val="0"/>
          <w:divBdr>
            <w:top w:val="none" w:sz="0" w:space="0" w:color="auto"/>
            <w:left w:val="none" w:sz="0" w:space="0" w:color="auto"/>
            <w:bottom w:val="none" w:sz="0" w:space="0" w:color="auto"/>
            <w:right w:val="none" w:sz="0" w:space="0" w:color="auto"/>
          </w:divBdr>
        </w:div>
        <w:div w:id="996223295">
          <w:marLeft w:val="0"/>
          <w:marRight w:val="0"/>
          <w:marTop w:val="0"/>
          <w:marBottom w:val="0"/>
          <w:divBdr>
            <w:top w:val="none" w:sz="0" w:space="0" w:color="auto"/>
            <w:left w:val="none" w:sz="0" w:space="0" w:color="auto"/>
            <w:bottom w:val="none" w:sz="0" w:space="0" w:color="auto"/>
            <w:right w:val="none" w:sz="0" w:space="0" w:color="auto"/>
          </w:divBdr>
        </w:div>
        <w:div w:id="1469935421">
          <w:marLeft w:val="0"/>
          <w:marRight w:val="0"/>
          <w:marTop w:val="0"/>
          <w:marBottom w:val="0"/>
          <w:divBdr>
            <w:top w:val="none" w:sz="0" w:space="0" w:color="auto"/>
            <w:left w:val="none" w:sz="0" w:space="0" w:color="auto"/>
            <w:bottom w:val="none" w:sz="0" w:space="0" w:color="auto"/>
            <w:right w:val="none" w:sz="0" w:space="0" w:color="auto"/>
          </w:divBdr>
        </w:div>
        <w:div w:id="617030118">
          <w:marLeft w:val="0"/>
          <w:marRight w:val="0"/>
          <w:marTop w:val="0"/>
          <w:marBottom w:val="0"/>
          <w:divBdr>
            <w:top w:val="none" w:sz="0" w:space="0" w:color="auto"/>
            <w:left w:val="none" w:sz="0" w:space="0" w:color="auto"/>
            <w:bottom w:val="none" w:sz="0" w:space="0" w:color="auto"/>
            <w:right w:val="none" w:sz="0" w:space="0" w:color="auto"/>
          </w:divBdr>
        </w:div>
      </w:divsChild>
    </w:div>
    <w:div w:id="214699310">
      <w:bodyDiv w:val="1"/>
      <w:marLeft w:val="0"/>
      <w:marRight w:val="0"/>
      <w:marTop w:val="0"/>
      <w:marBottom w:val="0"/>
      <w:divBdr>
        <w:top w:val="none" w:sz="0" w:space="0" w:color="auto"/>
        <w:left w:val="none" w:sz="0" w:space="0" w:color="auto"/>
        <w:bottom w:val="none" w:sz="0" w:space="0" w:color="auto"/>
        <w:right w:val="none" w:sz="0" w:space="0" w:color="auto"/>
      </w:divBdr>
      <w:divsChild>
        <w:div w:id="955913080">
          <w:marLeft w:val="0"/>
          <w:marRight w:val="0"/>
          <w:marTop w:val="0"/>
          <w:marBottom w:val="0"/>
          <w:divBdr>
            <w:top w:val="none" w:sz="0" w:space="0" w:color="auto"/>
            <w:left w:val="none" w:sz="0" w:space="0" w:color="auto"/>
            <w:bottom w:val="none" w:sz="0" w:space="0" w:color="auto"/>
            <w:right w:val="none" w:sz="0" w:space="0" w:color="auto"/>
          </w:divBdr>
        </w:div>
        <w:div w:id="2053921523">
          <w:marLeft w:val="0"/>
          <w:marRight w:val="0"/>
          <w:marTop w:val="0"/>
          <w:marBottom w:val="0"/>
          <w:divBdr>
            <w:top w:val="none" w:sz="0" w:space="0" w:color="auto"/>
            <w:left w:val="none" w:sz="0" w:space="0" w:color="auto"/>
            <w:bottom w:val="none" w:sz="0" w:space="0" w:color="auto"/>
            <w:right w:val="none" w:sz="0" w:space="0" w:color="auto"/>
          </w:divBdr>
        </w:div>
        <w:div w:id="1162894242">
          <w:marLeft w:val="0"/>
          <w:marRight w:val="0"/>
          <w:marTop w:val="0"/>
          <w:marBottom w:val="0"/>
          <w:divBdr>
            <w:top w:val="none" w:sz="0" w:space="0" w:color="auto"/>
            <w:left w:val="none" w:sz="0" w:space="0" w:color="auto"/>
            <w:bottom w:val="none" w:sz="0" w:space="0" w:color="auto"/>
            <w:right w:val="none" w:sz="0" w:space="0" w:color="auto"/>
          </w:divBdr>
        </w:div>
        <w:div w:id="85656233">
          <w:marLeft w:val="0"/>
          <w:marRight w:val="0"/>
          <w:marTop w:val="0"/>
          <w:marBottom w:val="0"/>
          <w:divBdr>
            <w:top w:val="none" w:sz="0" w:space="0" w:color="auto"/>
            <w:left w:val="none" w:sz="0" w:space="0" w:color="auto"/>
            <w:bottom w:val="none" w:sz="0" w:space="0" w:color="auto"/>
            <w:right w:val="none" w:sz="0" w:space="0" w:color="auto"/>
          </w:divBdr>
        </w:div>
      </w:divsChild>
    </w:div>
    <w:div w:id="246572146">
      <w:bodyDiv w:val="1"/>
      <w:marLeft w:val="0"/>
      <w:marRight w:val="0"/>
      <w:marTop w:val="0"/>
      <w:marBottom w:val="0"/>
      <w:divBdr>
        <w:top w:val="none" w:sz="0" w:space="0" w:color="auto"/>
        <w:left w:val="none" w:sz="0" w:space="0" w:color="auto"/>
        <w:bottom w:val="none" w:sz="0" w:space="0" w:color="auto"/>
        <w:right w:val="none" w:sz="0" w:space="0" w:color="auto"/>
      </w:divBdr>
    </w:div>
    <w:div w:id="278922043">
      <w:bodyDiv w:val="1"/>
      <w:marLeft w:val="0"/>
      <w:marRight w:val="0"/>
      <w:marTop w:val="0"/>
      <w:marBottom w:val="0"/>
      <w:divBdr>
        <w:top w:val="none" w:sz="0" w:space="0" w:color="auto"/>
        <w:left w:val="none" w:sz="0" w:space="0" w:color="auto"/>
        <w:bottom w:val="none" w:sz="0" w:space="0" w:color="auto"/>
        <w:right w:val="none" w:sz="0" w:space="0" w:color="auto"/>
      </w:divBdr>
    </w:div>
    <w:div w:id="282272497">
      <w:bodyDiv w:val="1"/>
      <w:marLeft w:val="0"/>
      <w:marRight w:val="0"/>
      <w:marTop w:val="0"/>
      <w:marBottom w:val="0"/>
      <w:divBdr>
        <w:top w:val="none" w:sz="0" w:space="0" w:color="auto"/>
        <w:left w:val="none" w:sz="0" w:space="0" w:color="auto"/>
        <w:bottom w:val="none" w:sz="0" w:space="0" w:color="auto"/>
        <w:right w:val="none" w:sz="0" w:space="0" w:color="auto"/>
      </w:divBdr>
    </w:div>
    <w:div w:id="289438858">
      <w:bodyDiv w:val="1"/>
      <w:marLeft w:val="0"/>
      <w:marRight w:val="0"/>
      <w:marTop w:val="0"/>
      <w:marBottom w:val="0"/>
      <w:divBdr>
        <w:top w:val="none" w:sz="0" w:space="0" w:color="auto"/>
        <w:left w:val="none" w:sz="0" w:space="0" w:color="auto"/>
        <w:bottom w:val="none" w:sz="0" w:space="0" w:color="auto"/>
        <w:right w:val="none" w:sz="0" w:space="0" w:color="auto"/>
      </w:divBdr>
    </w:div>
    <w:div w:id="331030717">
      <w:bodyDiv w:val="1"/>
      <w:marLeft w:val="0"/>
      <w:marRight w:val="0"/>
      <w:marTop w:val="0"/>
      <w:marBottom w:val="0"/>
      <w:divBdr>
        <w:top w:val="none" w:sz="0" w:space="0" w:color="auto"/>
        <w:left w:val="none" w:sz="0" w:space="0" w:color="auto"/>
        <w:bottom w:val="none" w:sz="0" w:space="0" w:color="auto"/>
        <w:right w:val="none" w:sz="0" w:space="0" w:color="auto"/>
      </w:divBdr>
    </w:div>
    <w:div w:id="340012838">
      <w:bodyDiv w:val="1"/>
      <w:marLeft w:val="0"/>
      <w:marRight w:val="0"/>
      <w:marTop w:val="0"/>
      <w:marBottom w:val="0"/>
      <w:divBdr>
        <w:top w:val="none" w:sz="0" w:space="0" w:color="auto"/>
        <w:left w:val="none" w:sz="0" w:space="0" w:color="auto"/>
        <w:bottom w:val="none" w:sz="0" w:space="0" w:color="auto"/>
        <w:right w:val="none" w:sz="0" w:space="0" w:color="auto"/>
      </w:divBdr>
    </w:div>
    <w:div w:id="370035440">
      <w:bodyDiv w:val="1"/>
      <w:marLeft w:val="0"/>
      <w:marRight w:val="0"/>
      <w:marTop w:val="0"/>
      <w:marBottom w:val="0"/>
      <w:divBdr>
        <w:top w:val="none" w:sz="0" w:space="0" w:color="auto"/>
        <w:left w:val="none" w:sz="0" w:space="0" w:color="auto"/>
        <w:bottom w:val="none" w:sz="0" w:space="0" w:color="auto"/>
        <w:right w:val="none" w:sz="0" w:space="0" w:color="auto"/>
      </w:divBdr>
    </w:div>
    <w:div w:id="449907579">
      <w:bodyDiv w:val="1"/>
      <w:marLeft w:val="0"/>
      <w:marRight w:val="0"/>
      <w:marTop w:val="0"/>
      <w:marBottom w:val="0"/>
      <w:divBdr>
        <w:top w:val="none" w:sz="0" w:space="0" w:color="auto"/>
        <w:left w:val="none" w:sz="0" w:space="0" w:color="auto"/>
        <w:bottom w:val="none" w:sz="0" w:space="0" w:color="auto"/>
        <w:right w:val="none" w:sz="0" w:space="0" w:color="auto"/>
      </w:divBdr>
      <w:divsChild>
        <w:div w:id="574900870">
          <w:marLeft w:val="0"/>
          <w:marRight w:val="0"/>
          <w:marTop w:val="0"/>
          <w:marBottom w:val="0"/>
          <w:divBdr>
            <w:top w:val="none" w:sz="0" w:space="0" w:color="auto"/>
            <w:left w:val="none" w:sz="0" w:space="0" w:color="auto"/>
            <w:bottom w:val="none" w:sz="0" w:space="0" w:color="auto"/>
            <w:right w:val="none" w:sz="0" w:space="0" w:color="auto"/>
          </w:divBdr>
          <w:divsChild>
            <w:div w:id="1929993815">
              <w:marLeft w:val="0"/>
              <w:marRight w:val="0"/>
              <w:marTop w:val="0"/>
              <w:marBottom w:val="0"/>
              <w:divBdr>
                <w:top w:val="none" w:sz="0" w:space="0" w:color="auto"/>
                <w:left w:val="none" w:sz="0" w:space="0" w:color="auto"/>
                <w:bottom w:val="none" w:sz="0" w:space="0" w:color="auto"/>
                <w:right w:val="none" w:sz="0" w:space="0" w:color="auto"/>
              </w:divBdr>
            </w:div>
            <w:div w:id="1536045584">
              <w:marLeft w:val="0"/>
              <w:marRight w:val="0"/>
              <w:marTop w:val="0"/>
              <w:marBottom w:val="0"/>
              <w:divBdr>
                <w:top w:val="none" w:sz="0" w:space="0" w:color="auto"/>
                <w:left w:val="none" w:sz="0" w:space="0" w:color="auto"/>
                <w:bottom w:val="none" w:sz="0" w:space="0" w:color="auto"/>
                <w:right w:val="none" w:sz="0" w:space="0" w:color="auto"/>
              </w:divBdr>
            </w:div>
            <w:div w:id="435057610">
              <w:marLeft w:val="0"/>
              <w:marRight w:val="0"/>
              <w:marTop w:val="0"/>
              <w:marBottom w:val="0"/>
              <w:divBdr>
                <w:top w:val="none" w:sz="0" w:space="0" w:color="auto"/>
                <w:left w:val="none" w:sz="0" w:space="0" w:color="auto"/>
                <w:bottom w:val="none" w:sz="0" w:space="0" w:color="auto"/>
                <w:right w:val="none" w:sz="0" w:space="0" w:color="auto"/>
              </w:divBdr>
            </w:div>
            <w:div w:id="607081902">
              <w:marLeft w:val="0"/>
              <w:marRight w:val="0"/>
              <w:marTop w:val="0"/>
              <w:marBottom w:val="0"/>
              <w:divBdr>
                <w:top w:val="none" w:sz="0" w:space="0" w:color="auto"/>
                <w:left w:val="none" w:sz="0" w:space="0" w:color="auto"/>
                <w:bottom w:val="none" w:sz="0" w:space="0" w:color="auto"/>
                <w:right w:val="none" w:sz="0" w:space="0" w:color="auto"/>
              </w:divBdr>
            </w:div>
            <w:div w:id="514458716">
              <w:marLeft w:val="0"/>
              <w:marRight w:val="0"/>
              <w:marTop w:val="0"/>
              <w:marBottom w:val="0"/>
              <w:divBdr>
                <w:top w:val="none" w:sz="0" w:space="0" w:color="auto"/>
                <w:left w:val="none" w:sz="0" w:space="0" w:color="auto"/>
                <w:bottom w:val="none" w:sz="0" w:space="0" w:color="auto"/>
                <w:right w:val="none" w:sz="0" w:space="0" w:color="auto"/>
              </w:divBdr>
            </w:div>
            <w:div w:id="129676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515296">
      <w:bodyDiv w:val="1"/>
      <w:marLeft w:val="0"/>
      <w:marRight w:val="0"/>
      <w:marTop w:val="0"/>
      <w:marBottom w:val="0"/>
      <w:divBdr>
        <w:top w:val="none" w:sz="0" w:space="0" w:color="auto"/>
        <w:left w:val="none" w:sz="0" w:space="0" w:color="auto"/>
        <w:bottom w:val="none" w:sz="0" w:space="0" w:color="auto"/>
        <w:right w:val="none" w:sz="0" w:space="0" w:color="auto"/>
      </w:divBdr>
    </w:div>
    <w:div w:id="509567301">
      <w:bodyDiv w:val="1"/>
      <w:marLeft w:val="0"/>
      <w:marRight w:val="0"/>
      <w:marTop w:val="0"/>
      <w:marBottom w:val="0"/>
      <w:divBdr>
        <w:top w:val="none" w:sz="0" w:space="0" w:color="auto"/>
        <w:left w:val="none" w:sz="0" w:space="0" w:color="auto"/>
        <w:bottom w:val="none" w:sz="0" w:space="0" w:color="auto"/>
        <w:right w:val="none" w:sz="0" w:space="0" w:color="auto"/>
      </w:divBdr>
    </w:div>
    <w:div w:id="655572776">
      <w:bodyDiv w:val="1"/>
      <w:marLeft w:val="0"/>
      <w:marRight w:val="0"/>
      <w:marTop w:val="0"/>
      <w:marBottom w:val="0"/>
      <w:divBdr>
        <w:top w:val="none" w:sz="0" w:space="0" w:color="auto"/>
        <w:left w:val="none" w:sz="0" w:space="0" w:color="auto"/>
        <w:bottom w:val="none" w:sz="0" w:space="0" w:color="auto"/>
        <w:right w:val="none" w:sz="0" w:space="0" w:color="auto"/>
      </w:divBdr>
    </w:div>
    <w:div w:id="690032186">
      <w:bodyDiv w:val="1"/>
      <w:marLeft w:val="0"/>
      <w:marRight w:val="0"/>
      <w:marTop w:val="0"/>
      <w:marBottom w:val="0"/>
      <w:divBdr>
        <w:top w:val="none" w:sz="0" w:space="0" w:color="auto"/>
        <w:left w:val="none" w:sz="0" w:space="0" w:color="auto"/>
        <w:bottom w:val="none" w:sz="0" w:space="0" w:color="auto"/>
        <w:right w:val="none" w:sz="0" w:space="0" w:color="auto"/>
      </w:divBdr>
    </w:div>
    <w:div w:id="698819662">
      <w:bodyDiv w:val="1"/>
      <w:marLeft w:val="0"/>
      <w:marRight w:val="0"/>
      <w:marTop w:val="0"/>
      <w:marBottom w:val="0"/>
      <w:divBdr>
        <w:top w:val="none" w:sz="0" w:space="0" w:color="auto"/>
        <w:left w:val="none" w:sz="0" w:space="0" w:color="auto"/>
        <w:bottom w:val="none" w:sz="0" w:space="0" w:color="auto"/>
        <w:right w:val="none" w:sz="0" w:space="0" w:color="auto"/>
      </w:divBdr>
    </w:div>
    <w:div w:id="736365528">
      <w:bodyDiv w:val="1"/>
      <w:marLeft w:val="0"/>
      <w:marRight w:val="0"/>
      <w:marTop w:val="0"/>
      <w:marBottom w:val="0"/>
      <w:divBdr>
        <w:top w:val="none" w:sz="0" w:space="0" w:color="auto"/>
        <w:left w:val="none" w:sz="0" w:space="0" w:color="auto"/>
        <w:bottom w:val="none" w:sz="0" w:space="0" w:color="auto"/>
        <w:right w:val="none" w:sz="0" w:space="0" w:color="auto"/>
      </w:divBdr>
    </w:div>
    <w:div w:id="751968681">
      <w:bodyDiv w:val="1"/>
      <w:marLeft w:val="0"/>
      <w:marRight w:val="0"/>
      <w:marTop w:val="0"/>
      <w:marBottom w:val="0"/>
      <w:divBdr>
        <w:top w:val="none" w:sz="0" w:space="0" w:color="auto"/>
        <w:left w:val="none" w:sz="0" w:space="0" w:color="auto"/>
        <w:bottom w:val="none" w:sz="0" w:space="0" w:color="auto"/>
        <w:right w:val="none" w:sz="0" w:space="0" w:color="auto"/>
      </w:divBdr>
    </w:div>
    <w:div w:id="757363944">
      <w:bodyDiv w:val="1"/>
      <w:marLeft w:val="0"/>
      <w:marRight w:val="0"/>
      <w:marTop w:val="0"/>
      <w:marBottom w:val="0"/>
      <w:divBdr>
        <w:top w:val="none" w:sz="0" w:space="0" w:color="auto"/>
        <w:left w:val="none" w:sz="0" w:space="0" w:color="auto"/>
        <w:bottom w:val="none" w:sz="0" w:space="0" w:color="auto"/>
        <w:right w:val="none" w:sz="0" w:space="0" w:color="auto"/>
      </w:divBdr>
    </w:div>
    <w:div w:id="810750020">
      <w:bodyDiv w:val="1"/>
      <w:marLeft w:val="0"/>
      <w:marRight w:val="0"/>
      <w:marTop w:val="0"/>
      <w:marBottom w:val="0"/>
      <w:divBdr>
        <w:top w:val="none" w:sz="0" w:space="0" w:color="auto"/>
        <w:left w:val="none" w:sz="0" w:space="0" w:color="auto"/>
        <w:bottom w:val="none" w:sz="0" w:space="0" w:color="auto"/>
        <w:right w:val="none" w:sz="0" w:space="0" w:color="auto"/>
      </w:divBdr>
    </w:div>
    <w:div w:id="814683975">
      <w:bodyDiv w:val="1"/>
      <w:marLeft w:val="0"/>
      <w:marRight w:val="0"/>
      <w:marTop w:val="0"/>
      <w:marBottom w:val="0"/>
      <w:divBdr>
        <w:top w:val="none" w:sz="0" w:space="0" w:color="auto"/>
        <w:left w:val="none" w:sz="0" w:space="0" w:color="auto"/>
        <w:bottom w:val="none" w:sz="0" w:space="0" w:color="auto"/>
        <w:right w:val="none" w:sz="0" w:space="0" w:color="auto"/>
      </w:divBdr>
      <w:divsChild>
        <w:div w:id="1355111234">
          <w:marLeft w:val="0"/>
          <w:marRight w:val="0"/>
          <w:marTop w:val="0"/>
          <w:marBottom w:val="0"/>
          <w:divBdr>
            <w:top w:val="none" w:sz="0" w:space="0" w:color="auto"/>
            <w:left w:val="none" w:sz="0" w:space="0" w:color="auto"/>
            <w:bottom w:val="none" w:sz="0" w:space="0" w:color="auto"/>
            <w:right w:val="none" w:sz="0" w:space="0" w:color="auto"/>
          </w:divBdr>
        </w:div>
        <w:div w:id="510027845">
          <w:marLeft w:val="0"/>
          <w:marRight w:val="0"/>
          <w:marTop w:val="0"/>
          <w:marBottom w:val="0"/>
          <w:divBdr>
            <w:top w:val="none" w:sz="0" w:space="0" w:color="auto"/>
            <w:left w:val="none" w:sz="0" w:space="0" w:color="auto"/>
            <w:bottom w:val="none" w:sz="0" w:space="0" w:color="auto"/>
            <w:right w:val="none" w:sz="0" w:space="0" w:color="auto"/>
          </w:divBdr>
        </w:div>
        <w:div w:id="1367174082">
          <w:marLeft w:val="0"/>
          <w:marRight w:val="0"/>
          <w:marTop w:val="0"/>
          <w:marBottom w:val="0"/>
          <w:divBdr>
            <w:top w:val="none" w:sz="0" w:space="0" w:color="auto"/>
            <w:left w:val="none" w:sz="0" w:space="0" w:color="auto"/>
            <w:bottom w:val="none" w:sz="0" w:space="0" w:color="auto"/>
            <w:right w:val="none" w:sz="0" w:space="0" w:color="auto"/>
          </w:divBdr>
        </w:div>
        <w:div w:id="158621513">
          <w:marLeft w:val="0"/>
          <w:marRight w:val="0"/>
          <w:marTop w:val="0"/>
          <w:marBottom w:val="0"/>
          <w:divBdr>
            <w:top w:val="none" w:sz="0" w:space="0" w:color="auto"/>
            <w:left w:val="none" w:sz="0" w:space="0" w:color="auto"/>
            <w:bottom w:val="none" w:sz="0" w:space="0" w:color="auto"/>
            <w:right w:val="none" w:sz="0" w:space="0" w:color="auto"/>
          </w:divBdr>
        </w:div>
        <w:div w:id="348996214">
          <w:marLeft w:val="0"/>
          <w:marRight w:val="0"/>
          <w:marTop w:val="0"/>
          <w:marBottom w:val="0"/>
          <w:divBdr>
            <w:top w:val="none" w:sz="0" w:space="0" w:color="auto"/>
            <w:left w:val="none" w:sz="0" w:space="0" w:color="auto"/>
            <w:bottom w:val="none" w:sz="0" w:space="0" w:color="auto"/>
            <w:right w:val="none" w:sz="0" w:space="0" w:color="auto"/>
          </w:divBdr>
        </w:div>
        <w:div w:id="1360476395">
          <w:marLeft w:val="0"/>
          <w:marRight w:val="0"/>
          <w:marTop w:val="0"/>
          <w:marBottom w:val="0"/>
          <w:divBdr>
            <w:top w:val="none" w:sz="0" w:space="0" w:color="auto"/>
            <w:left w:val="none" w:sz="0" w:space="0" w:color="auto"/>
            <w:bottom w:val="none" w:sz="0" w:space="0" w:color="auto"/>
            <w:right w:val="none" w:sz="0" w:space="0" w:color="auto"/>
          </w:divBdr>
        </w:div>
        <w:div w:id="788398124">
          <w:marLeft w:val="0"/>
          <w:marRight w:val="0"/>
          <w:marTop w:val="0"/>
          <w:marBottom w:val="0"/>
          <w:divBdr>
            <w:top w:val="none" w:sz="0" w:space="0" w:color="auto"/>
            <w:left w:val="none" w:sz="0" w:space="0" w:color="auto"/>
            <w:bottom w:val="none" w:sz="0" w:space="0" w:color="auto"/>
            <w:right w:val="none" w:sz="0" w:space="0" w:color="auto"/>
          </w:divBdr>
        </w:div>
      </w:divsChild>
    </w:div>
    <w:div w:id="926958064">
      <w:bodyDiv w:val="1"/>
      <w:marLeft w:val="0"/>
      <w:marRight w:val="0"/>
      <w:marTop w:val="0"/>
      <w:marBottom w:val="0"/>
      <w:divBdr>
        <w:top w:val="none" w:sz="0" w:space="0" w:color="auto"/>
        <w:left w:val="none" w:sz="0" w:space="0" w:color="auto"/>
        <w:bottom w:val="none" w:sz="0" w:space="0" w:color="auto"/>
        <w:right w:val="none" w:sz="0" w:space="0" w:color="auto"/>
      </w:divBdr>
    </w:div>
    <w:div w:id="997685942">
      <w:bodyDiv w:val="1"/>
      <w:marLeft w:val="0"/>
      <w:marRight w:val="0"/>
      <w:marTop w:val="0"/>
      <w:marBottom w:val="0"/>
      <w:divBdr>
        <w:top w:val="none" w:sz="0" w:space="0" w:color="auto"/>
        <w:left w:val="none" w:sz="0" w:space="0" w:color="auto"/>
        <w:bottom w:val="none" w:sz="0" w:space="0" w:color="auto"/>
        <w:right w:val="none" w:sz="0" w:space="0" w:color="auto"/>
      </w:divBdr>
    </w:div>
    <w:div w:id="1067410901">
      <w:bodyDiv w:val="1"/>
      <w:marLeft w:val="0"/>
      <w:marRight w:val="0"/>
      <w:marTop w:val="0"/>
      <w:marBottom w:val="0"/>
      <w:divBdr>
        <w:top w:val="none" w:sz="0" w:space="0" w:color="auto"/>
        <w:left w:val="none" w:sz="0" w:space="0" w:color="auto"/>
        <w:bottom w:val="none" w:sz="0" w:space="0" w:color="auto"/>
        <w:right w:val="none" w:sz="0" w:space="0" w:color="auto"/>
      </w:divBdr>
      <w:divsChild>
        <w:div w:id="2036728670">
          <w:marLeft w:val="0"/>
          <w:marRight w:val="0"/>
          <w:marTop w:val="0"/>
          <w:marBottom w:val="0"/>
          <w:divBdr>
            <w:top w:val="none" w:sz="0" w:space="0" w:color="auto"/>
            <w:left w:val="none" w:sz="0" w:space="0" w:color="auto"/>
            <w:bottom w:val="none" w:sz="0" w:space="0" w:color="auto"/>
            <w:right w:val="none" w:sz="0" w:space="0" w:color="auto"/>
          </w:divBdr>
        </w:div>
        <w:div w:id="682780469">
          <w:marLeft w:val="0"/>
          <w:marRight w:val="0"/>
          <w:marTop w:val="0"/>
          <w:marBottom w:val="0"/>
          <w:divBdr>
            <w:top w:val="none" w:sz="0" w:space="0" w:color="auto"/>
            <w:left w:val="none" w:sz="0" w:space="0" w:color="auto"/>
            <w:bottom w:val="none" w:sz="0" w:space="0" w:color="auto"/>
            <w:right w:val="none" w:sz="0" w:space="0" w:color="auto"/>
          </w:divBdr>
        </w:div>
        <w:div w:id="309795850">
          <w:marLeft w:val="0"/>
          <w:marRight w:val="0"/>
          <w:marTop w:val="0"/>
          <w:marBottom w:val="0"/>
          <w:divBdr>
            <w:top w:val="none" w:sz="0" w:space="0" w:color="auto"/>
            <w:left w:val="none" w:sz="0" w:space="0" w:color="auto"/>
            <w:bottom w:val="none" w:sz="0" w:space="0" w:color="auto"/>
            <w:right w:val="none" w:sz="0" w:space="0" w:color="auto"/>
          </w:divBdr>
        </w:div>
        <w:div w:id="1184976269">
          <w:marLeft w:val="0"/>
          <w:marRight w:val="0"/>
          <w:marTop w:val="0"/>
          <w:marBottom w:val="0"/>
          <w:divBdr>
            <w:top w:val="none" w:sz="0" w:space="0" w:color="auto"/>
            <w:left w:val="none" w:sz="0" w:space="0" w:color="auto"/>
            <w:bottom w:val="none" w:sz="0" w:space="0" w:color="auto"/>
            <w:right w:val="none" w:sz="0" w:space="0" w:color="auto"/>
          </w:divBdr>
        </w:div>
        <w:div w:id="672798480">
          <w:marLeft w:val="0"/>
          <w:marRight w:val="0"/>
          <w:marTop w:val="0"/>
          <w:marBottom w:val="0"/>
          <w:divBdr>
            <w:top w:val="none" w:sz="0" w:space="0" w:color="auto"/>
            <w:left w:val="none" w:sz="0" w:space="0" w:color="auto"/>
            <w:bottom w:val="none" w:sz="0" w:space="0" w:color="auto"/>
            <w:right w:val="none" w:sz="0" w:space="0" w:color="auto"/>
          </w:divBdr>
        </w:div>
      </w:divsChild>
    </w:div>
    <w:div w:id="1077824858">
      <w:bodyDiv w:val="1"/>
      <w:marLeft w:val="0"/>
      <w:marRight w:val="0"/>
      <w:marTop w:val="0"/>
      <w:marBottom w:val="0"/>
      <w:divBdr>
        <w:top w:val="none" w:sz="0" w:space="0" w:color="auto"/>
        <w:left w:val="none" w:sz="0" w:space="0" w:color="auto"/>
        <w:bottom w:val="none" w:sz="0" w:space="0" w:color="auto"/>
        <w:right w:val="none" w:sz="0" w:space="0" w:color="auto"/>
      </w:divBdr>
      <w:divsChild>
        <w:div w:id="634608358">
          <w:marLeft w:val="0"/>
          <w:marRight w:val="0"/>
          <w:marTop w:val="0"/>
          <w:marBottom w:val="0"/>
          <w:divBdr>
            <w:top w:val="none" w:sz="0" w:space="0" w:color="auto"/>
            <w:left w:val="none" w:sz="0" w:space="0" w:color="auto"/>
            <w:bottom w:val="none" w:sz="0" w:space="0" w:color="auto"/>
            <w:right w:val="none" w:sz="0" w:space="0" w:color="auto"/>
          </w:divBdr>
        </w:div>
        <w:div w:id="1521236844">
          <w:marLeft w:val="0"/>
          <w:marRight w:val="0"/>
          <w:marTop w:val="0"/>
          <w:marBottom w:val="0"/>
          <w:divBdr>
            <w:top w:val="none" w:sz="0" w:space="0" w:color="auto"/>
            <w:left w:val="none" w:sz="0" w:space="0" w:color="auto"/>
            <w:bottom w:val="none" w:sz="0" w:space="0" w:color="auto"/>
            <w:right w:val="none" w:sz="0" w:space="0" w:color="auto"/>
          </w:divBdr>
        </w:div>
        <w:div w:id="990522379">
          <w:marLeft w:val="0"/>
          <w:marRight w:val="0"/>
          <w:marTop w:val="0"/>
          <w:marBottom w:val="0"/>
          <w:divBdr>
            <w:top w:val="none" w:sz="0" w:space="0" w:color="auto"/>
            <w:left w:val="none" w:sz="0" w:space="0" w:color="auto"/>
            <w:bottom w:val="none" w:sz="0" w:space="0" w:color="auto"/>
            <w:right w:val="none" w:sz="0" w:space="0" w:color="auto"/>
          </w:divBdr>
        </w:div>
        <w:div w:id="1165852559">
          <w:marLeft w:val="0"/>
          <w:marRight w:val="0"/>
          <w:marTop w:val="0"/>
          <w:marBottom w:val="0"/>
          <w:divBdr>
            <w:top w:val="none" w:sz="0" w:space="0" w:color="auto"/>
            <w:left w:val="none" w:sz="0" w:space="0" w:color="auto"/>
            <w:bottom w:val="none" w:sz="0" w:space="0" w:color="auto"/>
            <w:right w:val="none" w:sz="0" w:space="0" w:color="auto"/>
          </w:divBdr>
        </w:div>
      </w:divsChild>
    </w:div>
    <w:div w:id="1103185366">
      <w:bodyDiv w:val="1"/>
      <w:marLeft w:val="0"/>
      <w:marRight w:val="0"/>
      <w:marTop w:val="0"/>
      <w:marBottom w:val="0"/>
      <w:divBdr>
        <w:top w:val="none" w:sz="0" w:space="0" w:color="auto"/>
        <w:left w:val="none" w:sz="0" w:space="0" w:color="auto"/>
        <w:bottom w:val="none" w:sz="0" w:space="0" w:color="auto"/>
        <w:right w:val="none" w:sz="0" w:space="0" w:color="auto"/>
      </w:divBdr>
    </w:div>
    <w:div w:id="1172644823">
      <w:bodyDiv w:val="1"/>
      <w:marLeft w:val="0"/>
      <w:marRight w:val="0"/>
      <w:marTop w:val="0"/>
      <w:marBottom w:val="0"/>
      <w:divBdr>
        <w:top w:val="none" w:sz="0" w:space="0" w:color="auto"/>
        <w:left w:val="none" w:sz="0" w:space="0" w:color="auto"/>
        <w:bottom w:val="none" w:sz="0" w:space="0" w:color="auto"/>
        <w:right w:val="none" w:sz="0" w:space="0" w:color="auto"/>
      </w:divBdr>
    </w:div>
    <w:div w:id="1204948367">
      <w:bodyDiv w:val="1"/>
      <w:marLeft w:val="0"/>
      <w:marRight w:val="0"/>
      <w:marTop w:val="0"/>
      <w:marBottom w:val="0"/>
      <w:divBdr>
        <w:top w:val="none" w:sz="0" w:space="0" w:color="auto"/>
        <w:left w:val="none" w:sz="0" w:space="0" w:color="auto"/>
        <w:bottom w:val="none" w:sz="0" w:space="0" w:color="auto"/>
        <w:right w:val="none" w:sz="0" w:space="0" w:color="auto"/>
      </w:divBdr>
      <w:divsChild>
        <w:div w:id="1323238003">
          <w:marLeft w:val="0"/>
          <w:marRight w:val="0"/>
          <w:marTop w:val="0"/>
          <w:marBottom w:val="0"/>
          <w:divBdr>
            <w:top w:val="none" w:sz="0" w:space="0" w:color="auto"/>
            <w:left w:val="none" w:sz="0" w:space="0" w:color="auto"/>
            <w:bottom w:val="none" w:sz="0" w:space="0" w:color="auto"/>
            <w:right w:val="none" w:sz="0" w:space="0" w:color="auto"/>
          </w:divBdr>
        </w:div>
        <w:div w:id="48922197">
          <w:marLeft w:val="0"/>
          <w:marRight w:val="0"/>
          <w:marTop w:val="0"/>
          <w:marBottom w:val="0"/>
          <w:divBdr>
            <w:top w:val="none" w:sz="0" w:space="0" w:color="auto"/>
            <w:left w:val="none" w:sz="0" w:space="0" w:color="auto"/>
            <w:bottom w:val="none" w:sz="0" w:space="0" w:color="auto"/>
            <w:right w:val="none" w:sz="0" w:space="0" w:color="auto"/>
          </w:divBdr>
        </w:div>
        <w:div w:id="1075517922">
          <w:marLeft w:val="0"/>
          <w:marRight w:val="0"/>
          <w:marTop w:val="0"/>
          <w:marBottom w:val="0"/>
          <w:divBdr>
            <w:top w:val="none" w:sz="0" w:space="0" w:color="auto"/>
            <w:left w:val="none" w:sz="0" w:space="0" w:color="auto"/>
            <w:bottom w:val="none" w:sz="0" w:space="0" w:color="auto"/>
            <w:right w:val="none" w:sz="0" w:space="0" w:color="auto"/>
          </w:divBdr>
        </w:div>
        <w:div w:id="337076366">
          <w:marLeft w:val="0"/>
          <w:marRight w:val="0"/>
          <w:marTop w:val="0"/>
          <w:marBottom w:val="0"/>
          <w:divBdr>
            <w:top w:val="none" w:sz="0" w:space="0" w:color="auto"/>
            <w:left w:val="none" w:sz="0" w:space="0" w:color="auto"/>
            <w:bottom w:val="none" w:sz="0" w:space="0" w:color="auto"/>
            <w:right w:val="none" w:sz="0" w:space="0" w:color="auto"/>
          </w:divBdr>
        </w:div>
        <w:div w:id="1145928373">
          <w:marLeft w:val="0"/>
          <w:marRight w:val="0"/>
          <w:marTop w:val="0"/>
          <w:marBottom w:val="0"/>
          <w:divBdr>
            <w:top w:val="none" w:sz="0" w:space="0" w:color="auto"/>
            <w:left w:val="none" w:sz="0" w:space="0" w:color="auto"/>
            <w:bottom w:val="none" w:sz="0" w:space="0" w:color="auto"/>
            <w:right w:val="none" w:sz="0" w:space="0" w:color="auto"/>
          </w:divBdr>
        </w:div>
        <w:div w:id="342512955">
          <w:marLeft w:val="0"/>
          <w:marRight w:val="0"/>
          <w:marTop w:val="0"/>
          <w:marBottom w:val="0"/>
          <w:divBdr>
            <w:top w:val="none" w:sz="0" w:space="0" w:color="auto"/>
            <w:left w:val="none" w:sz="0" w:space="0" w:color="auto"/>
            <w:bottom w:val="none" w:sz="0" w:space="0" w:color="auto"/>
            <w:right w:val="none" w:sz="0" w:space="0" w:color="auto"/>
          </w:divBdr>
        </w:div>
        <w:div w:id="1796023300">
          <w:marLeft w:val="0"/>
          <w:marRight w:val="0"/>
          <w:marTop w:val="0"/>
          <w:marBottom w:val="0"/>
          <w:divBdr>
            <w:top w:val="none" w:sz="0" w:space="0" w:color="auto"/>
            <w:left w:val="none" w:sz="0" w:space="0" w:color="auto"/>
            <w:bottom w:val="none" w:sz="0" w:space="0" w:color="auto"/>
            <w:right w:val="none" w:sz="0" w:space="0" w:color="auto"/>
          </w:divBdr>
        </w:div>
        <w:div w:id="1102334495">
          <w:marLeft w:val="0"/>
          <w:marRight w:val="0"/>
          <w:marTop w:val="0"/>
          <w:marBottom w:val="0"/>
          <w:divBdr>
            <w:top w:val="none" w:sz="0" w:space="0" w:color="auto"/>
            <w:left w:val="none" w:sz="0" w:space="0" w:color="auto"/>
            <w:bottom w:val="none" w:sz="0" w:space="0" w:color="auto"/>
            <w:right w:val="none" w:sz="0" w:space="0" w:color="auto"/>
          </w:divBdr>
        </w:div>
        <w:div w:id="389236395">
          <w:marLeft w:val="0"/>
          <w:marRight w:val="0"/>
          <w:marTop w:val="0"/>
          <w:marBottom w:val="0"/>
          <w:divBdr>
            <w:top w:val="none" w:sz="0" w:space="0" w:color="auto"/>
            <w:left w:val="none" w:sz="0" w:space="0" w:color="auto"/>
            <w:bottom w:val="none" w:sz="0" w:space="0" w:color="auto"/>
            <w:right w:val="none" w:sz="0" w:space="0" w:color="auto"/>
          </w:divBdr>
        </w:div>
        <w:div w:id="745998905">
          <w:marLeft w:val="0"/>
          <w:marRight w:val="0"/>
          <w:marTop w:val="0"/>
          <w:marBottom w:val="0"/>
          <w:divBdr>
            <w:top w:val="none" w:sz="0" w:space="0" w:color="auto"/>
            <w:left w:val="none" w:sz="0" w:space="0" w:color="auto"/>
            <w:bottom w:val="none" w:sz="0" w:space="0" w:color="auto"/>
            <w:right w:val="none" w:sz="0" w:space="0" w:color="auto"/>
          </w:divBdr>
        </w:div>
      </w:divsChild>
    </w:div>
    <w:div w:id="1224025565">
      <w:bodyDiv w:val="1"/>
      <w:marLeft w:val="0"/>
      <w:marRight w:val="0"/>
      <w:marTop w:val="0"/>
      <w:marBottom w:val="0"/>
      <w:divBdr>
        <w:top w:val="none" w:sz="0" w:space="0" w:color="auto"/>
        <w:left w:val="none" w:sz="0" w:space="0" w:color="auto"/>
        <w:bottom w:val="none" w:sz="0" w:space="0" w:color="auto"/>
        <w:right w:val="none" w:sz="0" w:space="0" w:color="auto"/>
      </w:divBdr>
      <w:divsChild>
        <w:div w:id="2014381794">
          <w:marLeft w:val="0"/>
          <w:marRight w:val="0"/>
          <w:marTop w:val="0"/>
          <w:marBottom w:val="0"/>
          <w:divBdr>
            <w:top w:val="none" w:sz="0" w:space="0" w:color="auto"/>
            <w:left w:val="none" w:sz="0" w:space="0" w:color="auto"/>
            <w:bottom w:val="none" w:sz="0" w:space="0" w:color="auto"/>
            <w:right w:val="none" w:sz="0" w:space="0" w:color="auto"/>
          </w:divBdr>
        </w:div>
        <w:div w:id="201869482">
          <w:marLeft w:val="0"/>
          <w:marRight w:val="0"/>
          <w:marTop w:val="0"/>
          <w:marBottom w:val="0"/>
          <w:divBdr>
            <w:top w:val="none" w:sz="0" w:space="0" w:color="auto"/>
            <w:left w:val="none" w:sz="0" w:space="0" w:color="auto"/>
            <w:bottom w:val="none" w:sz="0" w:space="0" w:color="auto"/>
            <w:right w:val="none" w:sz="0" w:space="0" w:color="auto"/>
          </w:divBdr>
        </w:div>
      </w:divsChild>
    </w:div>
    <w:div w:id="1253703948">
      <w:bodyDiv w:val="1"/>
      <w:marLeft w:val="0"/>
      <w:marRight w:val="0"/>
      <w:marTop w:val="0"/>
      <w:marBottom w:val="0"/>
      <w:divBdr>
        <w:top w:val="none" w:sz="0" w:space="0" w:color="auto"/>
        <w:left w:val="none" w:sz="0" w:space="0" w:color="auto"/>
        <w:bottom w:val="none" w:sz="0" w:space="0" w:color="auto"/>
        <w:right w:val="none" w:sz="0" w:space="0" w:color="auto"/>
      </w:divBdr>
    </w:div>
    <w:div w:id="1260874606">
      <w:bodyDiv w:val="1"/>
      <w:marLeft w:val="0"/>
      <w:marRight w:val="0"/>
      <w:marTop w:val="0"/>
      <w:marBottom w:val="0"/>
      <w:divBdr>
        <w:top w:val="none" w:sz="0" w:space="0" w:color="auto"/>
        <w:left w:val="none" w:sz="0" w:space="0" w:color="auto"/>
        <w:bottom w:val="none" w:sz="0" w:space="0" w:color="auto"/>
        <w:right w:val="none" w:sz="0" w:space="0" w:color="auto"/>
      </w:divBdr>
      <w:divsChild>
        <w:div w:id="1337146749">
          <w:marLeft w:val="0"/>
          <w:marRight w:val="0"/>
          <w:marTop w:val="0"/>
          <w:marBottom w:val="0"/>
          <w:divBdr>
            <w:top w:val="none" w:sz="0" w:space="0" w:color="auto"/>
            <w:left w:val="none" w:sz="0" w:space="0" w:color="auto"/>
            <w:bottom w:val="none" w:sz="0" w:space="0" w:color="auto"/>
            <w:right w:val="none" w:sz="0" w:space="0" w:color="auto"/>
          </w:divBdr>
        </w:div>
        <w:div w:id="49228879">
          <w:marLeft w:val="0"/>
          <w:marRight w:val="0"/>
          <w:marTop w:val="0"/>
          <w:marBottom w:val="0"/>
          <w:divBdr>
            <w:top w:val="none" w:sz="0" w:space="0" w:color="auto"/>
            <w:left w:val="none" w:sz="0" w:space="0" w:color="auto"/>
            <w:bottom w:val="none" w:sz="0" w:space="0" w:color="auto"/>
            <w:right w:val="none" w:sz="0" w:space="0" w:color="auto"/>
          </w:divBdr>
        </w:div>
        <w:div w:id="1785616686">
          <w:marLeft w:val="0"/>
          <w:marRight w:val="0"/>
          <w:marTop w:val="0"/>
          <w:marBottom w:val="0"/>
          <w:divBdr>
            <w:top w:val="none" w:sz="0" w:space="0" w:color="auto"/>
            <w:left w:val="none" w:sz="0" w:space="0" w:color="auto"/>
            <w:bottom w:val="none" w:sz="0" w:space="0" w:color="auto"/>
            <w:right w:val="none" w:sz="0" w:space="0" w:color="auto"/>
          </w:divBdr>
        </w:div>
        <w:div w:id="1847865710">
          <w:marLeft w:val="0"/>
          <w:marRight w:val="0"/>
          <w:marTop w:val="0"/>
          <w:marBottom w:val="0"/>
          <w:divBdr>
            <w:top w:val="none" w:sz="0" w:space="0" w:color="auto"/>
            <w:left w:val="none" w:sz="0" w:space="0" w:color="auto"/>
            <w:bottom w:val="none" w:sz="0" w:space="0" w:color="auto"/>
            <w:right w:val="none" w:sz="0" w:space="0" w:color="auto"/>
          </w:divBdr>
        </w:div>
        <w:div w:id="1535194378">
          <w:marLeft w:val="0"/>
          <w:marRight w:val="0"/>
          <w:marTop w:val="0"/>
          <w:marBottom w:val="0"/>
          <w:divBdr>
            <w:top w:val="none" w:sz="0" w:space="0" w:color="auto"/>
            <w:left w:val="none" w:sz="0" w:space="0" w:color="auto"/>
            <w:bottom w:val="none" w:sz="0" w:space="0" w:color="auto"/>
            <w:right w:val="none" w:sz="0" w:space="0" w:color="auto"/>
          </w:divBdr>
        </w:div>
        <w:div w:id="1310087224">
          <w:marLeft w:val="0"/>
          <w:marRight w:val="0"/>
          <w:marTop w:val="0"/>
          <w:marBottom w:val="0"/>
          <w:divBdr>
            <w:top w:val="none" w:sz="0" w:space="0" w:color="auto"/>
            <w:left w:val="none" w:sz="0" w:space="0" w:color="auto"/>
            <w:bottom w:val="none" w:sz="0" w:space="0" w:color="auto"/>
            <w:right w:val="none" w:sz="0" w:space="0" w:color="auto"/>
          </w:divBdr>
        </w:div>
        <w:div w:id="228807674">
          <w:marLeft w:val="0"/>
          <w:marRight w:val="0"/>
          <w:marTop w:val="0"/>
          <w:marBottom w:val="0"/>
          <w:divBdr>
            <w:top w:val="none" w:sz="0" w:space="0" w:color="auto"/>
            <w:left w:val="none" w:sz="0" w:space="0" w:color="auto"/>
            <w:bottom w:val="none" w:sz="0" w:space="0" w:color="auto"/>
            <w:right w:val="none" w:sz="0" w:space="0" w:color="auto"/>
          </w:divBdr>
        </w:div>
        <w:div w:id="763457170">
          <w:marLeft w:val="0"/>
          <w:marRight w:val="0"/>
          <w:marTop w:val="0"/>
          <w:marBottom w:val="0"/>
          <w:divBdr>
            <w:top w:val="none" w:sz="0" w:space="0" w:color="auto"/>
            <w:left w:val="none" w:sz="0" w:space="0" w:color="auto"/>
            <w:bottom w:val="none" w:sz="0" w:space="0" w:color="auto"/>
            <w:right w:val="none" w:sz="0" w:space="0" w:color="auto"/>
          </w:divBdr>
        </w:div>
        <w:div w:id="1955936953">
          <w:marLeft w:val="0"/>
          <w:marRight w:val="0"/>
          <w:marTop w:val="0"/>
          <w:marBottom w:val="0"/>
          <w:divBdr>
            <w:top w:val="none" w:sz="0" w:space="0" w:color="auto"/>
            <w:left w:val="none" w:sz="0" w:space="0" w:color="auto"/>
            <w:bottom w:val="none" w:sz="0" w:space="0" w:color="auto"/>
            <w:right w:val="none" w:sz="0" w:space="0" w:color="auto"/>
          </w:divBdr>
        </w:div>
        <w:div w:id="1650595332">
          <w:marLeft w:val="0"/>
          <w:marRight w:val="0"/>
          <w:marTop w:val="0"/>
          <w:marBottom w:val="0"/>
          <w:divBdr>
            <w:top w:val="none" w:sz="0" w:space="0" w:color="auto"/>
            <w:left w:val="none" w:sz="0" w:space="0" w:color="auto"/>
            <w:bottom w:val="none" w:sz="0" w:space="0" w:color="auto"/>
            <w:right w:val="none" w:sz="0" w:space="0" w:color="auto"/>
          </w:divBdr>
        </w:div>
        <w:div w:id="737509277">
          <w:marLeft w:val="0"/>
          <w:marRight w:val="0"/>
          <w:marTop w:val="0"/>
          <w:marBottom w:val="0"/>
          <w:divBdr>
            <w:top w:val="none" w:sz="0" w:space="0" w:color="auto"/>
            <w:left w:val="none" w:sz="0" w:space="0" w:color="auto"/>
            <w:bottom w:val="none" w:sz="0" w:space="0" w:color="auto"/>
            <w:right w:val="none" w:sz="0" w:space="0" w:color="auto"/>
          </w:divBdr>
        </w:div>
        <w:div w:id="1626231696">
          <w:marLeft w:val="0"/>
          <w:marRight w:val="0"/>
          <w:marTop w:val="0"/>
          <w:marBottom w:val="0"/>
          <w:divBdr>
            <w:top w:val="none" w:sz="0" w:space="0" w:color="auto"/>
            <w:left w:val="none" w:sz="0" w:space="0" w:color="auto"/>
            <w:bottom w:val="none" w:sz="0" w:space="0" w:color="auto"/>
            <w:right w:val="none" w:sz="0" w:space="0" w:color="auto"/>
          </w:divBdr>
        </w:div>
        <w:div w:id="1704135145">
          <w:marLeft w:val="0"/>
          <w:marRight w:val="0"/>
          <w:marTop w:val="0"/>
          <w:marBottom w:val="0"/>
          <w:divBdr>
            <w:top w:val="none" w:sz="0" w:space="0" w:color="auto"/>
            <w:left w:val="none" w:sz="0" w:space="0" w:color="auto"/>
            <w:bottom w:val="none" w:sz="0" w:space="0" w:color="auto"/>
            <w:right w:val="none" w:sz="0" w:space="0" w:color="auto"/>
          </w:divBdr>
        </w:div>
      </w:divsChild>
    </w:div>
    <w:div w:id="1270158072">
      <w:bodyDiv w:val="1"/>
      <w:marLeft w:val="0"/>
      <w:marRight w:val="0"/>
      <w:marTop w:val="0"/>
      <w:marBottom w:val="0"/>
      <w:divBdr>
        <w:top w:val="none" w:sz="0" w:space="0" w:color="auto"/>
        <w:left w:val="none" w:sz="0" w:space="0" w:color="auto"/>
        <w:bottom w:val="none" w:sz="0" w:space="0" w:color="auto"/>
        <w:right w:val="none" w:sz="0" w:space="0" w:color="auto"/>
      </w:divBdr>
    </w:div>
    <w:div w:id="1270235699">
      <w:bodyDiv w:val="1"/>
      <w:marLeft w:val="0"/>
      <w:marRight w:val="0"/>
      <w:marTop w:val="0"/>
      <w:marBottom w:val="0"/>
      <w:divBdr>
        <w:top w:val="none" w:sz="0" w:space="0" w:color="auto"/>
        <w:left w:val="none" w:sz="0" w:space="0" w:color="auto"/>
        <w:bottom w:val="none" w:sz="0" w:space="0" w:color="auto"/>
        <w:right w:val="none" w:sz="0" w:space="0" w:color="auto"/>
      </w:divBdr>
    </w:div>
    <w:div w:id="1366516338">
      <w:bodyDiv w:val="1"/>
      <w:marLeft w:val="0"/>
      <w:marRight w:val="0"/>
      <w:marTop w:val="0"/>
      <w:marBottom w:val="0"/>
      <w:divBdr>
        <w:top w:val="none" w:sz="0" w:space="0" w:color="auto"/>
        <w:left w:val="none" w:sz="0" w:space="0" w:color="auto"/>
        <w:bottom w:val="none" w:sz="0" w:space="0" w:color="auto"/>
        <w:right w:val="none" w:sz="0" w:space="0" w:color="auto"/>
      </w:divBdr>
      <w:divsChild>
        <w:div w:id="1097948243">
          <w:marLeft w:val="0"/>
          <w:marRight w:val="0"/>
          <w:marTop w:val="0"/>
          <w:marBottom w:val="0"/>
          <w:divBdr>
            <w:top w:val="none" w:sz="0" w:space="0" w:color="auto"/>
            <w:left w:val="none" w:sz="0" w:space="0" w:color="auto"/>
            <w:bottom w:val="none" w:sz="0" w:space="0" w:color="auto"/>
            <w:right w:val="none" w:sz="0" w:space="0" w:color="auto"/>
          </w:divBdr>
        </w:div>
        <w:div w:id="2024282392">
          <w:marLeft w:val="0"/>
          <w:marRight w:val="0"/>
          <w:marTop w:val="0"/>
          <w:marBottom w:val="0"/>
          <w:divBdr>
            <w:top w:val="none" w:sz="0" w:space="0" w:color="auto"/>
            <w:left w:val="none" w:sz="0" w:space="0" w:color="auto"/>
            <w:bottom w:val="none" w:sz="0" w:space="0" w:color="auto"/>
            <w:right w:val="none" w:sz="0" w:space="0" w:color="auto"/>
          </w:divBdr>
        </w:div>
        <w:div w:id="1045561391">
          <w:marLeft w:val="0"/>
          <w:marRight w:val="0"/>
          <w:marTop w:val="0"/>
          <w:marBottom w:val="0"/>
          <w:divBdr>
            <w:top w:val="none" w:sz="0" w:space="0" w:color="auto"/>
            <w:left w:val="none" w:sz="0" w:space="0" w:color="auto"/>
            <w:bottom w:val="none" w:sz="0" w:space="0" w:color="auto"/>
            <w:right w:val="none" w:sz="0" w:space="0" w:color="auto"/>
          </w:divBdr>
        </w:div>
        <w:div w:id="118452454">
          <w:marLeft w:val="0"/>
          <w:marRight w:val="0"/>
          <w:marTop w:val="0"/>
          <w:marBottom w:val="0"/>
          <w:divBdr>
            <w:top w:val="none" w:sz="0" w:space="0" w:color="auto"/>
            <w:left w:val="none" w:sz="0" w:space="0" w:color="auto"/>
            <w:bottom w:val="none" w:sz="0" w:space="0" w:color="auto"/>
            <w:right w:val="none" w:sz="0" w:space="0" w:color="auto"/>
          </w:divBdr>
        </w:div>
        <w:div w:id="1240210165">
          <w:marLeft w:val="0"/>
          <w:marRight w:val="0"/>
          <w:marTop w:val="0"/>
          <w:marBottom w:val="0"/>
          <w:divBdr>
            <w:top w:val="none" w:sz="0" w:space="0" w:color="auto"/>
            <w:left w:val="none" w:sz="0" w:space="0" w:color="auto"/>
            <w:bottom w:val="none" w:sz="0" w:space="0" w:color="auto"/>
            <w:right w:val="none" w:sz="0" w:space="0" w:color="auto"/>
          </w:divBdr>
        </w:div>
        <w:div w:id="1239553496">
          <w:marLeft w:val="0"/>
          <w:marRight w:val="0"/>
          <w:marTop w:val="0"/>
          <w:marBottom w:val="0"/>
          <w:divBdr>
            <w:top w:val="none" w:sz="0" w:space="0" w:color="auto"/>
            <w:left w:val="none" w:sz="0" w:space="0" w:color="auto"/>
            <w:bottom w:val="none" w:sz="0" w:space="0" w:color="auto"/>
            <w:right w:val="none" w:sz="0" w:space="0" w:color="auto"/>
          </w:divBdr>
        </w:div>
        <w:div w:id="436557171">
          <w:marLeft w:val="0"/>
          <w:marRight w:val="0"/>
          <w:marTop w:val="0"/>
          <w:marBottom w:val="0"/>
          <w:divBdr>
            <w:top w:val="none" w:sz="0" w:space="0" w:color="auto"/>
            <w:left w:val="none" w:sz="0" w:space="0" w:color="auto"/>
            <w:bottom w:val="none" w:sz="0" w:space="0" w:color="auto"/>
            <w:right w:val="none" w:sz="0" w:space="0" w:color="auto"/>
          </w:divBdr>
        </w:div>
        <w:div w:id="1277102564">
          <w:marLeft w:val="0"/>
          <w:marRight w:val="0"/>
          <w:marTop w:val="0"/>
          <w:marBottom w:val="0"/>
          <w:divBdr>
            <w:top w:val="none" w:sz="0" w:space="0" w:color="auto"/>
            <w:left w:val="none" w:sz="0" w:space="0" w:color="auto"/>
            <w:bottom w:val="none" w:sz="0" w:space="0" w:color="auto"/>
            <w:right w:val="none" w:sz="0" w:space="0" w:color="auto"/>
          </w:divBdr>
        </w:div>
        <w:div w:id="1777557816">
          <w:marLeft w:val="0"/>
          <w:marRight w:val="0"/>
          <w:marTop w:val="0"/>
          <w:marBottom w:val="0"/>
          <w:divBdr>
            <w:top w:val="none" w:sz="0" w:space="0" w:color="auto"/>
            <w:left w:val="none" w:sz="0" w:space="0" w:color="auto"/>
            <w:bottom w:val="none" w:sz="0" w:space="0" w:color="auto"/>
            <w:right w:val="none" w:sz="0" w:space="0" w:color="auto"/>
          </w:divBdr>
        </w:div>
        <w:div w:id="1115439906">
          <w:marLeft w:val="0"/>
          <w:marRight w:val="0"/>
          <w:marTop w:val="0"/>
          <w:marBottom w:val="0"/>
          <w:divBdr>
            <w:top w:val="none" w:sz="0" w:space="0" w:color="auto"/>
            <w:left w:val="none" w:sz="0" w:space="0" w:color="auto"/>
            <w:bottom w:val="none" w:sz="0" w:space="0" w:color="auto"/>
            <w:right w:val="none" w:sz="0" w:space="0" w:color="auto"/>
          </w:divBdr>
        </w:div>
        <w:div w:id="357781840">
          <w:marLeft w:val="0"/>
          <w:marRight w:val="0"/>
          <w:marTop w:val="0"/>
          <w:marBottom w:val="0"/>
          <w:divBdr>
            <w:top w:val="none" w:sz="0" w:space="0" w:color="auto"/>
            <w:left w:val="none" w:sz="0" w:space="0" w:color="auto"/>
            <w:bottom w:val="none" w:sz="0" w:space="0" w:color="auto"/>
            <w:right w:val="none" w:sz="0" w:space="0" w:color="auto"/>
          </w:divBdr>
        </w:div>
        <w:div w:id="365983536">
          <w:marLeft w:val="0"/>
          <w:marRight w:val="0"/>
          <w:marTop w:val="0"/>
          <w:marBottom w:val="0"/>
          <w:divBdr>
            <w:top w:val="none" w:sz="0" w:space="0" w:color="auto"/>
            <w:left w:val="none" w:sz="0" w:space="0" w:color="auto"/>
            <w:bottom w:val="none" w:sz="0" w:space="0" w:color="auto"/>
            <w:right w:val="none" w:sz="0" w:space="0" w:color="auto"/>
          </w:divBdr>
        </w:div>
        <w:div w:id="387651974">
          <w:marLeft w:val="0"/>
          <w:marRight w:val="0"/>
          <w:marTop w:val="0"/>
          <w:marBottom w:val="0"/>
          <w:divBdr>
            <w:top w:val="none" w:sz="0" w:space="0" w:color="auto"/>
            <w:left w:val="none" w:sz="0" w:space="0" w:color="auto"/>
            <w:bottom w:val="none" w:sz="0" w:space="0" w:color="auto"/>
            <w:right w:val="none" w:sz="0" w:space="0" w:color="auto"/>
          </w:divBdr>
        </w:div>
        <w:div w:id="1084836332">
          <w:marLeft w:val="0"/>
          <w:marRight w:val="0"/>
          <w:marTop w:val="0"/>
          <w:marBottom w:val="0"/>
          <w:divBdr>
            <w:top w:val="none" w:sz="0" w:space="0" w:color="auto"/>
            <w:left w:val="none" w:sz="0" w:space="0" w:color="auto"/>
            <w:bottom w:val="none" w:sz="0" w:space="0" w:color="auto"/>
            <w:right w:val="none" w:sz="0" w:space="0" w:color="auto"/>
          </w:divBdr>
        </w:div>
        <w:div w:id="277376452">
          <w:marLeft w:val="0"/>
          <w:marRight w:val="0"/>
          <w:marTop w:val="0"/>
          <w:marBottom w:val="0"/>
          <w:divBdr>
            <w:top w:val="none" w:sz="0" w:space="0" w:color="auto"/>
            <w:left w:val="none" w:sz="0" w:space="0" w:color="auto"/>
            <w:bottom w:val="none" w:sz="0" w:space="0" w:color="auto"/>
            <w:right w:val="none" w:sz="0" w:space="0" w:color="auto"/>
          </w:divBdr>
        </w:div>
        <w:div w:id="604730255">
          <w:marLeft w:val="0"/>
          <w:marRight w:val="0"/>
          <w:marTop w:val="0"/>
          <w:marBottom w:val="0"/>
          <w:divBdr>
            <w:top w:val="none" w:sz="0" w:space="0" w:color="auto"/>
            <w:left w:val="none" w:sz="0" w:space="0" w:color="auto"/>
            <w:bottom w:val="none" w:sz="0" w:space="0" w:color="auto"/>
            <w:right w:val="none" w:sz="0" w:space="0" w:color="auto"/>
          </w:divBdr>
        </w:div>
      </w:divsChild>
    </w:div>
    <w:div w:id="1367439441">
      <w:bodyDiv w:val="1"/>
      <w:marLeft w:val="0"/>
      <w:marRight w:val="0"/>
      <w:marTop w:val="0"/>
      <w:marBottom w:val="0"/>
      <w:divBdr>
        <w:top w:val="none" w:sz="0" w:space="0" w:color="auto"/>
        <w:left w:val="none" w:sz="0" w:space="0" w:color="auto"/>
        <w:bottom w:val="none" w:sz="0" w:space="0" w:color="auto"/>
        <w:right w:val="none" w:sz="0" w:space="0" w:color="auto"/>
      </w:divBdr>
      <w:divsChild>
        <w:div w:id="1373922888">
          <w:marLeft w:val="0"/>
          <w:marRight w:val="0"/>
          <w:marTop w:val="0"/>
          <w:marBottom w:val="0"/>
          <w:divBdr>
            <w:top w:val="none" w:sz="0" w:space="0" w:color="auto"/>
            <w:left w:val="none" w:sz="0" w:space="0" w:color="auto"/>
            <w:bottom w:val="none" w:sz="0" w:space="0" w:color="auto"/>
            <w:right w:val="none" w:sz="0" w:space="0" w:color="auto"/>
          </w:divBdr>
        </w:div>
        <w:div w:id="2113358632">
          <w:marLeft w:val="0"/>
          <w:marRight w:val="0"/>
          <w:marTop w:val="0"/>
          <w:marBottom w:val="0"/>
          <w:divBdr>
            <w:top w:val="none" w:sz="0" w:space="0" w:color="auto"/>
            <w:left w:val="none" w:sz="0" w:space="0" w:color="auto"/>
            <w:bottom w:val="none" w:sz="0" w:space="0" w:color="auto"/>
            <w:right w:val="none" w:sz="0" w:space="0" w:color="auto"/>
          </w:divBdr>
        </w:div>
      </w:divsChild>
    </w:div>
    <w:div w:id="1447383026">
      <w:bodyDiv w:val="1"/>
      <w:marLeft w:val="0"/>
      <w:marRight w:val="0"/>
      <w:marTop w:val="0"/>
      <w:marBottom w:val="0"/>
      <w:divBdr>
        <w:top w:val="none" w:sz="0" w:space="0" w:color="auto"/>
        <w:left w:val="none" w:sz="0" w:space="0" w:color="auto"/>
        <w:bottom w:val="none" w:sz="0" w:space="0" w:color="auto"/>
        <w:right w:val="none" w:sz="0" w:space="0" w:color="auto"/>
      </w:divBdr>
      <w:divsChild>
        <w:div w:id="308561658">
          <w:marLeft w:val="0"/>
          <w:marRight w:val="0"/>
          <w:marTop w:val="0"/>
          <w:marBottom w:val="0"/>
          <w:divBdr>
            <w:top w:val="none" w:sz="0" w:space="0" w:color="auto"/>
            <w:left w:val="none" w:sz="0" w:space="0" w:color="auto"/>
            <w:bottom w:val="none" w:sz="0" w:space="0" w:color="auto"/>
            <w:right w:val="none" w:sz="0" w:space="0" w:color="auto"/>
          </w:divBdr>
        </w:div>
        <w:div w:id="55933083">
          <w:marLeft w:val="0"/>
          <w:marRight w:val="0"/>
          <w:marTop w:val="0"/>
          <w:marBottom w:val="0"/>
          <w:divBdr>
            <w:top w:val="none" w:sz="0" w:space="0" w:color="auto"/>
            <w:left w:val="none" w:sz="0" w:space="0" w:color="auto"/>
            <w:bottom w:val="none" w:sz="0" w:space="0" w:color="auto"/>
            <w:right w:val="none" w:sz="0" w:space="0" w:color="auto"/>
          </w:divBdr>
        </w:div>
        <w:div w:id="1880166111">
          <w:marLeft w:val="0"/>
          <w:marRight w:val="0"/>
          <w:marTop w:val="0"/>
          <w:marBottom w:val="0"/>
          <w:divBdr>
            <w:top w:val="none" w:sz="0" w:space="0" w:color="auto"/>
            <w:left w:val="none" w:sz="0" w:space="0" w:color="auto"/>
            <w:bottom w:val="none" w:sz="0" w:space="0" w:color="auto"/>
            <w:right w:val="none" w:sz="0" w:space="0" w:color="auto"/>
          </w:divBdr>
        </w:div>
        <w:div w:id="444926443">
          <w:marLeft w:val="0"/>
          <w:marRight w:val="0"/>
          <w:marTop w:val="0"/>
          <w:marBottom w:val="0"/>
          <w:divBdr>
            <w:top w:val="none" w:sz="0" w:space="0" w:color="auto"/>
            <w:left w:val="none" w:sz="0" w:space="0" w:color="auto"/>
            <w:bottom w:val="none" w:sz="0" w:space="0" w:color="auto"/>
            <w:right w:val="none" w:sz="0" w:space="0" w:color="auto"/>
          </w:divBdr>
        </w:div>
        <w:div w:id="216861090">
          <w:marLeft w:val="0"/>
          <w:marRight w:val="0"/>
          <w:marTop w:val="0"/>
          <w:marBottom w:val="0"/>
          <w:divBdr>
            <w:top w:val="none" w:sz="0" w:space="0" w:color="auto"/>
            <w:left w:val="none" w:sz="0" w:space="0" w:color="auto"/>
            <w:bottom w:val="none" w:sz="0" w:space="0" w:color="auto"/>
            <w:right w:val="none" w:sz="0" w:space="0" w:color="auto"/>
          </w:divBdr>
        </w:div>
        <w:div w:id="305553477">
          <w:marLeft w:val="0"/>
          <w:marRight w:val="0"/>
          <w:marTop w:val="0"/>
          <w:marBottom w:val="0"/>
          <w:divBdr>
            <w:top w:val="none" w:sz="0" w:space="0" w:color="auto"/>
            <w:left w:val="none" w:sz="0" w:space="0" w:color="auto"/>
            <w:bottom w:val="none" w:sz="0" w:space="0" w:color="auto"/>
            <w:right w:val="none" w:sz="0" w:space="0" w:color="auto"/>
          </w:divBdr>
        </w:div>
      </w:divsChild>
    </w:div>
    <w:div w:id="1449466453">
      <w:bodyDiv w:val="1"/>
      <w:marLeft w:val="0"/>
      <w:marRight w:val="0"/>
      <w:marTop w:val="0"/>
      <w:marBottom w:val="0"/>
      <w:divBdr>
        <w:top w:val="none" w:sz="0" w:space="0" w:color="auto"/>
        <w:left w:val="none" w:sz="0" w:space="0" w:color="auto"/>
        <w:bottom w:val="none" w:sz="0" w:space="0" w:color="auto"/>
        <w:right w:val="none" w:sz="0" w:space="0" w:color="auto"/>
      </w:divBdr>
      <w:divsChild>
        <w:div w:id="1065953662">
          <w:marLeft w:val="0"/>
          <w:marRight w:val="0"/>
          <w:marTop w:val="0"/>
          <w:marBottom w:val="0"/>
          <w:divBdr>
            <w:top w:val="none" w:sz="0" w:space="0" w:color="auto"/>
            <w:left w:val="none" w:sz="0" w:space="0" w:color="auto"/>
            <w:bottom w:val="none" w:sz="0" w:space="0" w:color="auto"/>
            <w:right w:val="none" w:sz="0" w:space="0" w:color="auto"/>
          </w:divBdr>
        </w:div>
        <w:div w:id="1544367339">
          <w:marLeft w:val="0"/>
          <w:marRight w:val="0"/>
          <w:marTop w:val="0"/>
          <w:marBottom w:val="0"/>
          <w:divBdr>
            <w:top w:val="none" w:sz="0" w:space="0" w:color="auto"/>
            <w:left w:val="none" w:sz="0" w:space="0" w:color="auto"/>
            <w:bottom w:val="none" w:sz="0" w:space="0" w:color="auto"/>
            <w:right w:val="none" w:sz="0" w:space="0" w:color="auto"/>
          </w:divBdr>
        </w:div>
      </w:divsChild>
    </w:div>
    <w:div w:id="1511405262">
      <w:bodyDiv w:val="1"/>
      <w:marLeft w:val="0"/>
      <w:marRight w:val="0"/>
      <w:marTop w:val="0"/>
      <w:marBottom w:val="0"/>
      <w:divBdr>
        <w:top w:val="none" w:sz="0" w:space="0" w:color="auto"/>
        <w:left w:val="none" w:sz="0" w:space="0" w:color="auto"/>
        <w:bottom w:val="none" w:sz="0" w:space="0" w:color="auto"/>
        <w:right w:val="none" w:sz="0" w:space="0" w:color="auto"/>
      </w:divBdr>
    </w:div>
    <w:div w:id="1513254415">
      <w:bodyDiv w:val="1"/>
      <w:marLeft w:val="0"/>
      <w:marRight w:val="0"/>
      <w:marTop w:val="0"/>
      <w:marBottom w:val="0"/>
      <w:divBdr>
        <w:top w:val="none" w:sz="0" w:space="0" w:color="auto"/>
        <w:left w:val="none" w:sz="0" w:space="0" w:color="auto"/>
        <w:bottom w:val="none" w:sz="0" w:space="0" w:color="auto"/>
        <w:right w:val="none" w:sz="0" w:space="0" w:color="auto"/>
      </w:divBdr>
    </w:div>
    <w:div w:id="1524200110">
      <w:bodyDiv w:val="1"/>
      <w:marLeft w:val="0"/>
      <w:marRight w:val="0"/>
      <w:marTop w:val="0"/>
      <w:marBottom w:val="0"/>
      <w:divBdr>
        <w:top w:val="none" w:sz="0" w:space="0" w:color="auto"/>
        <w:left w:val="none" w:sz="0" w:space="0" w:color="auto"/>
        <w:bottom w:val="none" w:sz="0" w:space="0" w:color="auto"/>
        <w:right w:val="none" w:sz="0" w:space="0" w:color="auto"/>
      </w:divBdr>
    </w:div>
    <w:div w:id="1584679305">
      <w:bodyDiv w:val="1"/>
      <w:marLeft w:val="0"/>
      <w:marRight w:val="0"/>
      <w:marTop w:val="0"/>
      <w:marBottom w:val="0"/>
      <w:divBdr>
        <w:top w:val="none" w:sz="0" w:space="0" w:color="auto"/>
        <w:left w:val="none" w:sz="0" w:space="0" w:color="auto"/>
        <w:bottom w:val="none" w:sz="0" w:space="0" w:color="auto"/>
        <w:right w:val="none" w:sz="0" w:space="0" w:color="auto"/>
      </w:divBdr>
      <w:divsChild>
        <w:div w:id="1307976269">
          <w:marLeft w:val="0"/>
          <w:marRight w:val="0"/>
          <w:marTop w:val="0"/>
          <w:marBottom w:val="0"/>
          <w:divBdr>
            <w:top w:val="none" w:sz="0" w:space="0" w:color="auto"/>
            <w:left w:val="none" w:sz="0" w:space="0" w:color="auto"/>
            <w:bottom w:val="none" w:sz="0" w:space="0" w:color="auto"/>
            <w:right w:val="none" w:sz="0" w:space="0" w:color="auto"/>
          </w:divBdr>
        </w:div>
        <w:div w:id="59135802">
          <w:marLeft w:val="0"/>
          <w:marRight w:val="0"/>
          <w:marTop w:val="0"/>
          <w:marBottom w:val="0"/>
          <w:divBdr>
            <w:top w:val="none" w:sz="0" w:space="0" w:color="auto"/>
            <w:left w:val="none" w:sz="0" w:space="0" w:color="auto"/>
            <w:bottom w:val="none" w:sz="0" w:space="0" w:color="auto"/>
            <w:right w:val="none" w:sz="0" w:space="0" w:color="auto"/>
          </w:divBdr>
        </w:div>
      </w:divsChild>
    </w:div>
    <w:div w:id="1588494222">
      <w:bodyDiv w:val="1"/>
      <w:marLeft w:val="0"/>
      <w:marRight w:val="0"/>
      <w:marTop w:val="0"/>
      <w:marBottom w:val="0"/>
      <w:divBdr>
        <w:top w:val="none" w:sz="0" w:space="0" w:color="auto"/>
        <w:left w:val="none" w:sz="0" w:space="0" w:color="auto"/>
        <w:bottom w:val="none" w:sz="0" w:space="0" w:color="auto"/>
        <w:right w:val="none" w:sz="0" w:space="0" w:color="auto"/>
      </w:divBdr>
      <w:divsChild>
        <w:div w:id="978729473">
          <w:marLeft w:val="0"/>
          <w:marRight w:val="0"/>
          <w:marTop w:val="0"/>
          <w:marBottom w:val="0"/>
          <w:divBdr>
            <w:top w:val="none" w:sz="0" w:space="0" w:color="auto"/>
            <w:left w:val="none" w:sz="0" w:space="0" w:color="auto"/>
            <w:bottom w:val="none" w:sz="0" w:space="0" w:color="auto"/>
            <w:right w:val="none" w:sz="0" w:space="0" w:color="auto"/>
          </w:divBdr>
        </w:div>
        <w:div w:id="1509058898">
          <w:marLeft w:val="0"/>
          <w:marRight w:val="0"/>
          <w:marTop w:val="0"/>
          <w:marBottom w:val="0"/>
          <w:divBdr>
            <w:top w:val="none" w:sz="0" w:space="0" w:color="auto"/>
            <w:left w:val="none" w:sz="0" w:space="0" w:color="auto"/>
            <w:bottom w:val="none" w:sz="0" w:space="0" w:color="auto"/>
            <w:right w:val="none" w:sz="0" w:space="0" w:color="auto"/>
          </w:divBdr>
        </w:div>
        <w:div w:id="308678402">
          <w:marLeft w:val="0"/>
          <w:marRight w:val="0"/>
          <w:marTop w:val="0"/>
          <w:marBottom w:val="0"/>
          <w:divBdr>
            <w:top w:val="none" w:sz="0" w:space="0" w:color="auto"/>
            <w:left w:val="none" w:sz="0" w:space="0" w:color="auto"/>
            <w:bottom w:val="none" w:sz="0" w:space="0" w:color="auto"/>
            <w:right w:val="none" w:sz="0" w:space="0" w:color="auto"/>
          </w:divBdr>
        </w:div>
      </w:divsChild>
    </w:div>
    <w:div w:id="1595629772">
      <w:bodyDiv w:val="1"/>
      <w:marLeft w:val="0"/>
      <w:marRight w:val="0"/>
      <w:marTop w:val="0"/>
      <w:marBottom w:val="0"/>
      <w:divBdr>
        <w:top w:val="none" w:sz="0" w:space="0" w:color="auto"/>
        <w:left w:val="none" w:sz="0" w:space="0" w:color="auto"/>
        <w:bottom w:val="none" w:sz="0" w:space="0" w:color="auto"/>
        <w:right w:val="none" w:sz="0" w:space="0" w:color="auto"/>
      </w:divBdr>
    </w:div>
    <w:div w:id="1687713861">
      <w:bodyDiv w:val="1"/>
      <w:marLeft w:val="0"/>
      <w:marRight w:val="0"/>
      <w:marTop w:val="0"/>
      <w:marBottom w:val="0"/>
      <w:divBdr>
        <w:top w:val="none" w:sz="0" w:space="0" w:color="auto"/>
        <w:left w:val="none" w:sz="0" w:space="0" w:color="auto"/>
        <w:bottom w:val="none" w:sz="0" w:space="0" w:color="auto"/>
        <w:right w:val="none" w:sz="0" w:space="0" w:color="auto"/>
      </w:divBdr>
    </w:div>
    <w:div w:id="1710300108">
      <w:bodyDiv w:val="1"/>
      <w:marLeft w:val="0"/>
      <w:marRight w:val="0"/>
      <w:marTop w:val="0"/>
      <w:marBottom w:val="0"/>
      <w:divBdr>
        <w:top w:val="none" w:sz="0" w:space="0" w:color="auto"/>
        <w:left w:val="none" w:sz="0" w:space="0" w:color="auto"/>
        <w:bottom w:val="none" w:sz="0" w:space="0" w:color="auto"/>
        <w:right w:val="none" w:sz="0" w:space="0" w:color="auto"/>
      </w:divBdr>
    </w:div>
    <w:div w:id="1737437943">
      <w:bodyDiv w:val="1"/>
      <w:marLeft w:val="0"/>
      <w:marRight w:val="0"/>
      <w:marTop w:val="0"/>
      <w:marBottom w:val="0"/>
      <w:divBdr>
        <w:top w:val="none" w:sz="0" w:space="0" w:color="auto"/>
        <w:left w:val="none" w:sz="0" w:space="0" w:color="auto"/>
        <w:bottom w:val="none" w:sz="0" w:space="0" w:color="auto"/>
        <w:right w:val="none" w:sz="0" w:space="0" w:color="auto"/>
      </w:divBdr>
      <w:divsChild>
        <w:div w:id="26561961">
          <w:marLeft w:val="0"/>
          <w:marRight w:val="0"/>
          <w:marTop w:val="0"/>
          <w:marBottom w:val="0"/>
          <w:divBdr>
            <w:top w:val="none" w:sz="0" w:space="0" w:color="auto"/>
            <w:left w:val="none" w:sz="0" w:space="0" w:color="auto"/>
            <w:bottom w:val="none" w:sz="0" w:space="0" w:color="auto"/>
            <w:right w:val="none" w:sz="0" w:space="0" w:color="auto"/>
          </w:divBdr>
        </w:div>
        <w:div w:id="1927612645">
          <w:marLeft w:val="0"/>
          <w:marRight w:val="0"/>
          <w:marTop w:val="0"/>
          <w:marBottom w:val="0"/>
          <w:divBdr>
            <w:top w:val="none" w:sz="0" w:space="0" w:color="auto"/>
            <w:left w:val="none" w:sz="0" w:space="0" w:color="auto"/>
            <w:bottom w:val="none" w:sz="0" w:space="0" w:color="auto"/>
            <w:right w:val="none" w:sz="0" w:space="0" w:color="auto"/>
          </w:divBdr>
        </w:div>
        <w:div w:id="1404638309">
          <w:marLeft w:val="0"/>
          <w:marRight w:val="0"/>
          <w:marTop w:val="0"/>
          <w:marBottom w:val="0"/>
          <w:divBdr>
            <w:top w:val="none" w:sz="0" w:space="0" w:color="auto"/>
            <w:left w:val="none" w:sz="0" w:space="0" w:color="auto"/>
            <w:bottom w:val="none" w:sz="0" w:space="0" w:color="auto"/>
            <w:right w:val="none" w:sz="0" w:space="0" w:color="auto"/>
          </w:divBdr>
        </w:div>
        <w:div w:id="1880169082">
          <w:marLeft w:val="0"/>
          <w:marRight w:val="0"/>
          <w:marTop w:val="0"/>
          <w:marBottom w:val="0"/>
          <w:divBdr>
            <w:top w:val="none" w:sz="0" w:space="0" w:color="auto"/>
            <w:left w:val="none" w:sz="0" w:space="0" w:color="auto"/>
            <w:bottom w:val="none" w:sz="0" w:space="0" w:color="auto"/>
            <w:right w:val="none" w:sz="0" w:space="0" w:color="auto"/>
          </w:divBdr>
        </w:div>
        <w:div w:id="1410419288">
          <w:marLeft w:val="0"/>
          <w:marRight w:val="0"/>
          <w:marTop w:val="0"/>
          <w:marBottom w:val="0"/>
          <w:divBdr>
            <w:top w:val="none" w:sz="0" w:space="0" w:color="auto"/>
            <w:left w:val="none" w:sz="0" w:space="0" w:color="auto"/>
            <w:bottom w:val="none" w:sz="0" w:space="0" w:color="auto"/>
            <w:right w:val="none" w:sz="0" w:space="0" w:color="auto"/>
          </w:divBdr>
        </w:div>
        <w:div w:id="559245192">
          <w:marLeft w:val="0"/>
          <w:marRight w:val="0"/>
          <w:marTop w:val="0"/>
          <w:marBottom w:val="0"/>
          <w:divBdr>
            <w:top w:val="none" w:sz="0" w:space="0" w:color="auto"/>
            <w:left w:val="none" w:sz="0" w:space="0" w:color="auto"/>
            <w:bottom w:val="none" w:sz="0" w:space="0" w:color="auto"/>
            <w:right w:val="none" w:sz="0" w:space="0" w:color="auto"/>
          </w:divBdr>
        </w:div>
        <w:div w:id="41251823">
          <w:marLeft w:val="0"/>
          <w:marRight w:val="0"/>
          <w:marTop w:val="0"/>
          <w:marBottom w:val="0"/>
          <w:divBdr>
            <w:top w:val="none" w:sz="0" w:space="0" w:color="auto"/>
            <w:left w:val="none" w:sz="0" w:space="0" w:color="auto"/>
            <w:bottom w:val="none" w:sz="0" w:space="0" w:color="auto"/>
            <w:right w:val="none" w:sz="0" w:space="0" w:color="auto"/>
          </w:divBdr>
        </w:div>
        <w:div w:id="870529116">
          <w:marLeft w:val="0"/>
          <w:marRight w:val="0"/>
          <w:marTop w:val="0"/>
          <w:marBottom w:val="0"/>
          <w:divBdr>
            <w:top w:val="none" w:sz="0" w:space="0" w:color="auto"/>
            <w:left w:val="none" w:sz="0" w:space="0" w:color="auto"/>
            <w:bottom w:val="none" w:sz="0" w:space="0" w:color="auto"/>
            <w:right w:val="none" w:sz="0" w:space="0" w:color="auto"/>
          </w:divBdr>
        </w:div>
        <w:div w:id="1089959019">
          <w:marLeft w:val="0"/>
          <w:marRight w:val="0"/>
          <w:marTop w:val="0"/>
          <w:marBottom w:val="0"/>
          <w:divBdr>
            <w:top w:val="none" w:sz="0" w:space="0" w:color="auto"/>
            <w:left w:val="none" w:sz="0" w:space="0" w:color="auto"/>
            <w:bottom w:val="none" w:sz="0" w:space="0" w:color="auto"/>
            <w:right w:val="none" w:sz="0" w:space="0" w:color="auto"/>
          </w:divBdr>
        </w:div>
        <w:div w:id="1766339431">
          <w:marLeft w:val="0"/>
          <w:marRight w:val="0"/>
          <w:marTop w:val="0"/>
          <w:marBottom w:val="0"/>
          <w:divBdr>
            <w:top w:val="none" w:sz="0" w:space="0" w:color="auto"/>
            <w:left w:val="none" w:sz="0" w:space="0" w:color="auto"/>
            <w:bottom w:val="none" w:sz="0" w:space="0" w:color="auto"/>
            <w:right w:val="none" w:sz="0" w:space="0" w:color="auto"/>
          </w:divBdr>
        </w:div>
        <w:div w:id="57829857">
          <w:marLeft w:val="0"/>
          <w:marRight w:val="0"/>
          <w:marTop w:val="0"/>
          <w:marBottom w:val="0"/>
          <w:divBdr>
            <w:top w:val="none" w:sz="0" w:space="0" w:color="auto"/>
            <w:left w:val="none" w:sz="0" w:space="0" w:color="auto"/>
            <w:bottom w:val="none" w:sz="0" w:space="0" w:color="auto"/>
            <w:right w:val="none" w:sz="0" w:space="0" w:color="auto"/>
          </w:divBdr>
        </w:div>
        <w:div w:id="2017878835">
          <w:marLeft w:val="0"/>
          <w:marRight w:val="0"/>
          <w:marTop w:val="0"/>
          <w:marBottom w:val="0"/>
          <w:divBdr>
            <w:top w:val="none" w:sz="0" w:space="0" w:color="auto"/>
            <w:left w:val="none" w:sz="0" w:space="0" w:color="auto"/>
            <w:bottom w:val="none" w:sz="0" w:space="0" w:color="auto"/>
            <w:right w:val="none" w:sz="0" w:space="0" w:color="auto"/>
          </w:divBdr>
        </w:div>
        <w:div w:id="1354847490">
          <w:marLeft w:val="0"/>
          <w:marRight w:val="0"/>
          <w:marTop w:val="0"/>
          <w:marBottom w:val="0"/>
          <w:divBdr>
            <w:top w:val="none" w:sz="0" w:space="0" w:color="auto"/>
            <w:left w:val="none" w:sz="0" w:space="0" w:color="auto"/>
            <w:bottom w:val="none" w:sz="0" w:space="0" w:color="auto"/>
            <w:right w:val="none" w:sz="0" w:space="0" w:color="auto"/>
          </w:divBdr>
        </w:div>
        <w:div w:id="1179663223">
          <w:marLeft w:val="0"/>
          <w:marRight w:val="0"/>
          <w:marTop w:val="0"/>
          <w:marBottom w:val="0"/>
          <w:divBdr>
            <w:top w:val="none" w:sz="0" w:space="0" w:color="auto"/>
            <w:left w:val="none" w:sz="0" w:space="0" w:color="auto"/>
            <w:bottom w:val="none" w:sz="0" w:space="0" w:color="auto"/>
            <w:right w:val="none" w:sz="0" w:space="0" w:color="auto"/>
          </w:divBdr>
        </w:div>
        <w:div w:id="1640723202">
          <w:marLeft w:val="0"/>
          <w:marRight w:val="0"/>
          <w:marTop w:val="0"/>
          <w:marBottom w:val="0"/>
          <w:divBdr>
            <w:top w:val="none" w:sz="0" w:space="0" w:color="auto"/>
            <w:left w:val="none" w:sz="0" w:space="0" w:color="auto"/>
            <w:bottom w:val="none" w:sz="0" w:space="0" w:color="auto"/>
            <w:right w:val="none" w:sz="0" w:space="0" w:color="auto"/>
          </w:divBdr>
        </w:div>
        <w:div w:id="896627637">
          <w:marLeft w:val="0"/>
          <w:marRight w:val="0"/>
          <w:marTop w:val="0"/>
          <w:marBottom w:val="0"/>
          <w:divBdr>
            <w:top w:val="none" w:sz="0" w:space="0" w:color="auto"/>
            <w:left w:val="none" w:sz="0" w:space="0" w:color="auto"/>
            <w:bottom w:val="none" w:sz="0" w:space="0" w:color="auto"/>
            <w:right w:val="none" w:sz="0" w:space="0" w:color="auto"/>
          </w:divBdr>
        </w:div>
        <w:div w:id="344481563">
          <w:marLeft w:val="0"/>
          <w:marRight w:val="0"/>
          <w:marTop w:val="0"/>
          <w:marBottom w:val="0"/>
          <w:divBdr>
            <w:top w:val="none" w:sz="0" w:space="0" w:color="auto"/>
            <w:left w:val="none" w:sz="0" w:space="0" w:color="auto"/>
            <w:bottom w:val="none" w:sz="0" w:space="0" w:color="auto"/>
            <w:right w:val="none" w:sz="0" w:space="0" w:color="auto"/>
          </w:divBdr>
        </w:div>
        <w:div w:id="822889622">
          <w:marLeft w:val="0"/>
          <w:marRight w:val="0"/>
          <w:marTop w:val="0"/>
          <w:marBottom w:val="0"/>
          <w:divBdr>
            <w:top w:val="none" w:sz="0" w:space="0" w:color="auto"/>
            <w:left w:val="none" w:sz="0" w:space="0" w:color="auto"/>
            <w:bottom w:val="none" w:sz="0" w:space="0" w:color="auto"/>
            <w:right w:val="none" w:sz="0" w:space="0" w:color="auto"/>
          </w:divBdr>
        </w:div>
        <w:div w:id="714548200">
          <w:marLeft w:val="0"/>
          <w:marRight w:val="0"/>
          <w:marTop w:val="0"/>
          <w:marBottom w:val="0"/>
          <w:divBdr>
            <w:top w:val="none" w:sz="0" w:space="0" w:color="auto"/>
            <w:left w:val="none" w:sz="0" w:space="0" w:color="auto"/>
            <w:bottom w:val="none" w:sz="0" w:space="0" w:color="auto"/>
            <w:right w:val="none" w:sz="0" w:space="0" w:color="auto"/>
          </w:divBdr>
        </w:div>
        <w:div w:id="406734243">
          <w:marLeft w:val="0"/>
          <w:marRight w:val="0"/>
          <w:marTop w:val="0"/>
          <w:marBottom w:val="0"/>
          <w:divBdr>
            <w:top w:val="none" w:sz="0" w:space="0" w:color="auto"/>
            <w:left w:val="none" w:sz="0" w:space="0" w:color="auto"/>
            <w:bottom w:val="none" w:sz="0" w:space="0" w:color="auto"/>
            <w:right w:val="none" w:sz="0" w:space="0" w:color="auto"/>
          </w:divBdr>
        </w:div>
        <w:div w:id="696543130">
          <w:marLeft w:val="0"/>
          <w:marRight w:val="0"/>
          <w:marTop w:val="0"/>
          <w:marBottom w:val="0"/>
          <w:divBdr>
            <w:top w:val="none" w:sz="0" w:space="0" w:color="auto"/>
            <w:left w:val="none" w:sz="0" w:space="0" w:color="auto"/>
            <w:bottom w:val="none" w:sz="0" w:space="0" w:color="auto"/>
            <w:right w:val="none" w:sz="0" w:space="0" w:color="auto"/>
          </w:divBdr>
        </w:div>
        <w:div w:id="710110200">
          <w:marLeft w:val="0"/>
          <w:marRight w:val="0"/>
          <w:marTop w:val="0"/>
          <w:marBottom w:val="0"/>
          <w:divBdr>
            <w:top w:val="none" w:sz="0" w:space="0" w:color="auto"/>
            <w:left w:val="none" w:sz="0" w:space="0" w:color="auto"/>
            <w:bottom w:val="none" w:sz="0" w:space="0" w:color="auto"/>
            <w:right w:val="none" w:sz="0" w:space="0" w:color="auto"/>
          </w:divBdr>
        </w:div>
        <w:div w:id="1052535104">
          <w:marLeft w:val="0"/>
          <w:marRight w:val="0"/>
          <w:marTop w:val="0"/>
          <w:marBottom w:val="0"/>
          <w:divBdr>
            <w:top w:val="none" w:sz="0" w:space="0" w:color="auto"/>
            <w:left w:val="none" w:sz="0" w:space="0" w:color="auto"/>
            <w:bottom w:val="none" w:sz="0" w:space="0" w:color="auto"/>
            <w:right w:val="none" w:sz="0" w:space="0" w:color="auto"/>
          </w:divBdr>
        </w:div>
        <w:div w:id="1710718106">
          <w:marLeft w:val="0"/>
          <w:marRight w:val="0"/>
          <w:marTop w:val="0"/>
          <w:marBottom w:val="0"/>
          <w:divBdr>
            <w:top w:val="none" w:sz="0" w:space="0" w:color="auto"/>
            <w:left w:val="none" w:sz="0" w:space="0" w:color="auto"/>
            <w:bottom w:val="none" w:sz="0" w:space="0" w:color="auto"/>
            <w:right w:val="none" w:sz="0" w:space="0" w:color="auto"/>
          </w:divBdr>
        </w:div>
        <w:div w:id="1527057035">
          <w:marLeft w:val="0"/>
          <w:marRight w:val="0"/>
          <w:marTop w:val="0"/>
          <w:marBottom w:val="0"/>
          <w:divBdr>
            <w:top w:val="none" w:sz="0" w:space="0" w:color="auto"/>
            <w:left w:val="none" w:sz="0" w:space="0" w:color="auto"/>
            <w:bottom w:val="none" w:sz="0" w:space="0" w:color="auto"/>
            <w:right w:val="none" w:sz="0" w:space="0" w:color="auto"/>
          </w:divBdr>
        </w:div>
        <w:div w:id="170918248">
          <w:marLeft w:val="0"/>
          <w:marRight w:val="0"/>
          <w:marTop w:val="0"/>
          <w:marBottom w:val="0"/>
          <w:divBdr>
            <w:top w:val="none" w:sz="0" w:space="0" w:color="auto"/>
            <w:left w:val="none" w:sz="0" w:space="0" w:color="auto"/>
            <w:bottom w:val="none" w:sz="0" w:space="0" w:color="auto"/>
            <w:right w:val="none" w:sz="0" w:space="0" w:color="auto"/>
          </w:divBdr>
        </w:div>
        <w:div w:id="14502563">
          <w:marLeft w:val="0"/>
          <w:marRight w:val="0"/>
          <w:marTop w:val="0"/>
          <w:marBottom w:val="0"/>
          <w:divBdr>
            <w:top w:val="none" w:sz="0" w:space="0" w:color="auto"/>
            <w:left w:val="none" w:sz="0" w:space="0" w:color="auto"/>
            <w:bottom w:val="none" w:sz="0" w:space="0" w:color="auto"/>
            <w:right w:val="none" w:sz="0" w:space="0" w:color="auto"/>
          </w:divBdr>
        </w:div>
        <w:div w:id="1791778102">
          <w:marLeft w:val="0"/>
          <w:marRight w:val="0"/>
          <w:marTop w:val="0"/>
          <w:marBottom w:val="0"/>
          <w:divBdr>
            <w:top w:val="none" w:sz="0" w:space="0" w:color="auto"/>
            <w:left w:val="none" w:sz="0" w:space="0" w:color="auto"/>
            <w:bottom w:val="none" w:sz="0" w:space="0" w:color="auto"/>
            <w:right w:val="none" w:sz="0" w:space="0" w:color="auto"/>
          </w:divBdr>
        </w:div>
        <w:div w:id="347828861">
          <w:marLeft w:val="0"/>
          <w:marRight w:val="0"/>
          <w:marTop w:val="0"/>
          <w:marBottom w:val="0"/>
          <w:divBdr>
            <w:top w:val="none" w:sz="0" w:space="0" w:color="auto"/>
            <w:left w:val="none" w:sz="0" w:space="0" w:color="auto"/>
            <w:bottom w:val="none" w:sz="0" w:space="0" w:color="auto"/>
            <w:right w:val="none" w:sz="0" w:space="0" w:color="auto"/>
          </w:divBdr>
        </w:div>
        <w:div w:id="1415664015">
          <w:marLeft w:val="0"/>
          <w:marRight w:val="0"/>
          <w:marTop w:val="0"/>
          <w:marBottom w:val="0"/>
          <w:divBdr>
            <w:top w:val="none" w:sz="0" w:space="0" w:color="auto"/>
            <w:left w:val="none" w:sz="0" w:space="0" w:color="auto"/>
            <w:bottom w:val="none" w:sz="0" w:space="0" w:color="auto"/>
            <w:right w:val="none" w:sz="0" w:space="0" w:color="auto"/>
          </w:divBdr>
        </w:div>
        <w:div w:id="2080210654">
          <w:marLeft w:val="0"/>
          <w:marRight w:val="0"/>
          <w:marTop w:val="0"/>
          <w:marBottom w:val="0"/>
          <w:divBdr>
            <w:top w:val="none" w:sz="0" w:space="0" w:color="auto"/>
            <w:left w:val="none" w:sz="0" w:space="0" w:color="auto"/>
            <w:bottom w:val="none" w:sz="0" w:space="0" w:color="auto"/>
            <w:right w:val="none" w:sz="0" w:space="0" w:color="auto"/>
          </w:divBdr>
        </w:div>
        <w:div w:id="1061638859">
          <w:marLeft w:val="0"/>
          <w:marRight w:val="0"/>
          <w:marTop w:val="0"/>
          <w:marBottom w:val="0"/>
          <w:divBdr>
            <w:top w:val="none" w:sz="0" w:space="0" w:color="auto"/>
            <w:left w:val="none" w:sz="0" w:space="0" w:color="auto"/>
            <w:bottom w:val="none" w:sz="0" w:space="0" w:color="auto"/>
            <w:right w:val="none" w:sz="0" w:space="0" w:color="auto"/>
          </w:divBdr>
        </w:div>
      </w:divsChild>
    </w:div>
    <w:div w:id="1880389590">
      <w:bodyDiv w:val="1"/>
      <w:marLeft w:val="0"/>
      <w:marRight w:val="0"/>
      <w:marTop w:val="0"/>
      <w:marBottom w:val="0"/>
      <w:divBdr>
        <w:top w:val="none" w:sz="0" w:space="0" w:color="auto"/>
        <w:left w:val="none" w:sz="0" w:space="0" w:color="auto"/>
        <w:bottom w:val="none" w:sz="0" w:space="0" w:color="auto"/>
        <w:right w:val="none" w:sz="0" w:space="0" w:color="auto"/>
      </w:divBdr>
    </w:div>
    <w:div w:id="1911848645">
      <w:bodyDiv w:val="1"/>
      <w:marLeft w:val="0"/>
      <w:marRight w:val="0"/>
      <w:marTop w:val="0"/>
      <w:marBottom w:val="0"/>
      <w:divBdr>
        <w:top w:val="none" w:sz="0" w:space="0" w:color="auto"/>
        <w:left w:val="none" w:sz="0" w:space="0" w:color="auto"/>
        <w:bottom w:val="none" w:sz="0" w:space="0" w:color="auto"/>
        <w:right w:val="none" w:sz="0" w:space="0" w:color="auto"/>
      </w:divBdr>
    </w:div>
    <w:div w:id="1961644350">
      <w:bodyDiv w:val="1"/>
      <w:marLeft w:val="0"/>
      <w:marRight w:val="0"/>
      <w:marTop w:val="0"/>
      <w:marBottom w:val="0"/>
      <w:divBdr>
        <w:top w:val="none" w:sz="0" w:space="0" w:color="auto"/>
        <w:left w:val="none" w:sz="0" w:space="0" w:color="auto"/>
        <w:bottom w:val="none" w:sz="0" w:space="0" w:color="auto"/>
        <w:right w:val="none" w:sz="0" w:space="0" w:color="auto"/>
      </w:divBdr>
    </w:div>
    <w:div w:id="1971011109">
      <w:bodyDiv w:val="1"/>
      <w:marLeft w:val="0"/>
      <w:marRight w:val="0"/>
      <w:marTop w:val="0"/>
      <w:marBottom w:val="0"/>
      <w:divBdr>
        <w:top w:val="none" w:sz="0" w:space="0" w:color="auto"/>
        <w:left w:val="none" w:sz="0" w:space="0" w:color="auto"/>
        <w:bottom w:val="none" w:sz="0" w:space="0" w:color="auto"/>
        <w:right w:val="none" w:sz="0" w:space="0" w:color="auto"/>
      </w:divBdr>
    </w:div>
    <w:div w:id="1980183108">
      <w:bodyDiv w:val="1"/>
      <w:marLeft w:val="0"/>
      <w:marRight w:val="0"/>
      <w:marTop w:val="0"/>
      <w:marBottom w:val="0"/>
      <w:divBdr>
        <w:top w:val="none" w:sz="0" w:space="0" w:color="auto"/>
        <w:left w:val="none" w:sz="0" w:space="0" w:color="auto"/>
        <w:bottom w:val="none" w:sz="0" w:space="0" w:color="auto"/>
        <w:right w:val="none" w:sz="0" w:space="0" w:color="auto"/>
      </w:divBdr>
    </w:div>
    <w:div w:id="1995524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Inv1611</b:Tag>
    <b:SourceType>InternetSite</b:SourceType>
    <b:Guid>{915DF324-F42E-4748-9B4E-101D159EB643}</b:Guid>
    <b:Title>Investopedia</b:Title>
    <b:InternetSiteTitle>Sarbanes-Oxley Act Of 2002 - SOX</b:InternetSiteTitle>
    <b:Year>2016</b:Year>
    <b:Month>October</b:Month>
    <b:Day>14</b:Day>
    <b:URL>http://www.investopedia.com/terms/s/sarbanesoxleyact.asp</b:URL>
    <b:YearAccessed>2016</b:YearAccessed>
    <b:RefOrder>8</b:RefOrder>
  </b:Source>
  <b:Source>
    <b:Tag>Tae12</b:Tag>
    <b:SourceType>JournalArticle</b:SourceType>
    <b:Guid>{56725C17-5ABF-4C19-B17C-7746CE2C0016}</b:Guid>
    <b:Title>The Effect of the Sarbanes-Oxley Act on Auditors’ Audit Performance </b:Title>
    <b:Year>2012</b:Year>
    <b:Author>
      <b:Author>
        <b:NameList>
          <b:Person>
            <b:Last>Ryu</b:Last>
            <b:First>Tae</b:First>
            <b:Middle>G.</b:Middle>
          </b:Person>
          <b:Person>
            <b:Last>Uliss</b:Last>
            <b:First>Barbara</b:First>
          </b:Person>
          <b:Person>
            <b:Last>Roh</b:Last>
            <b:First>Chul-Young</b:First>
          </b:Person>
        </b:NameList>
      </b:Author>
    </b:Author>
    <b:JournalName>Journal of Finance and Accountancy </b:JournalName>
    <b:RefOrder>9</b:RefOrder>
  </b:Source>
  <b:Source>
    <b:Tag>Ram06</b:Tag>
    <b:SourceType>JournalArticle</b:SourceType>
    <b:Guid>{1DFA853B-8A48-456E-B1DF-4AF38330A3A4}</b:Guid>
    <b:Author>
      <b:Author>
        <b:NameList>
          <b:Person>
            <b:Last>Rama</b:Last>
            <b:First>D.</b:First>
          </b:Person>
          <b:Person>
            <b:Last>Read</b:Last>
            <b:First>W.</b:First>
            <b:Middle>J.</b:Middle>
          </b:Person>
        </b:NameList>
      </b:Author>
    </b:Author>
    <b:Title>Resignations by the Big 4 and the market for audit services</b:Title>
    <b:JournalName>Accounting Horizons</b:JournalName>
    <b:Year>2006</b:Year>
    <b:Pages>03-05</b:Pages>
    <b:RefOrder>7</b:RefOrder>
  </b:Source>
  <b:Source>
    <b:Tag>Sar16</b:Tag>
    <b:SourceType>InternetSite</b:SourceType>
    <b:Guid>{056D45E7-D1AA-4522-8CEE-94B60408ED9A}</b:Guid>
    <b:Title>Sarbanes Oxley 101</b:Title>
    <b:Year>2016</b:Year>
    <b:InternetSiteTitle>Welcome to Sarbanes Oxley 101</b:InternetSiteTitle>
    <b:URL>http://www.sarbanes-oxley-101.com/</b:URL>
    <b:YearAccessed>2016</b:YearAccessed>
    <b:MonthAccessed>)ctober</b:MonthAccessed>
    <b:DayAccessed>12</b:DayAccessed>
    <b:RefOrder>10</b:RefOrder>
  </b:Source>
  <b:Source>
    <b:Tag>MCC03</b:Tag>
    <b:SourceType>InternetSite</b:SourceType>
    <b:Guid>{C2EB7047-9357-4C7A-BB29-FA634CA53F82}</b:Guid>
    <b:Author>
      <b:Author>
        <b:NameList>
          <b:Person>
            <b:Last>MCCONNELL</b:Last>
            <b:First>DONALD</b:First>
            <b:Middle>K. JR.</b:Middle>
          </b:Person>
          <b:Person>
            <b:Last>BANKS</b:Last>
            <b:First>GEORGE</b:First>
            <b:Middle>Y.</b:Middle>
          </b:Person>
        </b:NameList>
      </b:Author>
    </b:Author>
    <b:Title>Journal of Accountancy</b:Title>
    <b:InternetSiteTitle>How Sarbanes-Oxley Will Change the Audit Process</b:InternetSiteTitle>
    <b:Year>2003</b:Year>
    <b:Month>December</b:Month>
    <b:Day>01</b:Day>
    <b:URL>http://www.journalofaccountancy.com/issues/2003/sep/howsarbanesoxleywillchangetheauditprocess.html</b:URL>
    <b:YearAccessed>2016</b:YearAccessed>
    <b:MonthAccessed>October</b:MonthAccessed>
    <b:DayAccessed>14</b:DayAccessed>
    <b:RefOrder>4</b:RefOrder>
  </b:Source>
  <b:Source>
    <b:Tag>Ins14</b:Tag>
    <b:SourceType>InternetSite</b:SourceType>
    <b:Guid>{CB9500E5-A42B-442D-9568-AC61F4721333}</b:Guid>
    <b:Title>Insurance News Net</b:Title>
    <b:InternetSiteTitle>Is the Sarbanes-Oxley Act Working?</b:InternetSiteTitle>
    <b:Year>2014</b:Year>
    <b:Month>June</b:Month>
    <b:Day>10</b:Day>
    <b:URL>http://insurancenewsnet.com/oarticle/Is-the-Sarbanes-Oxley-Act-Working-a-516096</b:URL>
    <b:YearAccessed>2016</b:YearAccessed>
    <b:MonthAccessed>October</b:MonthAccessed>
    <b:DayAccessed>14</b:DayAccessed>
    <b:Author>
      <b:Author>
        <b:NameList>
          <b:Person>
            <b:Last>Nicholls</b:Last>
            <b:First>Curtis</b:First>
          </b:Person>
        </b:NameList>
      </b:Author>
    </b:Author>
    <b:RefOrder>11</b:RefOrder>
  </b:Source>
  <b:Source>
    <b:Tag>AUS02</b:Tag>
    <b:SourceType>InternetSite</b:SourceType>
    <b:Guid>{5913FAF1-7E17-4CA1-95C5-ADFF6C3F816F}</b:Guid>
    <b:Title>AU Section 316</b:Title>
    <b:InternetSiteTitle>Consideration of Fraud in a Financial Statement Audit</b:InternetSiteTitle>
    <b:Year>2002</b:Year>
    <b:URL>http://www.aicpa.org/Research/Standards/AuditAttest/DownloadableDocuments/AU-00316.pdf</b:URL>
    <b:YearAccessed>2016</b:YearAccessed>
    <b:MonthAccessed>October</b:MonthAccessed>
    <b:DayAccessed>13</b:DayAccessed>
    <b:RefOrder>12</b:RefOrder>
  </b:Source>
  <b:Source>
    <b:Tag>LuS05</b:Tag>
    <b:SourceType>JournalArticle</b:SourceType>
    <b:Guid>{F1247F2B-CDE7-44E8-A957-68B0ADB871C1}</b:Guid>
    <b:Author>
      <b:Author>
        <b:NameList>
          <b:Person>
            <b:Last>Lu</b:Last>
            <b:First>Shunlan</b:First>
          </b:Person>
        </b:NameList>
      </b:Author>
    </b:Author>
    <b:Title>SAS 99 &amp; Fraud Detection</b:Title>
    <b:Year>2005</b:Year>
    <b:JournalName>University of Tennessee Honors These Projects</b:JournalName>
    <b:RefOrder>6</b:RefOrder>
  </b:Source>
  <b:Source>
    <b:Tag>Law13</b:Tag>
    <b:SourceType>JournalArticle</b:SourceType>
    <b:Guid>{8A6162E4-576F-44B1-9AC4-0464D7952C24}</b:Guid>
    <b:Author>
      <b:Author>
        <b:NameList>
          <b:Person>
            <b:Last>Chui</b:Last>
            <b:First>Lawrence</b:First>
          </b:Person>
          <b:Person>
            <b:Last>Pike</b:Last>
            <b:First>Byron</b:First>
          </b:Person>
        </b:NameList>
      </b:Author>
    </b:Author>
    <b:Title>Auditor's responsibility for fruad detection: New wine in old bottles?</b:Title>
    <b:JournalName>Accounting Faculty Publications</b:JournalName>
    <b:Year>2013</b:Year>
    <b:RefOrder>5</b:RefOrder>
  </b:Source>
  <b:Source>
    <b:Tag>Tod08</b:Tag>
    <b:SourceType>JournalArticle</b:SourceType>
    <b:Guid>{086FACA9-FAFB-49DF-8C3D-621458090B35}</b:Guid>
    <b:Author>
      <b:Author>
        <b:NameList>
          <b:Person>
            <b:Last>DeZoort</b:Last>
            <b:First>Todd</b:First>
          </b:Person>
          <b:Person>
            <b:Last>Harrison</b:Last>
            <b:First>Paul</b:First>
          </b:Person>
        </b:NameList>
      </b:Author>
    </b:Author>
    <b:Title>An Evaluation of Internal Auditor Responsibility Internal Auditor Responsibility</b:Title>
    <b:JournalName>Culverhouse School of Accountancy</b:JournalName>
    <b:Year>2008</b:Year>
    <b:RefOrder>1</b:RefOrder>
  </b:Source>
  <b:Source>
    <b:Tag>Nor14</b:Tag>
    <b:SourceType>Book</b:SourceType>
    <b:Guid>{AF442980-D099-4B95-9A41-69D12BD484A8}</b:Guid>
    <b:Title>A Text Book of Auditong Principles </b:Title>
    <b:Year>2014</b:Year>
    <b:Author>
      <b:Author>
        <b:NameList>
          <b:Person>
            <b:Last>Spencer</b:Last>
            <b:First>Norman</b:First>
          </b:Person>
        </b:NameList>
      </b:Author>
    </b:Author>
    <b:City>Westlands, Nairobi</b:City>
    <b:Publisher>East African Educational Publishers</b:Publisher>
    <b:RefOrder>3</b:RefOrder>
  </b:Source>
  <b:Source>
    <b:Tag>Lui08</b:Tag>
    <b:SourceType>Book</b:SourceType>
    <b:Guid>{484B8E54-5AF6-4E64-B0DA-F01552A674D8}</b:Guid>
    <b:Author>
      <b:Author>
        <b:NameList>
          <b:Person>
            <b:Last>Puncel</b:Last>
            <b:First>Luis</b:First>
          </b:Person>
        </b:NameList>
      </b:Author>
    </b:Author>
    <b:Title>Audit Procedures</b:Title>
    <b:Year>2008</b:Year>
    <b:City>Chicago</b:City>
    <b:Publisher>CCH</b:Publisher>
    <b:RefOrder>13</b:RefOrder>
  </b:Source>
  <b:Source>
    <b:Tag>Jou03</b:Tag>
    <b:SourceType>InternetSite</b:SourceType>
    <b:Guid>{51CE2966-5710-4F95-9A3E-8BD448FF9514}</b:Guid>
    <b:Title>Journal of Accountancy</b:Title>
    <b:InternetSiteTitle>Auditors’ Responsibility for Fraud Detection</b:InternetSiteTitle>
    <b:Year>2003</b:Year>
    <b:Month>January</b:Month>
    <b:Day>01</b:Day>
    <b:URL>http://www.journalofaccountancy.com/issues/2003/jan/auditorsresponsibilityforfrauddetection.html</b:URL>
    <b:YearAccessed>2016</b:YearAccessed>
    <b:MonthAccessed>October</b:MonthAccessed>
    <b:DayAccessed>14</b:DayAccessed>
    <b:Author>
      <b:Author>
        <b:NameList>
          <b:Person>
            <b:Last>RAMOS</b:Last>
            <b:First>MICHAEL</b:First>
          </b:Person>
        </b:NameList>
      </b:Author>
    </b:Author>
    <b:RefOrder>2</b:RefOrder>
  </b:Source>
</b:Sources>
</file>

<file path=customXml/itemProps1.xml><?xml version="1.0" encoding="utf-8"?>
<ds:datastoreItem xmlns:ds="http://schemas.openxmlformats.org/officeDocument/2006/customXml" ds:itemID="{585DEDEA-24B9-4F16-9BE1-035C6E968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17</Pages>
  <Words>4193</Words>
  <Characters>23905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7</cp:revision>
  <dcterms:created xsi:type="dcterms:W3CDTF">2016-10-15T09:55:00Z</dcterms:created>
  <dcterms:modified xsi:type="dcterms:W3CDTF">2016-10-15T10:16:00Z</dcterms:modified>
</cp:coreProperties>
</file>