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EB055" w14:textId="77777777" w:rsidR="00AF7203" w:rsidRDefault="00845AA1" w:rsidP="00D31F8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Will Annual Income of Minimum Wage Workers Support a Family above the </w:t>
      </w:r>
      <w:bookmarkStart w:id="0" w:name="_GoBack"/>
      <w:bookmarkEnd w:id="0"/>
      <w:r>
        <w:rPr>
          <w:rFonts w:ascii="Times New Roman" w:hAnsi="Times New Roman" w:cs="Times New Roman"/>
          <w:sz w:val="24"/>
          <w:szCs w:val="24"/>
        </w:rPr>
        <w:t>Poverty Level Income Threshold?</w:t>
      </w:r>
    </w:p>
    <w:p w14:paraId="521F5EE9" w14:textId="7ACCDFD0" w:rsidR="00352323" w:rsidRDefault="00845AA1" w:rsidP="00D31F8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federal minimum wage</w:t>
      </w:r>
      <w:r w:rsidR="00D31F82">
        <w:rPr>
          <w:rFonts w:ascii="Times New Roman" w:hAnsi="Times New Roman" w:cs="Times New Roman"/>
          <w:sz w:val="24"/>
          <w:szCs w:val="24"/>
        </w:rPr>
        <w:t xml:space="preserve"> was</w:t>
      </w:r>
      <w:r w:rsidR="00CF5A4A">
        <w:rPr>
          <w:rFonts w:ascii="Times New Roman" w:hAnsi="Times New Roman" w:cs="Times New Roman"/>
          <w:sz w:val="24"/>
          <w:szCs w:val="24"/>
        </w:rPr>
        <w:t xml:space="preserve"> </w:t>
      </w:r>
      <w:r w:rsidR="00D31F82">
        <w:rPr>
          <w:rFonts w:ascii="Times New Roman" w:hAnsi="Times New Roman" w:cs="Times New Roman"/>
          <w:sz w:val="24"/>
          <w:szCs w:val="24"/>
        </w:rPr>
        <w:t>established</w:t>
      </w:r>
      <w:r w:rsidR="00CB79D4">
        <w:rPr>
          <w:rFonts w:ascii="Times New Roman" w:hAnsi="Times New Roman" w:cs="Times New Roman"/>
          <w:sz w:val="24"/>
          <w:szCs w:val="24"/>
        </w:rPr>
        <w:t xml:space="preserve"> in 1938</w:t>
      </w:r>
      <w:r w:rsidR="00D31F82">
        <w:rPr>
          <w:rFonts w:ascii="Times New Roman" w:hAnsi="Times New Roman" w:cs="Times New Roman"/>
          <w:sz w:val="24"/>
          <w:szCs w:val="24"/>
        </w:rPr>
        <w:t xml:space="preserve"> </w:t>
      </w:r>
      <w:r w:rsidR="000F0DEA">
        <w:rPr>
          <w:rFonts w:ascii="Times New Roman" w:hAnsi="Times New Roman" w:cs="Times New Roman"/>
          <w:sz w:val="24"/>
          <w:szCs w:val="24"/>
        </w:rPr>
        <w:t>as part of</w:t>
      </w:r>
      <w:r w:rsidR="00D31F82">
        <w:rPr>
          <w:rFonts w:ascii="Times New Roman" w:hAnsi="Times New Roman" w:cs="Times New Roman"/>
          <w:sz w:val="24"/>
          <w:szCs w:val="24"/>
        </w:rPr>
        <w:t xml:space="preserve"> the </w:t>
      </w:r>
      <w:r w:rsidR="00CB79D4">
        <w:rPr>
          <w:rFonts w:ascii="Times New Roman" w:hAnsi="Times New Roman" w:cs="Times New Roman"/>
          <w:sz w:val="24"/>
          <w:szCs w:val="24"/>
        </w:rPr>
        <w:t>Fair Labor Standards Act (FLSA)</w:t>
      </w:r>
      <w:r w:rsidR="00607D23">
        <w:rPr>
          <w:rFonts w:ascii="Times New Roman" w:hAnsi="Times New Roman" w:cs="Times New Roman"/>
          <w:sz w:val="24"/>
          <w:szCs w:val="24"/>
        </w:rPr>
        <w:t xml:space="preserve"> (Legal Information Institute, n.d.).</w:t>
      </w:r>
      <w:r w:rsidR="00352323">
        <w:rPr>
          <w:rFonts w:ascii="Times New Roman" w:hAnsi="Times New Roman" w:cs="Times New Roman"/>
          <w:sz w:val="24"/>
          <w:szCs w:val="24"/>
        </w:rPr>
        <w:t xml:space="preserve"> The FLSA was designed to ensure the fair treatment of employees in terms of remuneration and safety of working environment by setting minimum wage, overtime pay, and child labor regulations among others. The main reason for the establishment of the minimum wage regulation was to protect workers in the post-depression economy by defining the minimum standard of living beneath which the health and well-being of employees would suffer. </w:t>
      </w:r>
      <w:r w:rsidR="00DB25E4">
        <w:rPr>
          <w:rFonts w:ascii="Times New Roman" w:hAnsi="Times New Roman" w:cs="Times New Roman"/>
          <w:sz w:val="24"/>
          <w:szCs w:val="24"/>
        </w:rPr>
        <w:t>The minimum wage legislation also assisted employees who lacked bargaining power in a period of job competition to secure payment at the minimum subsistence wage (Legal Information Institute, n.d.)</w:t>
      </w:r>
    </w:p>
    <w:p w14:paraId="7F615FCD" w14:textId="666FF4EC" w:rsidR="00D31F82" w:rsidRDefault="00845AA1" w:rsidP="00D31F8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poverty threshold </w:t>
      </w:r>
      <w:r w:rsidR="005E443A">
        <w:rPr>
          <w:rFonts w:ascii="Times New Roman" w:hAnsi="Times New Roman" w:cs="Times New Roman"/>
          <w:sz w:val="24"/>
          <w:szCs w:val="24"/>
        </w:rPr>
        <w:t xml:space="preserve">income </w:t>
      </w:r>
      <w:r>
        <w:rPr>
          <w:rFonts w:ascii="Times New Roman" w:hAnsi="Times New Roman" w:cs="Times New Roman"/>
          <w:sz w:val="24"/>
          <w:szCs w:val="24"/>
        </w:rPr>
        <w:t xml:space="preserve">is a measure of income inadequacy, </w:t>
      </w:r>
      <w:r w:rsidR="005E443A">
        <w:rPr>
          <w:rFonts w:ascii="Times New Roman" w:hAnsi="Times New Roman" w:cs="Times New Roman"/>
          <w:sz w:val="24"/>
          <w:szCs w:val="24"/>
        </w:rPr>
        <w:t xml:space="preserve">which was </w:t>
      </w:r>
      <w:r>
        <w:rPr>
          <w:rFonts w:ascii="Times New Roman" w:hAnsi="Times New Roman" w:cs="Times New Roman"/>
          <w:sz w:val="24"/>
          <w:szCs w:val="24"/>
        </w:rPr>
        <w:t>originally devel</w:t>
      </w:r>
      <w:r>
        <w:rPr>
          <w:rFonts w:ascii="Times New Roman" w:hAnsi="Times New Roman" w:cs="Times New Roman"/>
          <w:sz w:val="24"/>
          <w:szCs w:val="24"/>
        </w:rPr>
        <w:t>oped by the Social Security Administration</w:t>
      </w:r>
      <w:r w:rsidR="00697997">
        <w:rPr>
          <w:rFonts w:ascii="Times New Roman" w:hAnsi="Times New Roman" w:cs="Times New Roman"/>
          <w:sz w:val="24"/>
          <w:szCs w:val="24"/>
        </w:rPr>
        <w:t xml:space="preserve"> (Fisher, 1997)</w:t>
      </w:r>
      <w:r>
        <w:rPr>
          <w:rFonts w:ascii="Times New Roman" w:hAnsi="Times New Roman" w:cs="Times New Roman"/>
          <w:sz w:val="24"/>
          <w:szCs w:val="24"/>
        </w:rPr>
        <w:t xml:space="preserve">. </w:t>
      </w:r>
      <w:r w:rsidR="005E443A">
        <w:rPr>
          <w:rFonts w:ascii="Times New Roman" w:hAnsi="Times New Roman" w:cs="Times New Roman"/>
          <w:sz w:val="24"/>
          <w:szCs w:val="24"/>
        </w:rPr>
        <w:t xml:space="preserve">The </w:t>
      </w:r>
      <w:r>
        <w:rPr>
          <w:rFonts w:ascii="Times New Roman" w:hAnsi="Times New Roman" w:cs="Times New Roman"/>
          <w:sz w:val="24"/>
          <w:szCs w:val="24"/>
        </w:rPr>
        <w:t xml:space="preserve">measure is based on the cheapest nutritionally adequate diets </w:t>
      </w:r>
      <w:r w:rsidR="005E443A">
        <w:rPr>
          <w:rFonts w:ascii="Times New Roman" w:hAnsi="Times New Roman" w:cs="Times New Roman"/>
          <w:sz w:val="24"/>
          <w:szCs w:val="24"/>
        </w:rPr>
        <w:t xml:space="preserve">as determined by the </w:t>
      </w:r>
      <w:r w:rsidR="00697997">
        <w:rPr>
          <w:rFonts w:ascii="Times New Roman" w:hAnsi="Times New Roman" w:cs="Times New Roman"/>
          <w:sz w:val="24"/>
          <w:szCs w:val="24"/>
        </w:rPr>
        <w:t>D</w:t>
      </w:r>
      <w:r w:rsidR="005E443A">
        <w:rPr>
          <w:rFonts w:ascii="Times New Roman" w:hAnsi="Times New Roman" w:cs="Times New Roman"/>
          <w:sz w:val="24"/>
          <w:szCs w:val="24"/>
        </w:rPr>
        <w:t>epartment of Agriculture</w:t>
      </w:r>
      <w:r>
        <w:rPr>
          <w:rFonts w:ascii="Times New Roman" w:hAnsi="Times New Roman" w:cs="Times New Roman"/>
          <w:sz w:val="24"/>
          <w:szCs w:val="24"/>
        </w:rPr>
        <w:t xml:space="preserve">. </w:t>
      </w:r>
      <w:r w:rsidR="005E443A">
        <w:rPr>
          <w:rFonts w:ascii="Times New Roman" w:hAnsi="Times New Roman" w:cs="Times New Roman"/>
          <w:sz w:val="24"/>
          <w:szCs w:val="24"/>
        </w:rPr>
        <w:t>The value of the basket of the most affordable nutritionally diet required to feed a household of a specified number of persons is multiplied by a factor to arrive at the poverty threshold income</w:t>
      </w:r>
      <w:r w:rsidR="00697997">
        <w:rPr>
          <w:rFonts w:ascii="Times New Roman" w:hAnsi="Times New Roman" w:cs="Times New Roman"/>
          <w:sz w:val="24"/>
          <w:szCs w:val="24"/>
        </w:rPr>
        <w:t xml:space="preserve"> (Fisher, 1997)</w:t>
      </w:r>
      <w:r w:rsidR="00D31F82">
        <w:rPr>
          <w:rFonts w:ascii="Times New Roman" w:hAnsi="Times New Roman" w:cs="Times New Roman"/>
          <w:sz w:val="24"/>
          <w:szCs w:val="24"/>
        </w:rPr>
        <w:t>. Originally, a factor of 3 was used for a 2-person household as the data collected by the SSA indicated that on average, a third of the income of 2-person households was spent on food</w:t>
      </w:r>
      <w:r w:rsidR="00697997">
        <w:rPr>
          <w:rFonts w:ascii="Times New Roman" w:hAnsi="Times New Roman" w:cs="Times New Roman"/>
          <w:sz w:val="24"/>
          <w:szCs w:val="24"/>
        </w:rPr>
        <w:t xml:space="preserve"> (Fisher, 1997)</w:t>
      </w:r>
      <w:r w:rsidR="00D31F82">
        <w:rPr>
          <w:rFonts w:ascii="Times New Roman" w:hAnsi="Times New Roman" w:cs="Times New Roman"/>
          <w:sz w:val="24"/>
          <w:szCs w:val="24"/>
        </w:rPr>
        <w:t>.</w:t>
      </w:r>
    </w:p>
    <w:p w14:paraId="3C4EC346" w14:textId="017683F2" w:rsidR="007A16D3" w:rsidRDefault="00D30FC2" w:rsidP="00D30FC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845AA1">
        <w:rPr>
          <w:rFonts w:ascii="Times New Roman" w:hAnsi="Times New Roman" w:cs="Times New Roman"/>
          <w:sz w:val="24"/>
          <w:szCs w:val="24"/>
        </w:rPr>
        <w:t xml:space="preserve">he trend in purchasing power and inflation for selected years between 1968 </w:t>
      </w:r>
      <w:r w:rsidR="00845AA1">
        <w:rPr>
          <w:rFonts w:ascii="Times New Roman" w:hAnsi="Times New Roman" w:cs="Times New Roman"/>
          <w:sz w:val="24"/>
          <w:szCs w:val="24"/>
        </w:rPr>
        <w:t>and 2013 is presented in Figure one below</w:t>
      </w:r>
      <w:r>
        <w:rPr>
          <w:rFonts w:ascii="Times New Roman" w:hAnsi="Times New Roman" w:cs="Times New Roman"/>
          <w:sz w:val="24"/>
          <w:szCs w:val="24"/>
        </w:rPr>
        <w:t xml:space="preserve">. </w:t>
      </w:r>
      <w:r w:rsidR="00845AA1">
        <w:rPr>
          <w:rFonts w:ascii="Times New Roman" w:hAnsi="Times New Roman" w:cs="Times New Roman"/>
          <w:sz w:val="24"/>
          <w:szCs w:val="24"/>
        </w:rPr>
        <w:t>Between 1969 and 1979 the trend in inflation and purchasing power were roughly in the same direction</w:t>
      </w:r>
      <w:r w:rsidR="00B45CA9">
        <w:rPr>
          <w:rFonts w:ascii="Times New Roman" w:hAnsi="Times New Roman" w:cs="Times New Roman"/>
          <w:sz w:val="24"/>
          <w:szCs w:val="24"/>
        </w:rPr>
        <w:t>. However, purchasing power did not keep up with inflation as the</w:t>
      </w:r>
      <w:r w:rsidR="00845AA1">
        <w:rPr>
          <w:rFonts w:ascii="Times New Roman" w:hAnsi="Times New Roman" w:cs="Times New Roman"/>
          <w:sz w:val="24"/>
          <w:szCs w:val="24"/>
        </w:rPr>
        <w:t xml:space="preserve"> magnitude of the percentage change in inflation was higher than the change in </w:t>
      </w:r>
      <w:r w:rsidR="00845AA1">
        <w:rPr>
          <w:rFonts w:ascii="Times New Roman" w:hAnsi="Times New Roman" w:cs="Times New Roman"/>
          <w:sz w:val="24"/>
          <w:szCs w:val="24"/>
        </w:rPr>
        <w:lastRenderedPageBreak/>
        <w:t>pu</w:t>
      </w:r>
      <w:r w:rsidR="00845AA1">
        <w:rPr>
          <w:rFonts w:ascii="Times New Roman" w:hAnsi="Times New Roman" w:cs="Times New Roman"/>
          <w:sz w:val="24"/>
          <w:szCs w:val="24"/>
        </w:rPr>
        <w:t>rchasing power. Between 1979 and 1992, the trend in inflation and purchasing power were in opposite directions, with an increase (decrease) in inflation corresponding to a decrease (increase) in purchasing power. In this period, the CPI’s rate of growth ou</w:t>
      </w:r>
      <w:r w:rsidR="00845AA1">
        <w:rPr>
          <w:rFonts w:ascii="Times New Roman" w:hAnsi="Times New Roman" w:cs="Times New Roman"/>
          <w:sz w:val="24"/>
          <w:szCs w:val="24"/>
        </w:rPr>
        <w:t xml:space="preserve">tpaced the nominal minimum wage (NMW) growth resulting a decrease in purchasing power while inflation increased. </w:t>
      </w:r>
    </w:p>
    <w:p w14:paraId="755072AB" w14:textId="439F139B" w:rsidR="00697997" w:rsidRDefault="00845AA1" w:rsidP="00D31F8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period between 1992 and 1997 was favorable to consumers as purchasing power (PP) increased while inflation decreased and PP increased by a </w:t>
      </w:r>
      <w:r>
        <w:rPr>
          <w:rFonts w:ascii="Times New Roman" w:hAnsi="Times New Roman" w:cs="Times New Roman"/>
          <w:sz w:val="24"/>
          <w:szCs w:val="24"/>
        </w:rPr>
        <w:t xml:space="preserve">higher magnitude than inflation. Between 1998 and 2006, the growth in PP and inflation remained more or less constant with a </w:t>
      </w:r>
      <w:r>
        <w:rPr>
          <w:rFonts w:ascii="Times New Roman" w:hAnsi="Times New Roman" w:cs="Times New Roman"/>
          <w:sz w:val="24"/>
          <w:szCs w:val="24"/>
        </w:rPr>
        <w:t xml:space="preserve">small </w:t>
      </w:r>
      <w:r>
        <w:rPr>
          <w:rFonts w:ascii="Times New Roman" w:hAnsi="Times New Roman" w:cs="Times New Roman"/>
          <w:sz w:val="24"/>
          <w:szCs w:val="24"/>
        </w:rPr>
        <w:t xml:space="preserve">spread between the two </w:t>
      </w:r>
      <w:r>
        <w:rPr>
          <w:rFonts w:ascii="Times New Roman" w:hAnsi="Times New Roman" w:cs="Times New Roman"/>
          <w:sz w:val="24"/>
          <w:szCs w:val="24"/>
        </w:rPr>
        <w:t xml:space="preserve">growth </w:t>
      </w:r>
      <w:r>
        <w:rPr>
          <w:rFonts w:ascii="Times New Roman" w:hAnsi="Times New Roman" w:cs="Times New Roman"/>
          <w:sz w:val="24"/>
          <w:szCs w:val="24"/>
        </w:rPr>
        <w:t xml:space="preserve">rates. </w:t>
      </w:r>
      <w:r>
        <w:rPr>
          <w:rFonts w:ascii="Times New Roman" w:hAnsi="Times New Roman" w:cs="Times New Roman"/>
          <w:sz w:val="24"/>
          <w:szCs w:val="24"/>
        </w:rPr>
        <w:t xml:space="preserve">In the </w:t>
      </w:r>
      <w:r w:rsidR="00B45CA9">
        <w:rPr>
          <w:rFonts w:ascii="Times New Roman" w:hAnsi="Times New Roman" w:cs="Times New Roman"/>
          <w:sz w:val="24"/>
          <w:szCs w:val="24"/>
        </w:rPr>
        <w:t>3-</w:t>
      </w:r>
      <w:r>
        <w:rPr>
          <w:rFonts w:ascii="Times New Roman" w:hAnsi="Times New Roman" w:cs="Times New Roman"/>
          <w:sz w:val="24"/>
          <w:szCs w:val="24"/>
        </w:rPr>
        <w:t>year period between 2007 and 2009, the CPI fell while the nominal wage res</w:t>
      </w:r>
      <w:r>
        <w:rPr>
          <w:rFonts w:ascii="Times New Roman" w:hAnsi="Times New Roman" w:cs="Times New Roman"/>
          <w:sz w:val="24"/>
          <w:szCs w:val="24"/>
        </w:rPr>
        <w:t>ulting in a sizeable increase in purchasing power</w:t>
      </w:r>
      <w:r w:rsidR="00697997">
        <w:rPr>
          <w:rFonts w:ascii="Times New Roman" w:hAnsi="Times New Roman" w:cs="Times New Roman"/>
          <w:sz w:val="24"/>
          <w:szCs w:val="24"/>
        </w:rPr>
        <w:t xml:space="preserve"> that outpaced the growth in inflation</w:t>
      </w:r>
      <w:r>
        <w:rPr>
          <w:rFonts w:ascii="Times New Roman" w:hAnsi="Times New Roman" w:cs="Times New Roman"/>
          <w:sz w:val="24"/>
          <w:szCs w:val="24"/>
        </w:rPr>
        <w:t>. The increase in prices following the recovery from the 2008 global recession</w:t>
      </w:r>
      <w:r w:rsidR="00697997">
        <w:rPr>
          <w:rFonts w:ascii="Times New Roman" w:hAnsi="Times New Roman" w:cs="Times New Roman"/>
          <w:sz w:val="24"/>
          <w:szCs w:val="24"/>
        </w:rPr>
        <w:t xml:space="preserve"> that was unmatched by the growth in nominal wages</w:t>
      </w:r>
      <w:r>
        <w:rPr>
          <w:rFonts w:ascii="Times New Roman" w:hAnsi="Times New Roman" w:cs="Times New Roman"/>
          <w:sz w:val="24"/>
          <w:szCs w:val="24"/>
        </w:rPr>
        <w:t xml:space="preserve"> </w:t>
      </w:r>
      <w:r w:rsidR="00697997">
        <w:rPr>
          <w:rFonts w:ascii="Times New Roman" w:hAnsi="Times New Roman" w:cs="Times New Roman"/>
          <w:sz w:val="24"/>
          <w:szCs w:val="24"/>
        </w:rPr>
        <w:t xml:space="preserve">resulted in </w:t>
      </w:r>
      <w:proofErr w:type="gramStart"/>
      <w:r w:rsidR="00697997">
        <w:rPr>
          <w:rFonts w:ascii="Times New Roman" w:hAnsi="Times New Roman" w:cs="Times New Roman"/>
          <w:sz w:val="24"/>
          <w:szCs w:val="24"/>
        </w:rPr>
        <w:t>an</w:t>
      </w:r>
      <w:proofErr w:type="gramEnd"/>
      <w:r w:rsidR="00697997">
        <w:rPr>
          <w:rFonts w:ascii="Times New Roman" w:hAnsi="Times New Roman" w:cs="Times New Roman"/>
          <w:sz w:val="24"/>
          <w:szCs w:val="24"/>
        </w:rPr>
        <w:t xml:space="preserve"> rise in inflation and a smaller increase in purchasing power between 2010 and 2012.</w:t>
      </w:r>
    </w:p>
    <w:p w14:paraId="1DB51DDF" w14:textId="77777777" w:rsidR="007A16D3" w:rsidRDefault="00845AA1" w:rsidP="007A16D3">
      <w:pPr>
        <w:keepNext/>
        <w:spacing w:after="0" w:line="480" w:lineRule="auto"/>
      </w:pPr>
      <w:r>
        <w:rPr>
          <w:rFonts w:ascii="Times New Roman" w:hAnsi="Times New Roman" w:cs="Times New Roman"/>
          <w:noProof/>
          <w:sz w:val="24"/>
          <w:szCs w:val="24"/>
        </w:rPr>
        <w:drawing>
          <wp:inline distT="0" distB="0" distL="114300" distR="114300" wp14:anchorId="26E35185" wp14:editId="06C52561">
            <wp:extent cx="5133975" cy="2943225"/>
            <wp:effectExtent l="0" t="0" r="9525" b="9525"/>
            <wp:docPr id="1027"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CDE3891" w14:textId="1889BC7D" w:rsidR="00AF7203" w:rsidRDefault="007A16D3" w:rsidP="007A16D3">
      <w:pPr>
        <w:pStyle w:val="Caption"/>
        <w:rPr>
          <w:rFonts w:ascii="Times New Roman" w:hAnsi="Times New Roman" w:cs="Times New Roman"/>
          <w:sz w:val="24"/>
          <w:szCs w:val="24"/>
        </w:rPr>
      </w:pPr>
      <w:r>
        <w:t xml:space="preserve">Figure </w:t>
      </w:r>
      <w:fldSimple w:instr=" SEQ Figure \* ARABIC ">
        <w:r>
          <w:rPr>
            <w:noProof/>
          </w:rPr>
          <w:t>1</w:t>
        </w:r>
      </w:fldSimple>
      <w:r>
        <w:t>:</w:t>
      </w:r>
      <w:r>
        <w:rPr>
          <w:i w:val="0"/>
          <w:iCs w:val="0"/>
        </w:rPr>
        <w:t>Trend in purchasing power and inflation for selected years</w:t>
      </w:r>
    </w:p>
    <w:p w14:paraId="5DC76F9A" w14:textId="77777777" w:rsidR="00AF7203" w:rsidRDefault="00AF7203" w:rsidP="00D31F82">
      <w:pPr>
        <w:spacing w:after="0" w:line="480" w:lineRule="auto"/>
        <w:rPr>
          <w:rFonts w:ascii="Times New Roman" w:hAnsi="Times New Roman" w:cs="Times New Roman"/>
          <w:sz w:val="24"/>
          <w:szCs w:val="24"/>
        </w:rPr>
      </w:pPr>
    </w:p>
    <w:p w14:paraId="7FBF0724" w14:textId="5A6138DD" w:rsidR="00EA340A" w:rsidRDefault="00845AA1" w:rsidP="007A16D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real income earned by a household of 2</w:t>
      </w:r>
      <w:r w:rsidR="00EA340A">
        <w:rPr>
          <w:rFonts w:ascii="Times New Roman" w:hAnsi="Times New Roman" w:cs="Times New Roman"/>
          <w:sz w:val="24"/>
          <w:szCs w:val="24"/>
        </w:rPr>
        <w:t xml:space="preserve"> (INC1PCTRH2)</w:t>
      </w:r>
      <w:r>
        <w:rPr>
          <w:rFonts w:ascii="Times New Roman" w:hAnsi="Times New Roman" w:cs="Times New Roman"/>
          <w:sz w:val="24"/>
          <w:szCs w:val="24"/>
        </w:rPr>
        <w:t xml:space="preserve"> and 4</w:t>
      </w:r>
      <w:r w:rsidR="00EA340A">
        <w:rPr>
          <w:rFonts w:ascii="Times New Roman" w:hAnsi="Times New Roman" w:cs="Times New Roman"/>
          <w:sz w:val="24"/>
          <w:szCs w:val="24"/>
        </w:rPr>
        <w:t xml:space="preserve"> (INC1PCTRH4)</w:t>
      </w:r>
      <w:r>
        <w:rPr>
          <w:rFonts w:ascii="Times New Roman" w:hAnsi="Times New Roman" w:cs="Times New Roman"/>
          <w:sz w:val="24"/>
          <w:szCs w:val="24"/>
        </w:rPr>
        <w:t xml:space="preserve"> </w:t>
      </w:r>
      <w:r w:rsidR="007A16D3">
        <w:rPr>
          <w:rFonts w:ascii="Times New Roman" w:hAnsi="Times New Roman" w:cs="Times New Roman"/>
          <w:sz w:val="24"/>
          <w:szCs w:val="24"/>
        </w:rPr>
        <w:t>with a single worker earning</w:t>
      </w:r>
      <w:r>
        <w:rPr>
          <w:rFonts w:ascii="Times New Roman" w:hAnsi="Times New Roman" w:cs="Times New Roman"/>
          <w:sz w:val="24"/>
          <w:szCs w:val="24"/>
        </w:rPr>
        <w:t xml:space="preserve"> minimum wag</w:t>
      </w:r>
      <w:r>
        <w:rPr>
          <w:rFonts w:ascii="Times New Roman" w:hAnsi="Times New Roman" w:cs="Times New Roman"/>
          <w:sz w:val="24"/>
          <w:szCs w:val="24"/>
        </w:rPr>
        <w:t xml:space="preserve">e income earner as a </w:t>
      </w:r>
      <w:r w:rsidR="007A16D3">
        <w:rPr>
          <w:rFonts w:ascii="Times New Roman" w:hAnsi="Times New Roman" w:cs="Times New Roman"/>
          <w:sz w:val="24"/>
          <w:szCs w:val="24"/>
        </w:rPr>
        <w:t xml:space="preserve">fraction </w:t>
      </w:r>
      <w:r>
        <w:rPr>
          <w:rFonts w:ascii="Times New Roman" w:hAnsi="Times New Roman" w:cs="Times New Roman"/>
          <w:sz w:val="24"/>
          <w:szCs w:val="24"/>
        </w:rPr>
        <w:t xml:space="preserve">of the poverty level threshold income is presented in Figure 2 below. The percentage of poverty level income threshold for a household of 4 was consistently below 1, indicating subsistence below the poverty level. </w:t>
      </w:r>
      <w:r w:rsidR="00EA340A">
        <w:rPr>
          <w:rFonts w:ascii="Times New Roman" w:hAnsi="Times New Roman" w:cs="Times New Roman"/>
          <w:sz w:val="24"/>
          <w:szCs w:val="24"/>
        </w:rPr>
        <w:t>INC1PCTRH4 was highest in 1968, when the real minimum wage (RMW) household earnings were equivalent to 81% of the poverty level threshold income, and lowest in 2007 when RMW household earnings were equivalent to less than half of the poverty level threshold income. On the other hand, INC1PCTRH2 was greater than 1 between 1969 and 1987, fell to 0.88 in 1988 and stayed below 1 for every subsequent year other than 2010, where it increased briefly to 1.02. Prior to 1988, an individual working a minimum wage job was able to support his/her 2-person household above the poverty threshold. This ceased to be true from 1988 with 2-person households with one minimum wage earner subsisting below the poverty level.</w:t>
      </w:r>
    </w:p>
    <w:p w14:paraId="7E4515CA" w14:textId="77777777" w:rsidR="00AF7203" w:rsidRDefault="00845AA1" w:rsidP="00D31F82">
      <w:pPr>
        <w:spacing w:after="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114300" distR="114300" wp14:anchorId="1A35DC45" wp14:editId="1F5013C4">
            <wp:extent cx="4572000" cy="2743200"/>
            <wp:effectExtent l="0" t="0" r="0" b="0"/>
            <wp:docPr id="1029"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A707997" w14:textId="67F54C54" w:rsidR="005E443A" w:rsidRDefault="005E443A" w:rsidP="00D31F82">
      <w:pPr>
        <w:spacing w:after="0" w:line="480" w:lineRule="auto"/>
        <w:rPr>
          <w:rFonts w:ascii="Times New Roman" w:hAnsi="Times New Roman" w:cs="Times New Roman"/>
          <w:sz w:val="24"/>
          <w:szCs w:val="24"/>
        </w:rPr>
      </w:pPr>
    </w:p>
    <w:p w14:paraId="487E0E61" w14:textId="6321078C" w:rsidR="005E443A" w:rsidRDefault="005E443A" w:rsidP="00A416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When the number of workers in the 4-person household increased to two, the workers were able to support the family above the poverty threshold for all years other than 2007 where the INC2PCTRH4 was slightly lower than 1 (0.99). The annual minimum wage income for two workers in a 2-person household was consistently higher than one indicating subsistence above the poverty level for every year in the period of analysis. INC2PCTRH2 was lowest in 2007, where the household income was 1.5 times the poverty threshold income. </w:t>
      </w:r>
    </w:p>
    <w:p w14:paraId="33CCB1C7" w14:textId="77777777" w:rsidR="00AF7203" w:rsidRDefault="00845AA1" w:rsidP="00D31F82">
      <w:pPr>
        <w:spacing w:after="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114300" distR="114300" wp14:anchorId="5E1311BB" wp14:editId="1C9C105F">
            <wp:extent cx="4905375" cy="3324225"/>
            <wp:effectExtent l="0" t="0" r="0" b="0"/>
            <wp:docPr id="1031"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5377046" w14:textId="3D87E19C" w:rsidR="00A416F4" w:rsidRDefault="00D30FC2" w:rsidP="00A416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Overall, t</w:t>
      </w:r>
      <w:r w:rsidR="005E443A" w:rsidRPr="005E443A">
        <w:rPr>
          <w:rFonts w:ascii="Times New Roman" w:hAnsi="Times New Roman" w:cs="Times New Roman"/>
          <w:sz w:val="24"/>
          <w:szCs w:val="24"/>
        </w:rPr>
        <w:t xml:space="preserve">he analysis indicates that </w:t>
      </w:r>
      <w:r>
        <w:rPr>
          <w:rFonts w:ascii="Times New Roman" w:hAnsi="Times New Roman" w:cs="Times New Roman"/>
          <w:sz w:val="24"/>
          <w:szCs w:val="24"/>
        </w:rPr>
        <w:t xml:space="preserve">the minimum wage legislation has been ineffective with respect to the objective of securing workers’ subsistence above the minimum standards of living. Despite its indexation to the CPI, the real minimum wage grew at a slower rate than inflation for most of the years in the period of analysis. Further, one person earning real minimum wage would not be able to support a two-person household above the poverty threshold in the most recent years. </w:t>
      </w:r>
    </w:p>
    <w:p w14:paraId="20E6F018" w14:textId="77777777" w:rsidR="00A416F4" w:rsidRDefault="00A416F4">
      <w:pPr>
        <w:rPr>
          <w:rFonts w:ascii="Times New Roman" w:hAnsi="Times New Roman" w:cs="Times New Roman"/>
          <w:sz w:val="24"/>
          <w:szCs w:val="24"/>
        </w:rPr>
      </w:pPr>
      <w:r>
        <w:rPr>
          <w:rFonts w:ascii="Times New Roman" w:hAnsi="Times New Roman" w:cs="Times New Roman"/>
          <w:sz w:val="24"/>
          <w:szCs w:val="24"/>
        </w:rPr>
        <w:br w:type="page"/>
      </w:r>
    </w:p>
    <w:p w14:paraId="483BE9DF" w14:textId="67BDAE8E" w:rsidR="00D30FC2" w:rsidRDefault="00A416F4" w:rsidP="00E9213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68BB15BA" w14:textId="56617FF9" w:rsidR="00AA0867" w:rsidRDefault="00A416F4" w:rsidP="00A416F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Fisher, G. (1997). </w:t>
      </w:r>
      <w:r w:rsidRPr="00A416F4">
        <w:rPr>
          <w:rFonts w:ascii="Times New Roman" w:hAnsi="Times New Roman" w:cs="Times New Roman"/>
          <w:i/>
          <w:iCs/>
          <w:sz w:val="24"/>
          <w:szCs w:val="24"/>
        </w:rPr>
        <w:t>History of poverty thresholds</w:t>
      </w:r>
      <w:r>
        <w:rPr>
          <w:rFonts w:ascii="Times New Roman" w:hAnsi="Times New Roman" w:cs="Times New Roman"/>
          <w:sz w:val="24"/>
          <w:szCs w:val="24"/>
        </w:rPr>
        <w:t xml:space="preserve">. Retrieved from: </w:t>
      </w:r>
      <w:hyperlink r:id="rId10" w:history="1">
        <w:r w:rsidR="00AA0867" w:rsidRPr="009C45AC">
          <w:rPr>
            <w:rStyle w:val="Hyperlink"/>
            <w:rFonts w:ascii="Times New Roman" w:hAnsi="Times New Roman" w:cs="Times New Roman"/>
            <w:sz w:val="24"/>
            <w:szCs w:val="24"/>
          </w:rPr>
          <w:t>https://aspe.hhs.gov/history-</w:t>
        </w:r>
      </w:hyperlink>
    </w:p>
    <w:p w14:paraId="72DE6C67" w14:textId="7F7C905C" w:rsidR="00A416F4" w:rsidRDefault="00A416F4" w:rsidP="00AA0867">
      <w:pPr>
        <w:spacing w:after="0" w:line="480" w:lineRule="auto"/>
        <w:ind w:left="720"/>
        <w:rPr>
          <w:rFonts w:ascii="Times New Roman" w:hAnsi="Times New Roman" w:cs="Times New Roman"/>
          <w:sz w:val="24"/>
          <w:szCs w:val="24"/>
        </w:rPr>
      </w:pPr>
      <w:r w:rsidRPr="00A416F4">
        <w:rPr>
          <w:rFonts w:ascii="Times New Roman" w:hAnsi="Times New Roman" w:cs="Times New Roman"/>
          <w:sz w:val="24"/>
          <w:szCs w:val="24"/>
        </w:rPr>
        <w:t>poverty-thresholds</w:t>
      </w:r>
    </w:p>
    <w:p w14:paraId="41980174" w14:textId="77777777" w:rsidR="00AA0867" w:rsidRDefault="00AA0867" w:rsidP="00D31F82">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Legal Information Institute (n.d.). </w:t>
      </w:r>
      <w:r w:rsidRPr="00AA0867">
        <w:rPr>
          <w:rFonts w:ascii="Times New Roman" w:hAnsi="Times New Roman" w:cs="Times New Roman"/>
          <w:i/>
          <w:iCs/>
          <w:sz w:val="24"/>
          <w:szCs w:val="24"/>
        </w:rPr>
        <w:t>Minimum wage</w:t>
      </w:r>
      <w:r>
        <w:rPr>
          <w:rFonts w:ascii="Times New Roman" w:hAnsi="Times New Roman" w:cs="Times New Roman"/>
          <w:sz w:val="24"/>
          <w:szCs w:val="24"/>
        </w:rPr>
        <w:t xml:space="preserve">. Retrieved from: </w:t>
      </w:r>
    </w:p>
    <w:p w14:paraId="5961E0D6" w14:textId="6960CCA7" w:rsidR="00B45CA9" w:rsidRPr="00B45CA9" w:rsidRDefault="00AA0867" w:rsidP="00AA0867">
      <w:pPr>
        <w:spacing w:after="0" w:line="480" w:lineRule="auto"/>
        <w:ind w:left="720"/>
        <w:rPr>
          <w:rFonts w:ascii="Times New Roman" w:hAnsi="Times New Roman" w:cs="Times New Roman"/>
          <w:sz w:val="24"/>
          <w:szCs w:val="24"/>
        </w:rPr>
      </w:pPr>
      <w:r w:rsidRPr="00AA0867">
        <w:rPr>
          <w:rFonts w:ascii="Times New Roman" w:hAnsi="Times New Roman" w:cs="Times New Roman"/>
          <w:sz w:val="24"/>
          <w:szCs w:val="24"/>
        </w:rPr>
        <w:t>https://www.law.cornell.edu/wex/minimum_wage</w:t>
      </w:r>
    </w:p>
    <w:p w14:paraId="13DB2CAB" w14:textId="77777777" w:rsidR="00B45CA9" w:rsidRDefault="00B45CA9" w:rsidP="00D31F82">
      <w:pPr>
        <w:spacing w:after="0" w:line="480" w:lineRule="auto"/>
        <w:rPr>
          <w:rFonts w:ascii="Times New Roman" w:hAnsi="Times New Roman" w:cs="Times New Roman"/>
          <w:sz w:val="24"/>
          <w:szCs w:val="24"/>
        </w:rPr>
      </w:pPr>
    </w:p>
    <w:sectPr w:rsidR="00B45CA9">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78F7F" w14:textId="77777777" w:rsidR="00845AA1" w:rsidRDefault="00845AA1">
      <w:pPr>
        <w:spacing w:after="0" w:line="240" w:lineRule="auto"/>
      </w:pPr>
      <w:r>
        <w:separator/>
      </w:r>
    </w:p>
  </w:endnote>
  <w:endnote w:type="continuationSeparator" w:id="0">
    <w:p w14:paraId="3BCD1042" w14:textId="77777777" w:rsidR="00845AA1" w:rsidRDefault="0084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4E211" w14:textId="77777777" w:rsidR="00AF7203" w:rsidRDefault="00845AA1">
    <w:pPr>
      <w:pStyle w:val="Footer"/>
      <w:jc w:val="right"/>
    </w:pPr>
    <w:r>
      <w:fldChar w:fldCharType="begin"/>
    </w:r>
    <w:r>
      <w:instrText xml:space="preserve"> PAGE   \* MERGEFORMAT </w:instrText>
    </w:r>
    <w:r>
      <w:fldChar w:fldCharType="separate"/>
    </w:r>
    <w:r>
      <w:rPr>
        <w:noProof/>
      </w:rPr>
      <w:t>1</w:t>
    </w:r>
    <w:r>
      <w:rPr>
        <w:noProof/>
      </w:rPr>
      <w:fldChar w:fldCharType="end"/>
    </w:r>
  </w:p>
  <w:p w14:paraId="35417A8C" w14:textId="77777777" w:rsidR="00AF7203" w:rsidRDefault="00AF7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680AF" w14:textId="77777777" w:rsidR="00845AA1" w:rsidRDefault="00845AA1">
      <w:pPr>
        <w:spacing w:after="0" w:line="240" w:lineRule="auto"/>
      </w:pPr>
      <w:r>
        <w:separator/>
      </w:r>
    </w:p>
  </w:footnote>
  <w:footnote w:type="continuationSeparator" w:id="0">
    <w:p w14:paraId="00204397" w14:textId="77777777" w:rsidR="00845AA1" w:rsidRDefault="00845A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9727923"/>
      <w:docPartObj>
        <w:docPartGallery w:val="Page Numbers (Top of Page)"/>
        <w:docPartUnique/>
      </w:docPartObj>
    </w:sdtPr>
    <w:sdtEndPr>
      <w:rPr>
        <w:noProof/>
      </w:rPr>
    </w:sdtEndPr>
    <w:sdtContent>
      <w:p w14:paraId="3ADD3D60" w14:textId="0E37803A" w:rsidR="00EF7194" w:rsidRDefault="00EF719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B0B98BB" w14:textId="77777777" w:rsidR="00EF7194" w:rsidRDefault="00EF71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203"/>
    <w:rsid w:val="000F0DEA"/>
    <w:rsid w:val="00352323"/>
    <w:rsid w:val="005E443A"/>
    <w:rsid w:val="00607D23"/>
    <w:rsid w:val="00697997"/>
    <w:rsid w:val="007A16D3"/>
    <w:rsid w:val="00845AA1"/>
    <w:rsid w:val="00A416F4"/>
    <w:rsid w:val="00AA0867"/>
    <w:rsid w:val="00AF7203"/>
    <w:rsid w:val="00B45CA9"/>
    <w:rsid w:val="00CB79D4"/>
    <w:rsid w:val="00CF5A4A"/>
    <w:rsid w:val="00D30FC2"/>
    <w:rsid w:val="00D31F82"/>
    <w:rsid w:val="00DB25E4"/>
    <w:rsid w:val="00E9213A"/>
    <w:rsid w:val="00EA340A"/>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10E67"/>
  <w15:docId w15:val="{57647F41-9482-4C06-AAEE-DD47244A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rPr>
      <w:color w:val="0563C1"/>
      <w:u w:val="single"/>
    </w:rPr>
  </w:style>
  <w:style w:type="character" w:customStyle="1" w:styleId="UnresolvedMention1">
    <w:name w:val="Unresolved Mention1"/>
    <w:basedOn w:val="DefaultParagraphFont"/>
    <w:uiPriority w:val="99"/>
    <w:rPr>
      <w:color w:val="605E5C"/>
      <w:shd w:val="clear" w:color="auto" w:fill="E1DFDD"/>
    </w:rPr>
  </w:style>
  <w:style w:type="paragraph" w:styleId="Caption">
    <w:name w:val="caption"/>
    <w:basedOn w:val="Normal"/>
    <w:next w:val="Normal"/>
    <w:uiPriority w:val="35"/>
    <w:unhideWhenUsed/>
    <w:qFormat/>
    <w:rsid w:val="007A16D3"/>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AA0867"/>
    <w:rPr>
      <w:color w:val="605E5C"/>
      <w:shd w:val="clear" w:color="auto" w:fill="E1DFDD"/>
    </w:rPr>
  </w:style>
  <w:style w:type="paragraph" w:styleId="Header">
    <w:name w:val="header"/>
    <w:basedOn w:val="Normal"/>
    <w:link w:val="HeaderChar"/>
    <w:uiPriority w:val="99"/>
    <w:unhideWhenUsed/>
    <w:rsid w:val="00EF71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aspe.hhs.gov/history-" TargetMode="Externa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C:/Users/HP/Downloads/signature%20assignment%20original%20data%20in%20class%20summer%2019%20(7)%20(1)%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Users/HP/Downloads/signature%20assignment%20original%20data%20in%20class%20summer%2019%20(7)%20(1)%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C:/Users/HP/Downloads/signature%20assignment%20original%20data%20in%20class%20summer%2019%20(7)%20(1)%20(2).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Trend in Purchasing Power and Inflation for Selected Years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KE"/>
        </a:p>
      </c:txPr>
    </c:title>
    <c:autoTitleDeleted val="0"/>
    <c:plotArea>
      <c:layout/>
      <c:lineChart>
        <c:grouping val="standard"/>
        <c:varyColors val="0"/>
        <c:ser>
          <c:idx val="1"/>
          <c:order val="0"/>
          <c:tx>
            <c:strRef>
              <c:f>Sheet2!$B$2</c:f>
              <c:strCache>
                <c:ptCount val="1"/>
                <c:pt idx="0">
                  <c:v>% chg pp</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Sheet2!$A$2:$A$29</c:f>
              <c:strCache>
                <c:ptCount val="28"/>
                <c:pt idx="0">
                  <c:v>Year</c:v>
                </c:pt>
                <c:pt idx="1">
                  <c:v>1970</c:v>
                </c:pt>
                <c:pt idx="2">
                  <c:v>1972</c:v>
                </c:pt>
                <c:pt idx="3">
                  <c:v>1976</c:v>
                </c:pt>
                <c:pt idx="4">
                  <c:v>1979</c:v>
                </c:pt>
                <c:pt idx="5">
                  <c:v>1980</c:v>
                </c:pt>
                <c:pt idx="6">
                  <c:v>1981</c:v>
                </c:pt>
                <c:pt idx="7">
                  <c:v>1988</c:v>
                </c:pt>
                <c:pt idx="8">
                  <c:v>1991</c:v>
                </c:pt>
                <c:pt idx="9">
                  <c:v>1992</c:v>
                </c:pt>
                <c:pt idx="10">
                  <c:v>1994</c:v>
                </c:pt>
                <c:pt idx="11">
                  <c:v>1996</c:v>
                </c:pt>
                <c:pt idx="12">
                  <c:v>1997</c:v>
                </c:pt>
                <c:pt idx="13">
                  <c:v>1998</c:v>
                </c:pt>
                <c:pt idx="14">
                  <c:v>2000</c:v>
                </c:pt>
                <c:pt idx="15">
                  <c:v>2001</c:v>
                </c:pt>
                <c:pt idx="16">
                  <c:v>2002</c:v>
                </c:pt>
                <c:pt idx="17">
                  <c:v>2003</c:v>
                </c:pt>
                <c:pt idx="18">
                  <c:v>2004</c:v>
                </c:pt>
                <c:pt idx="19">
                  <c:v>2005</c:v>
                </c:pt>
                <c:pt idx="20">
                  <c:v>2006</c:v>
                </c:pt>
                <c:pt idx="21">
                  <c:v>2007</c:v>
                </c:pt>
                <c:pt idx="22">
                  <c:v>2008</c:v>
                </c:pt>
                <c:pt idx="23">
                  <c:v>2009</c:v>
                </c:pt>
                <c:pt idx="24">
                  <c:v>2010</c:v>
                </c:pt>
                <c:pt idx="25">
                  <c:v>2011</c:v>
                </c:pt>
                <c:pt idx="26">
                  <c:v>2012</c:v>
                </c:pt>
                <c:pt idx="27">
                  <c:v>2013</c:v>
                </c:pt>
              </c:strCache>
            </c:strRef>
          </c:cat>
          <c:val>
            <c:numRef>
              <c:f>Sheet2!$B$3:$B$29</c:f>
              <c:numCache>
                <c:formatCode>0.00%</c:formatCode>
                <c:ptCount val="27"/>
                <c:pt idx="0">
                  <c:v>-0.10309278350515499</c:v>
                </c:pt>
                <c:pt idx="1">
                  <c:v>-7.1770334928229707E-2</c:v>
                </c:pt>
                <c:pt idx="2">
                  <c:v>5.6019332161687002E-2</c:v>
                </c:pt>
                <c:pt idx="3">
                  <c:v>-1.17978200982152E-2</c:v>
                </c:pt>
                <c:pt idx="4">
                  <c:v>-5.8168731168396402E-2</c:v>
                </c:pt>
                <c:pt idx="5">
                  <c:v>-2.0405266333084902E-2</c:v>
                </c:pt>
                <c:pt idx="6">
                  <c:v>-0.231614539306847</c:v>
                </c:pt>
                <c:pt idx="7">
                  <c:v>-1.4750038354483E-2</c:v>
                </c:pt>
                <c:pt idx="8">
                  <c:v>8.5737329782045998E-2</c:v>
                </c:pt>
                <c:pt idx="9">
                  <c:v>-5.3306342780027001E-2</c:v>
                </c:pt>
                <c:pt idx="10">
                  <c:v>-5.5449330783938801E-2</c:v>
                </c:pt>
                <c:pt idx="11">
                  <c:v>9.2578339747113894E-2</c:v>
                </c:pt>
                <c:pt idx="12">
                  <c:v>6.7581530513400198E-2</c:v>
                </c:pt>
                <c:pt idx="13">
                  <c:v>-5.3426248548199898E-2</c:v>
                </c:pt>
                <c:pt idx="14">
                  <c:v>-2.7667984189723199E-2</c:v>
                </c:pt>
                <c:pt idx="15">
                  <c:v>-1.55642023346305E-2</c:v>
                </c:pt>
                <c:pt idx="16">
                  <c:v>-2.2282608695652201E-2</c:v>
                </c:pt>
                <c:pt idx="17">
                  <c:v>-2.5939650608787598E-2</c:v>
                </c:pt>
                <c:pt idx="18">
                  <c:v>-3.2770097286226298E-2</c:v>
                </c:pt>
                <c:pt idx="19">
                  <c:v>-3.1250000000000097E-2</c:v>
                </c:pt>
                <c:pt idx="20">
                  <c:v>-2.7496382054992798E-2</c:v>
                </c:pt>
                <c:pt idx="21">
                  <c:v>9.3714347557483493E-2</c:v>
                </c:pt>
                <c:pt idx="22">
                  <c:v>0.123834000757078</c:v>
                </c:pt>
                <c:pt idx="23">
                  <c:v>8.8600018900217403E-2</c:v>
                </c:pt>
                <c:pt idx="24">
                  <c:v>-3.0235660293463799E-2</c:v>
                </c:pt>
                <c:pt idx="25">
                  <c:v>-2.0470383275261201E-2</c:v>
                </c:pt>
                <c:pt idx="26">
                  <c:v>-1.4592274678111699E-2</c:v>
                </c:pt>
              </c:numCache>
            </c:numRef>
          </c:val>
          <c:smooth val="0"/>
          <c:extLst>
            <c:ext xmlns:c16="http://schemas.microsoft.com/office/drawing/2014/chart" uri="{C3380CC4-5D6E-409C-BE32-E72D297353CC}">
              <c16:uniqueId val="{00000000-6BFB-4776-B918-40E6EAE62A14}"/>
            </c:ext>
          </c:extLst>
        </c:ser>
        <c:ser>
          <c:idx val="2"/>
          <c:order val="1"/>
          <c:tx>
            <c:strRef>
              <c:f>Sheet2!$C$2</c:f>
              <c:strCache>
                <c:ptCount val="1"/>
                <c:pt idx="0">
                  <c:v>inflation rate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Sheet2!$A$2:$A$29</c:f>
              <c:strCache>
                <c:ptCount val="28"/>
                <c:pt idx="0">
                  <c:v>Year</c:v>
                </c:pt>
                <c:pt idx="1">
                  <c:v>1970</c:v>
                </c:pt>
                <c:pt idx="2">
                  <c:v>1972</c:v>
                </c:pt>
                <c:pt idx="3">
                  <c:v>1976</c:v>
                </c:pt>
                <c:pt idx="4">
                  <c:v>1979</c:v>
                </c:pt>
                <c:pt idx="5">
                  <c:v>1980</c:v>
                </c:pt>
                <c:pt idx="6">
                  <c:v>1981</c:v>
                </c:pt>
                <c:pt idx="7">
                  <c:v>1988</c:v>
                </c:pt>
                <c:pt idx="8">
                  <c:v>1991</c:v>
                </c:pt>
                <c:pt idx="9">
                  <c:v>1992</c:v>
                </c:pt>
                <c:pt idx="10">
                  <c:v>1994</c:v>
                </c:pt>
                <c:pt idx="11">
                  <c:v>1996</c:v>
                </c:pt>
                <c:pt idx="12">
                  <c:v>1997</c:v>
                </c:pt>
                <c:pt idx="13">
                  <c:v>1998</c:v>
                </c:pt>
                <c:pt idx="14">
                  <c:v>2000</c:v>
                </c:pt>
                <c:pt idx="15">
                  <c:v>2001</c:v>
                </c:pt>
                <c:pt idx="16">
                  <c:v>2002</c:v>
                </c:pt>
                <c:pt idx="17">
                  <c:v>2003</c:v>
                </c:pt>
                <c:pt idx="18">
                  <c:v>2004</c:v>
                </c:pt>
                <c:pt idx="19">
                  <c:v>2005</c:v>
                </c:pt>
                <c:pt idx="20">
                  <c:v>2006</c:v>
                </c:pt>
                <c:pt idx="21">
                  <c:v>2007</c:v>
                </c:pt>
                <c:pt idx="22">
                  <c:v>2008</c:v>
                </c:pt>
                <c:pt idx="23">
                  <c:v>2009</c:v>
                </c:pt>
                <c:pt idx="24">
                  <c:v>2010</c:v>
                </c:pt>
                <c:pt idx="25">
                  <c:v>2011</c:v>
                </c:pt>
                <c:pt idx="26">
                  <c:v>2012</c:v>
                </c:pt>
                <c:pt idx="27">
                  <c:v>2013</c:v>
                </c:pt>
              </c:strCache>
            </c:strRef>
          </c:cat>
          <c:val>
            <c:numRef>
              <c:f>Sheet2!$C$3:$C$29</c:f>
              <c:numCache>
                <c:formatCode>0.00%</c:formatCode>
                <c:ptCount val="27"/>
                <c:pt idx="0">
                  <c:v>0.114942528735632</c:v>
                </c:pt>
                <c:pt idx="1">
                  <c:v>7.7319587628865996E-2</c:v>
                </c:pt>
                <c:pt idx="2">
                  <c:v>0.36124401913875598</c:v>
                </c:pt>
                <c:pt idx="3">
                  <c:v>0.27592267135325099</c:v>
                </c:pt>
                <c:pt idx="4">
                  <c:v>0.134986225895317</c:v>
                </c:pt>
                <c:pt idx="5">
                  <c:v>0.103155339805825</c:v>
                </c:pt>
                <c:pt idx="6">
                  <c:v>0.30143014301430099</c:v>
                </c:pt>
                <c:pt idx="7">
                  <c:v>0.15131022823330501</c:v>
                </c:pt>
                <c:pt idx="8">
                  <c:v>3.0102790014684501E-2</c:v>
                </c:pt>
                <c:pt idx="9">
                  <c:v>5.6307911617961302E-2</c:v>
                </c:pt>
                <c:pt idx="10">
                  <c:v>5.8704453441295698E-2</c:v>
                </c:pt>
                <c:pt idx="11">
                  <c:v>2.2944550669216E-2</c:v>
                </c:pt>
                <c:pt idx="12">
                  <c:v>1.5576323987538899E-2</c:v>
                </c:pt>
                <c:pt idx="13">
                  <c:v>5.6441717791411002E-2</c:v>
                </c:pt>
                <c:pt idx="14">
                  <c:v>2.84552845528456E-2</c:v>
                </c:pt>
                <c:pt idx="15">
                  <c:v>1.5810276679842E-2</c:v>
                </c:pt>
                <c:pt idx="16">
                  <c:v>2.27904391328516E-2</c:v>
                </c:pt>
                <c:pt idx="17">
                  <c:v>2.6630434782608702E-2</c:v>
                </c:pt>
                <c:pt idx="18">
                  <c:v>3.3880359978824798E-2</c:v>
                </c:pt>
                <c:pt idx="19">
                  <c:v>3.22580645161289E-2</c:v>
                </c:pt>
                <c:pt idx="20">
                  <c:v>2.82738095238096E-2</c:v>
                </c:pt>
                <c:pt idx="21">
                  <c:v>3.8591413410516202E-2</c:v>
                </c:pt>
                <c:pt idx="22">
                  <c:v>-3.7157454714352601E-3</c:v>
                </c:pt>
                <c:pt idx="23">
                  <c:v>1.6783216783216801E-2</c:v>
                </c:pt>
                <c:pt idx="24">
                  <c:v>3.11783585511234E-2</c:v>
                </c:pt>
                <c:pt idx="25">
                  <c:v>2.08981769675411E-2</c:v>
                </c:pt>
                <c:pt idx="26">
                  <c:v>1.4808362369338E-2</c:v>
                </c:pt>
              </c:numCache>
            </c:numRef>
          </c:val>
          <c:smooth val="0"/>
          <c:extLst>
            <c:ext xmlns:c16="http://schemas.microsoft.com/office/drawing/2014/chart" uri="{C3380CC4-5D6E-409C-BE32-E72D297353CC}">
              <c16:uniqueId val="{00000001-6BFB-4776-B918-40E6EAE62A14}"/>
            </c:ext>
          </c:extLst>
        </c:ser>
        <c:dLbls>
          <c:showLegendKey val="0"/>
          <c:showVal val="0"/>
          <c:showCatName val="0"/>
          <c:showSerName val="0"/>
          <c:showPercent val="0"/>
          <c:showBubbleSize val="0"/>
        </c:dLbls>
        <c:marker val="1"/>
        <c:smooth val="0"/>
        <c:axId val="433218176"/>
        <c:axId val="433218832"/>
      </c:lineChart>
      <c:catAx>
        <c:axId val="433218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crossAx val="433218832"/>
        <c:crosses val="autoZero"/>
        <c:auto val="1"/>
        <c:lblAlgn val="ctr"/>
        <c:lblOffset val="100"/>
        <c:noMultiLvlLbl val="0"/>
      </c:catAx>
      <c:valAx>
        <c:axId val="43321883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crossAx val="4332181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K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Percentage of the Poverty Level Income Threshold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KE"/>
        </a:p>
      </c:txPr>
    </c:title>
    <c:autoTitleDeleted val="0"/>
    <c:plotArea>
      <c:layout/>
      <c:lineChart>
        <c:grouping val="standard"/>
        <c:varyColors val="0"/>
        <c:ser>
          <c:idx val="0"/>
          <c:order val="0"/>
          <c:tx>
            <c:strRef>
              <c:f>Sheet3!$B$2</c:f>
              <c:strCache>
                <c:ptCount val="1"/>
                <c:pt idx="0">
                  <c:v>INC1PCTRH2</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Sheet3!$A$3:$A$29</c:f>
              <c:numCache>
                <c:formatCode>General</c:formatCode>
                <c:ptCount val="27"/>
                <c:pt idx="0">
                  <c:v>1970</c:v>
                </c:pt>
                <c:pt idx="1">
                  <c:v>1972</c:v>
                </c:pt>
                <c:pt idx="2">
                  <c:v>1976</c:v>
                </c:pt>
                <c:pt idx="3">
                  <c:v>1979</c:v>
                </c:pt>
                <c:pt idx="4">
                  <c:v>1980</c:v>
                </c:pt>
                <c:pt idx="5">
                  <c:v>1981</c:v>
                </c:pt>
                <c:pt idx="6">
                  <c:v>1988</c:v>
                </c:pt>
                <c:pt idx="7">
                  <c:v>1991</c:v>
                </c:pt>
                <c:pt idx="8">
                  <c:v>1992</c:v>
                </c:pt>
                <c:pt idx="9">
                  <c:v>1994</c:v>
                </c:pt>
                <c:pt idx="10">
                  <c:v>1996</c:v>
                </c:pt>
                <c:pt idx="11">
                  <c:v>1997</c:v>
                </c:pt>
                <c:pt idx="12">
                  <c:v>1998</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Sheet3!$B$3:$B$29</c:f>
              <c:numCache>
                <c:formatCode>_(* #,##0.00_);_(* \(#,##0.00\);_(* "-"??_);_(@_)</c:formatCode>
                <c:ptCount val="27"/>
                <c:pt idx="0">
                  <c:v>1.26732673267327</c:v>
                </c:pt>
                <c:pt idx="1">
                  <c:v>1.17474302496329</c:v>
                </c:pt>
                <c:pt idx="2">
                  <c:v>1.2395580706009199</c:v>
                </c:pt>
                <c:pt idx="3">
                  <c:v>1.2275132275132301</c:v>
                </c:pt>
                <c:pt idx="4">
                  <c:v>1.15606936416185</c:v>
                </c:pt>
                <c:pt idx="5">
                  <c:v>1.13233057292547</c:v>
                </c:pt>
                <c:pt idx="6">
                  <c:v>0.86967808930425805</c:v>
                </c:pt>
                <c:pt idx="7">
                  <c:v>0.85730400451212596</c:v>
                </c:pt>
                <c:pt idx="8">
                  <c:v>0.93028346284338403</c:v>
                </c:pt>
                <c:pt idx="9">
                  <c:v>0.879826104958079</c:v>
                </c:pt>
                <c:pt idx="10">
                  <c:v>0.83064594937945901</c:v>
                </c:pt>
                <c:pt idx="11">
                  <c:v>0.90709443330468797</c:v>
                </c:pt>
                <c:pt idx="12">
                  <c:v>0.96859131088959904</c:v>
                </c:pt>
                <c:pt idx="13">
                  <c:v>0.91645164160512504</c:v>
                </c:pt>
                <c:pt idx="14">
                  <c:v>0.89031031204079902</c:v>
                </c:pt>
                <c:pt idx="15">
                  <c:v>0.87614834977883604</c:v>
                </c:pt>
                <c:pt idx="16">
                  <c:v>0.85726175613816102</c:v>
                </c:pt>
                <c:pt idx="17">
                  <c:v>0.83508999513539806</c:v>
                </c:pt>
                <c:pt idx="18">
                  <c:v>0.80752646021168195</c:v>
                </c:pt>
                <c:pt idx="19">
                  <c:v>0.78225867699551899</c:v>
                </c:pt>
                <c:pt idx="20">
                  <c:v>0.76070901033973404</c:v>
                </c:pt>
                <c:pt idx="21">
                  <c:v>0.83268094797523295</c:v>
                </c:pt>
                <c:pt idx="22">
                  <c:v>0.93631620327353304</c:v>
                </c:pt>
                <c:pt idx="23">
                  <c:v>1.01983401322268</c:v>
                </c:pt>
                <c:pt idx="24">
                  <c:v>0.98928839462372897</c:v>
                </c:pt>
                <c:pt idx="25">
                  <c:v>0.970743790587133</c:v>
                </c:pt>
                <c:pt idx="26">
                  <c:v>0.95671681182370005</c:v>
                </c:pt>
              </c:numCache>
            </c:numRef>
          </c:val>
          <c:smooth val="0"/>
          <c:extLst>
            <c:ext xmlns:c16="http://schemas.microsoft.com/office/drawing/2014/chart" uri="{C3380CC4-5D6E-409C-BE32-E72D297353CC}">
              <c16:uniqueId val="{00000000-6AAE-409C-9BA5-EB9F8A26D3A5}"/>
            </c:ext>
          </c:extLst>
        </c:ser>
        <c:ser>
          <c:idx val="1"/>
          <c:order val="1"/>
          <c:tx>
            <c:strRef>
              <c:f>Sheet3!$C$2</c:f>
              <c:strCache>
                <c:ptCount val="1"/>
                <c:pt idx="0">
                  <c:v>INC1PCTR4</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Sheet3!$A$3:$A$29</c:f>
              <c:numCache>
                <c:formatCode>General</c:formatCode>
                <c:ptCount val="27"/>
                <c:pt idx="0">
                  <c:v>1970</c:v>
                </c:pt>
                <c:pt idx="1">
                  <c:v>1972</c:v>
                </c:pt>
                <c:pt idx="2">
                  <c:v>1976</c:v>
                </c:pt>
                <c:pt idx="3">
                  <c:v>1979</c:v>
                </c:pt>
                <c:pt idx="4">
                  <c:v>1980</c:v>
                </c:pt>
                <c:pt idx="5">
                  <c:v>1981</c:v>
                </c:pt>
                <c:pt idx="6">
                  <c:v>1988</c:v>
                </c:pt>
                <c:pt idx="7">
                  <c:v>1991</c:v>
                </c:pt>
                <c:pt idx="8">
                  <c:v>1992</c:v>
                </c:pt>
                <c:pt idx="9">
                  <c:v>1994</c:v>
                </c:pt>
                <c:pt idx="10">
                  <c:v>1996</c:v>
                </c:pt>
                <c:pt idx="11">
                  <c:v>1997</c:v>
                </c:pt>
                <c:pt idx="12">
                  <c:v>1998</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Sheet3!$C$3:$C$29</c:f>
              <c:numCache>
                <c:formatCode>_(* #,##0.00_);_(* \(#,##0.00\);_(* "-"??_);_(@_)</c:formatCode>
                <c:ptCount val="27"/>
                <c:pt idx="0">
                  <c:v>0.80645161290322598</c:v>
                </c:pt>
                <c:pt idx="1">
                  <c:v>0.74853801169590595</c:v>
                </c:pt>
                <c:pt idx="2">
                  <c:v>0.79105760963026595</c:v>
                </c:pt>
                <c:pt idx="3">
                  <c:v>0.78251484079870504</c:v>
                </c:pt>
                <c:pt idx="4">
                  <c:v>0.73686712621820805</c:v>
                </c:pt>
                <c:pt idx="5">
                  <c:v>0.72143857004414802</c:v>
                </c:pt>
                <c:pt idx="6">
                  <c:v>0.55408534568309598</c:v>
                </c:pt>
                <c:pt idx="7">
                  <c:v>0.54582016661878796</c:v>
                </c:pt>
                <c:pt idx="8">
                  <c:v>0.59295430763864698</c:v>
                </c:pt>
                <c:pt idx="9">
                  <c:v>0.56138960438544305</c:v>
                </c:pt>
                <c:pt idx="10">
                  <c:v>0.53005737091544003</c:v>
                </c:pt>
                <c:pt idx="11">
                  <c:v>0.57926829268292701</c:v>
                </c:pt>
                <c:pt idx="12">
                  <c:v>0.61824729891956798</c:v>
                </c:pt>
                <c:pt idx="13">
                  <c:v>0.58512753507924797</c:v>
                </c:pt>
                <c:pt idx="14">
                  <c:v>0.56893504197967304</c:v>
                </c:pt>
                <c:pt idx="15">
                  <c:v>0.56002609830361005</c:v>
                </c:pt>
                <c:pt idx="16">
                  <c:v>0.54758107389686295</c:v>
                </c:pt>
                <c:pt idx="17">
                  <c:v>0.53348526441187105</c:v>
                </c:pt>
                <c:pt idx="18">
                  <c:v>0.51574783435982197</c:v>
                </c:pt>
                <c:pt idx="19">
                  <c:v>0.49966042495391499</c:v>
                </c:pt>
                <c:pt idx="20">
                  <c:v>0.48578031410649403</c:v>
                </c:pt>
                <c:pt idx="21">
                  <c:v>0.53121452894438104</c:v>
                </c:pt>
                <c:pt idx="22">
                  <c:v>0.59670219549968095</c:v>
                </c:pt>
                <c:pt idx="23">
                  <c:v>0.64981625885094596</c:v>
                </c:pt>
                <c:pt idx="24">
                  <c:v>0.62985969332348701</c:v>
                </c:pt>
                <c:pt idx="25">
                  <c:v>0.61723139792269699</c:v>
                </c:pt>
                <c:pt idx="26">
                  <c:v>0.60832354421882895</c:v>
                </c:pt>
              </c:numCache>
            </c:numRef>
          </c:val>
          <c:smooth val="0"/>
          <c:extLst>
            <c:ext xmlns:c16="http://schemas.microsoft.com/office/drawing/2014/chart" uri="{C3380CC4-5D6E-409C-BE32-E72D297353CC}">
              <c16:uniqueId val="{00000001-6AAE-409C-9BA5-EB9F8A26D3A5}"/>
            </c:ext>
          </c:extLst>
        </c:ser>
        <c:dLbls>
          <c:showLegendKey val="0"/>
          <c:showVal val="0"/>
          <c:showCatName val="0"/>
          <c:showSerName val="0"/>
          <c:showPercent val="0"/>
          <c:showBubbleSize val="0"/>
        </c:dLbls>
        <c:marker val="1"/>
        <c:smooth val="0"/>
        <c:axId val="433218504"/>
        <c:axId val="433213256"/>
      </c:lineChart>
      <c:catAx>
        <c:axId val="433218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crossAx val="433213256"/>
        <c:crosses val="autoZero"/>
        <c:auto val="1"/>
        <c:lblAlgn val="ctr"/>
        <c:lblOffset val="100"/>
        <c:noMultiLvlLbl val="0"/>
      </c:catAx>
      <c:valAx>
        <c:axId val="433213256"/>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crossAx val="4332185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K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Annual Income 2 as Percentage of Poverty Level Income Threshold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KE"/>
        </a:p>
      </c:txPr>
    </c:title>
    <c:autoTitleDeleted val="0"/>
    <c:plotArea>
      <c:layout/>
      <c:lineChart>
        <c:grouping val="standard"/>
        <c:varyColors val="0"/>
        <c:ser>
          <c:idx val="0"/>
          <c:order val="0"/>
          <c:tx>
            <c:strRef>
              <c:f>Sheet4!$B$2</c:f>
              <c:strCache>
                <c:ptCount val="1"/>
                <c:pt idx="0">
                  <c:v>INC2PCTRH2</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Sheet4!$A$3:$A$29</c:f>
              <c:numCache>
                <c:formatCode>General</c:formatCode>
                <c:ptCount val="27"/>
                <c:pt idx="0">
                  <c:v>1970</c:v>
                </c:pt>
                <c:pt idx="1">
                  <c:v>1972</c:v>
                </c:pt>
                <c:pt idx="2">
                  <c:v>1976</c:v>
                </c:pt>
                <c:pt idx="3">
                  <c:v>1979</c:v>
                </c:pt>
                <c:pt idx="4">
                  <c:v>1980</c:v>
                </c:pt>
                <c:pt idx="5">
                  <c:v>1981</c:v>
                </c:pt>
                <c:pt idx="6">
                  <c:v>1988</c:v>
                </c:pt>
                <c:pt idx="7">
                  <c:v>1991</c:v>
                </c:pt>
                <c:pt idx="8">
                  <c:v>1992</c:v>
                </c:pt>
                <c:pt idx="9">
                  <c:v>1994</c:v>
                </c:pt>
                <c:pt idx="10">
                  <c:v>1996</c:v>
                </c:pt>
                <c:pt idx="11">
                  <c:v>1997</c:v>
                </c:pt>
                <c:pt idx="12">
                  <c:v>1998</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Sheet4!$B$3:$B$29</c:f>
              <c:numCache>
                <c:formatCode>_(* #,##0.00_);_(* \(#,##0.00\);_(* "-"??_);_(@_)</c:formatCode>
                <c:ptCount val="27"/>
                <c:pt idx="0">
                  <c:v>2.5346534653465298</c:v>
                </c:pt>
                <c:pt idx="1">
                  <c:v>2.3494860499265799</c:v>
                </c:pt>
                <c:pt idx="2">
                  <c:v>2.4791161412018301</c:v>
                </c:pt>
                <c:pt idx="3">
                  <c:v>2.4550264550264602</c:v>
                </c:pt>
                <c:pt idx="4">
                  <c:v>2.3121387283237</c:v>
                </c:pt>
                <c:pt idx="5">
                  <c:v>2.26466114585094</c:v>
                </c:pt>
                <c:pt idx="6">
                  <c:v>1.7393561786085201</c:v>
                </c:pt>
                <c:pt idx="7">
                  <c:v>1.7146080090242499</c:v>
                </c:pt>
                <c:pt idx="8">
                  <c:v>1.8605669256867701</c:v>
                </c:pt>
                <c:pt idx="9">
                  <c:v>1.75965220991616</c:v>
                </c:pt>
                <c:pt idx="10">
                  <c:v>1.66129189875892</c:v>
                </c:pt>
                <c:pt idx="11">
                  <c:v>1.8141888666093799</c:v>
                </c:pt>
                <c:pt idx="12">
                  <c:v>1.9371826217792001</c:v>
                </c:pt>
                <c:pt idx="13">
                  <c:v>1.8329032832102501</c:v>
                </c:pt>
                <c:pt idx="14">
                  <c:v>1.7806206240816</c:v>
                </c:pt>
                <c:pt idx="15">
                  <c:v>1.7522966995576701</c:v>
                </c:pt>
                <c:pt idx="16">
                  <c:v>1.71452351227632</c:v>
                </c:pt>
                <c:pt idx="17">
                  <c:v>1.6701799902708001</c:v>
                </c:pt>
                <c:pt idx="18">
                  <c:v>1.6150529204233599</c:v>
                </c:pt>
                <c:pt idx="19">
                  <c:v>1.56451735399104</c:v>
                </c:pt>
                <c:pt idx="20">
                  <c:v>1.5214180206794701</c:v>
                </c:pt>
                <c:pt idx="21">
                  <c:v>1.6653618959504699</c:v>
                </c:pt>
                <c:pt idx="22">
                  <c:v>1.8726324065470701</c:v>
                </c:pt>
                <c:pt idx="23">
                  <c:v>2.0396680264453502</c:v>
                </c:pt>
                <c:pt idx="24">
                  <c:v>1.9785767892474599</c:v>
                </c:pt>
                <c:pt idx="25">
                  <c:v>1.94148758117427</c:v>
                </c:pt>
                <c:pt idx="26">
                  <c:v>1.9134336236474001</c:v>
                </c:pt>
              </c:numCache>
            </c:numRef>
          </c:val>
          <c:smooth val="0"/>
          <c:extLst>
            <c:ext xmlns:c16="http://schemas.microsoft.com/office/drawing/2014/chart" uri="{C3380CC4-5D6E-409C-BE32-E72D297353CC}">
              <c16:uniqueId val="{00000000-B8B7-4A84-8294-9AD0F6B4B957}"/>
            </c:ext>
          </c:extLst>
        </c:ser>
        <c:ser>
          <c:idx val="1"/>
          <c:order val="1"/>
          <c:tx>
            <c:strRef>
              <c:f>Sheet4!$C$2</c:f>
              <c:strCache>
                <c:ptCount val="1"/>
                <c:pt idx="0">
                  <c:v>INC2PCTRH4</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Sheet4!$A$3:$A$29</c:f>
              <c:numCache>
                <c:formatCode>General</c:formatCode>
                <c:ptCount val="27"/>
                <c:pt idx="0">
                  <c:v>1970</c:v>
                </c:pt>
                <c:pt idx="1">
                  <c:v>1972</c:v>
                </c:pt>
                <c:pt idx="2">
                  <c:v>1976</c:v>
                </c:pt>
                <c:pt idx="3">
                  <c:v>1979</c:v>
                </c:pt>
                <c:pt idx="4">
                  <c:v>1980</c:v>
                </c:pt>
                <c:pt idx="5">
                  <c:v>1981</c:v>
                </c:pt>
                <c:pt idx="6">
                  <c:v>1988</c:v>
                </c:pt>
                <c:pt idx="7">
                  <c:v>1991</c:v>
                </c:pt>
                <c:pt idx="8">
                  <c:v>1992</c:v>
                </c:pt>
                <c:pt idx="9">
                  <c:v>1994</c:v>
                </c:pt>
                <c:pt idx="10">
                  <c:v>1996</c:v>
                </c:pt>
                <c:pt idx="11">
                  <c:v>1997</c:v>
                </c:pt>
                <c:pt idx="12">
                  <c:v>1998</c:v>
                </c:pt>
                <c:pt idx="13">
                  <c:v>2000</c:v>
                </c:pt>
                <c:pt idx="14">
                  <c:v>2001</c:v>
                </c:pt>
                <c:pt idx="15">
                  <c:v>2002</c:v>
                </c:pt>
                <c:pt idx="16">
                  <c:v>2003</c:v>
                </c:pt>
                <c:pt idx="17">
                  <c:v>2004</c:v>
                </c:pt>
                <c:pt idx="18">
                  <c:v>2005</c:v>
                </c:pt>
                <c:pt idx="19">
                  <c:v>2006</c:v>
                </c:pt>
                <c:pt idx="20">
                  <c:v>2007</c:v>
                </c:pt>
                <c:pt idx="21">
                  <c:v>2008</c:v>
                </c:pt>
                <c:pt idx="22">
                  <c:v>2009</c:v>
                </c:pt>
                <c:pt idx="23">
                  <c:v>2010</c:v>
                </c:pt>
                <c:pt idx="24">
                  <c:v>2011</c:v>
                </c:pt>
                <c:pt idx="25">
                  <c:v>2012</c:v>
                </c:pt>
                <c:pt idx="26">
                  <c:v>2013</c:v>
                </c:pt>
              </c:numCache>
            </c:numRef>
          </c:cat>
          <c:val>
            <c:numRef>
              <c:f>Sheet4!$C$3:$C$29</c:f>
              <c:numCache>
                <c:formatCode>_(* #,##0.00_);_(* \(#,##0.00\);_(* "-"??_);_(@_)</c:formatCode>
                <c:ptCount val="27"/>
                <c:pt idx="0">
                  <c:v>1.61290322580645</c:v>
                </c:pt>
                <c:pt idx="1">
                  <c:v>1.4970760233918099</c:v>
                </c:pt>
                <c:pt idx="2">
                  <c:v>1.5821152192605299</c:v>
                </c:pt>
                <c:pt idx="3">
                  <c:v>1.5650296815974101</c:v>
                </c:pt>
                <c:pt idx="4">
                  <c:v>1.4737342524364201</c:v>
                </c:pt>
                <c:pt idx="5">
                  <c:v>1.4428771400883</c:v>
                </c:pt>
                <c:pt idx="6">
                  <c:v>1.10817069136619</c:v>
                </c:pt>
                <c:pt idx="7">
                  <c:v>1.0916403332375799</c:v>
                </c:pt>
                <c:pt idx="8">
                  <c:v>1.18590861527729</c:v>
                </c:pt>
                <c:pt idx="9">
                  <c:v>1.1227792087708901</c:v>
                </c:pt>
                <c:pt idx="10">
                  <c:v>1.0601147418308801</c:v>
                </c:pt>
                <c:pt idx="11">
                  <c:v>1.15853658536585</c:v>
                </c:pt>
                <c:pt idx="12">
                  <c:v>1.23649459783914</c:v>
                </c:pt>
                <c:pt idx="13">
                  <c:v>1.1702550701584999</c:v>
                </c:pt>
                <c:pt idx="14">
                  <c:v>1.1378700839593501</c:v>
                </c:pt>
                <c:pt idx="15">
                  <c:v>1.1200521966072201</c:v>
                </c:pt>
                <c:pt idx="16">
                  <c:v>1.0951621477937299</c:v>
                </c:pt>
                <c:pt idx="17">
                  <c:v>1.0669705288237401</c:v>
                </c:pt>
                <c:pt idx="18">
                  <c:v>1.0314956687196399</c:v>
                </c:pt>
                <c:pt idx="19">
                  <c:v>0.99932084990782999</c:v>
                </c:pt>
                <c:pt idx="20">
                  <c:v>0.97156062821298905</c:v>
                </c:pt>
                <c:pt idx="21">
                  <c:v>1.0624290578887601</c:v>
                </c:pt>
                <c:pt idx="22">
                  <c:v>1.1934043909993599</c:v>
                </c:pt>
                <c:pt idx="23">
                  <c:v>1.2996325177018899</c:v>
                </c:pt>
                <c:pt idx="24">
                  <c:v>1.25971938664697</c:v>
                </c:pt>
                <c:pt idx="25">
                  <c:v>1.23446279584539</c:v>
                </c:pt>
                <c:pt idx="26">
                  <c:v>1.2166470884376599</c:v>
                </c:pt>
              </c:numCache>
            </c:numRef>
          </c:val>
          <c:smooth val="0"/>
          <c:extLst>
            <c:ext xmlns:c16="http://schemas.microsoft.com/office/drawing/2014/chart" uri="{C3380CC4-5D6E-409C-BE32-E72D297353CC}">
              <c16:uniqueId val="{00000001-B8B7-4A84-8294-9AD0F6B4B957}"/>
            </c:ext>
          </c:extLst>
        </c:ser>
        <c:dLbls>
          <c:showLegendKey val="0"/>
          <c:showVal val="0"/>
          <c:showCatName val="0"/>
          <c:showSerName val="0"/>
          <c:showPercent val="0"/>
          <c:showBubbleSize val="0"/>
        </c:dLbls>
        <c:marker val="1"/>
        <c:smooth val="0"/>
        <c:axId val="490090584"/>
        <c:axId val="490092880"/>
      </c:lineChart>
      <c:catAx>
        <c:axId val="490090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crossAx val="490092880"/>
        <c:crosses val="autoZero"/>
        <c:auto val="1"/>
        <c:lblAlgn val="ctr"/>
        <c:lblOffset val="100"/>
        <c:noMultiLvlLbl val="0"/>
      </c:catAx>
      <c:valAx>
        <c:axId val="490092880"/>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crossAx val="490090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K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K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5C6CE-C3DF-4974-9223-8C644CD63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12</cp:revision>
  <dcterms:created xsi:type="dcterms:W3CDTF">2020-12-01T14:40:00Z</dcterms:created>
  <dcterms:modified xsi:type="dcterms:W3CDTF">2020-12-01T15:15:00Z</dcterms:modified>
</cp:coreProperties>
</file>