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Pr="00DD79B2" w:rsidRDefault="00DD79B2" w:rsidP="00DD79B2">
      <w:pPr>
        <w:spacing w:after="0" w:line="480" w:lineRule="auto"/>
        <w:rPr>
          <w:rFonts w:ascii="Arial" w:hAnsi="Arial" w:cs="Arial"/>
          <w:b/>
          <w:sz w:val="36"/>
          <w:szCs w:val="36"/>
        </w:rPr>
      </w:pPr>
    </w:p>
    <w:p w:rsidR="00DD79B2" w:rsidRPr="00DD79B2" w:rsidRDefault="00DD79B2" w:rsidP="00DD79B2">
      <w:pPr>
        <w:spacing w:after="0" w:line="480" w:lineRule="auto"/>
        <w:jc w:val="center"/>
        <w:rPr>
          <w:rFonts w:ascii="Arial" w:hAnsi="Arial" w:cs="Arial"/>
          <w:b/>
          <w:sz w:val="36"/>
          <w:szCs w:val="36"/>
        </w:rPr>
      </w:pPr>
      <w:r w:rsidRPr="00DD79B2">
        <w:rPr>
          <w:rFonts w:ascii="Arial" w:hAnsi="Arial" w:cs="Arial"/>
          <w:b/>
          <w:sz w:val="36"/>
          <w:szCs w:val="36"/>
        </w:rPr>
        <w:t>Assignment Title: P</w:t>
      </w:r>
      <w:r w:rsidRPr="00DD79B2">
        <w:rPr>
          <w:rFonts w:ascii="Arial" w:hAnsi="Arial" w:cs="Arial"/>
          <w:b/>
          <w:sz w:val="36"/>
          <w:szCs w:val="36"/>
        </w:rPr>
        <w:t xml:space="preserve">rofitability, </w:t>
      </w:r>
      <w:r w:rsidRPr="00DD79B2">
        <w:rPr>
          <w:rFonts w:ascii="Arial" w:hAnsi="Arial" w:cs="Arial"/>
          <w:b/>
          <w:sz w:val="36"/>
          <w:szCs w:val="36"/>
        </w:rPr>
        <w:t>L</w:t>
      </w:r>
      <w:r w:rsidRPr="00DD79B2">
        <w:rPr>
          <w:rFonts w:ascii="Arial" w:hAnsi="Arial" w:cs="Arial"/>
          <w:b/>
          <w:sz w:val="36"/>
          <w:szCs w:val="36"/>
        </w:rPr>
        <w:t>iquidity,</w:t>
      </w:r>
      <w:r w:rsidRPr="00DD79B2">
        <w:rPr>
          <w:rFonts w:ascii="Arial" w:hAnsi="Arial" w:cs="Arial"/>
          <w:b/>
          <w:sz w:val="36"/>
          <w:szCs w:val="36"/>
        </w:rPr>
        <w:t xml:space="preserve"> S</w:t>
      </w:r>
      <w:r w:rsidRPr="00DD79B2">
        <w:rPr>
          <w:rFonts w:ascii="Arial" w:hAnsi="Arial" w:cs="Arial"/>
          <w:b/>
          <w:sz w:val="36"/>
          <w:szCs w:val="36"/>
        </w:rPr>
        <w:t xml:space="preserve">olvency, and </w:t>
      </w:r>
      <w:r w:rsidRPr="00DD79B2">
        <w:rPr>
          <w:rFonts w:ascii="Arial" w:hAnsi="Arial" w:cs="Arial"/>
          <w:b/>
          <w:sz w:val="36"/>
          <w:szCs w:val="36"/>
        </w:rPr>
        <w:t>Market P</w:t>
      </w:r>
      <w:r w:rsidRPr="00DD79B2">
        <w:rPr>
          <w:rFonts w:ascii="Arial" w:hAnsi="Arial" w:cs="Arial"/>
          <w:b/>
          <w:sz w:val="36"/>
          <w:szCs w:val="36"/>
        </w:rPr>
        <w:t>erformance</w:t>
      </w:r>
      <w:r w:rsidRPr="00DD79B2">
        <w:rPr>
          <w:rFonts w:ascii="Arial" w:hAnsi="Arial" w:cs="Arial"/>
          <w:b/>
          <w:sz w:val="36"/>
          <w:szCs w:val="36"/>
        </w:rPr>
        <w:t xml:space="preserve"> </w:t>
      </w:r>
      <w:r w:rsidR="00023850">
        <w:rPr>
          <w:rFonts w:ascii="Arial" w:hAnsi="Arial" w:cs="Arial"/>
          <w:b/>
          <w:sz w:val="36"/>
          <w:szCs w:val="36"/>
        </w:rPr>
        <w:t xml:space="preserve">Analysis </w:t>
      </w:r>
      <w:r w:rsidRPr="00DD79B2">
        <w:rPr>
          <w:rFonts w:ascii="Arial" w:hAnsi="Arial" w:cs="Arial"/>
          <w:b/>
          <w:sz w:val="36"/>
          <w:szCs w:val="36"/>
        </w:rPr>
        <w:t>of Home Depot</w:t>
      </w: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DD79B2" w:rsidRDefault="00DD79B2" w:rsidP="00DD79B2">
      <w:pPr>
        <w:spacing w:after="0" w:line="480" w:lineRule="auto"/>
        <w:jc w:val="center"/>
        <w:rPr>
          <w:b/>
        </w:rPr>
      </w:pPr>
    </w:p>
    <w:p w:rsidR="00A87B1E" w:rsidRPr="00023850" w:rsidRDefault="00A87B1E" w:rsidP="00DD79B2">
      <w:pPr>
        <w:spacing w:after="0" w:line="480" w:lineRule="auto"/>
        <w:jc w:val="center"/>
        <w:rPr>
          <w:rFonts w:ascii="Arial" w:hAnsi="Arial" w:cs="Arial"/>
          <w:b/>
          <w:u w:val="single"/>
        </w:rPr>
      </w:pPr>
      <w:r w:rsidRPr="00023850">
        <w:rPr>
          <w:rFonts w:ascii="Arial" w:hAnsi="Arial" w:cs="Arial"/>
          <w:b/>
          <w:u w:val="single"/>
        </w:rPr>
        <w:lastRenderedPageBreak/>
        <w:t>Introduction</w:t>
      </w:r>
    </w:p>
    <w:p w:rsidR="00C425C0" w:rsidRPr="00DD79B2" w:rsidRDefault="00DD79B2" w:rsidP="00DD79B2">
      <w:pPr>
        <w:spacing w:after="0" w:line="480" w:lineRule="auto"/>
        <w:rPr>
          <w:rFonts w:ascii="Arial" w:hAnsi="Arial" w:cs="Arial"/>
        </w:rPr>
      </w:pPr>
      <w:r w:rsidRPr="00DD79B2">
        <w:rPr>
          <w:rFonts w:ascii="Arial" w:hAnsi="Arial" w:cs="Arial"/>
        </w:rPr>
        <w:t xml:space="preserve">              </w:t>
      </w:r>
      <w:r w:rsidR="004067B3" w:rsidRPr="00DD79B2">
        <w:rPr>
          <w:rFonts w:ascii="Arial" w:hAnsi="Arial" w:cs="Arial"/>
        </w:rPr>
        <w:t xml:space="preserve">Based on the </w:t>
      </w:r>
      <w:r w:rsidR="00D325AE" w:rsidRPr="00DD79B2">
        <w:rPr>
          <w:rFonts w:ascii="Arial" w:hAnsi="Arial" w:cs="Arial"/>
        </w:rPr>
        <w:t>financial</w:t>
      </w:r>
      <w:r w:rsidR="004067B3" w:rsidRPr="00DD79B2">
        <w:rPr>
          <w:rFonts w:ascii="Arial" w:hAnsi="Arial" w:cs="Arial"/>
        </w:rPr>
        <w:t xml:space="preserve"> performance and </w:t>
      </w:r>
      <w:r w:rsidR="00D325AE" w:rsidRPr="00DD79B2">
        <w:rPr>
          <w:rFonts w:ascii="Arial" w:hAnsi="Arial" w:cs="Arial"/>
        </w:rPr>
        <w:t>position</w:t>
      </w:r>
      <w:r w:rsidR="004067B3" w:rsidRPr="00DD79B2">
        <w:rPr>
          <w:rFonts w:ascii="Arial" w:hAnsi="Arial" w:cs="Arial"/>
        </w:rPr>
        <w:t xml:space="preserve"> several decisions including stock investment, credit granting etc. can be undertaken</w:t>
      </w:r>
      <w:r w:rsidR="009F1040" w:rsidRPr="00DD79B2">
        <w:rPr>
          <w:rFonts w:ascii="Arial" w:hAnsi="Arial" w:cs="Arial"/>
        </w:rPr>
        <w:t xml:space="preserve"> </w:t>
      </w:r>
      <w:sdt>
        <w:sdtPr>
          <w:rPr>
            <w:rFonts w:ascii="Arial" w:hAnsi="Arial" w:cs="Arial"/>
          </w:rPr>
          <w:id w:val="-1802676932"/>
          <w:citation/>
        </w:sdtPr>
        <w:sdtContent>
          <w:r w:rsidR="009F1040" w:rsidRPr="00DD79B2">
            <w:rPr>
              <w:rFonts w:ascii="Arial" w:hAnsi="Arial" w:cs="Arial"/>
            </w:rPr>
            <w:fldChar w:fldCharType="begin"/>
          </w:r>
          <w:r w:rsidR="009F1040" w:rsidRPr="00DD79B2">
            <w:rPr>
              <w:rFonts w:ascii="Arial" w:hAnsi="Arial" w:cs="Arial"/>
            </w:rPr>
            <w:instrText xml:space="preserve"> CITATION Pra14 \l 1033 </w:instrText>
          </w:r>
          <w:r w:rsidR="009F1040" w:rsidRPr="00DD79B2">
            <w:rPr>
              <w:rFonts w:ascii="Arial" w:hAnsi="Arial" w:cs="Arial"/>
            </w:rPr>
            <w:fldChar w:fldCharType="separate"/>
          </w:r>
          <w:r w:rsidR="009F1040" w:rsidRPr="00DD79B2">
            <w:rPr>
              <w:rFonts w:ascii="Arial" w:hAnsi="Arial" w:cs="Arial"/>
              <w:noProof/>
            </w:rPr>
            <w:t>(Chandra, 2014)</w:t>
          </w:r>
          <w:r w:rsidR="009F1040" w:rsidRPr="00DD79B2">
            <w:rPr>
              <w:rFonts w:ascii="Arial" w:hAnsi="Arial" w:cs="Arial"/>
            </w:rPr>
            <w:fldChar w:fldCharType="end"/>
          </w:r>
        </w:sdtContent>
      </w:sdt>
      <w:r w:rsidR="004067B3" w:rsidRPr="00DD79B2">
        <w:rPr>
          <w:rFonts w:ascii="Arial" w:hAnsi="Arial" w:cs="Arial"/>
        </w:rPr>
        <w:t xml:space="preserve">. </w:t>
      </w:r>
      <w:r w:rsidR="00D325AE" w:rsidRPr="00DD79B2">
        <w:rPr>
          <w:rFonts w:ascii="Arial" w:hAnsi="Arial" w:cs="Arial"/>
        </w:rPr>
        <w:t>The</w:t>
      </w:r>
      <w:r w:rsidR="004067B3" w:rsidRPr="00DD79B2">
        <w:rPr>
          <w:rFonts w:ascii="Arial" w:hAnsi="Arial" w:cs="Arial"/>
        </w:rPr>
        <w:t xml:space="preserve"> financial performance and </w:t>
      </w:r>
      <w:r w:rsidR="00D325AE" w:rsidRPr="00DD79B2">
        <w:rPr>
          <w:rFonts w:ascii="Arial" w:hAnsi="Arial" w:cs="Arial"/>
        </w:rPr>
        <w:t>position</w:t>
      </w:r>
      <w:r w:rsidR="004067B3" w:rsidRPr="00DD79B2">
        <w:rPr>
          <w:rFonts w:ascii="Arial" w:hAnsi="Arial" w:cs="Arial"/>
        </w:rPr>
        <w:t xml:space="preserve"> of a </w:t>
      </w:r>
      <w:r w:rsidR="00D325AE" w:rsidRPr="00DD79B2">
        <w:rPr>
          <w:rFonts w:ascii="Arial" w:hAnsi="Arial" w:cs="Arial"/>
        </w:rPr>
        <w:t>company</w:t>
      </w:r>
      <w:r w:rsidR="004067B3" w:rsidRPr="00DD79B2">
        <w:rPr>
          <w:rFonts w:ascii="Arial" w:hAnsi="Arial" w:cs="Arial"/>
        </w:rPr>
        <w:t xml:space="preserve"> can be assessed and </w:t>
      </w:r>
      <w:r w:rsidR="00D325AE" w:rsidRPr="00DD79B2">
        <w:rPr>
          <w:rFonts w:ascii="Arial" w:hAnsi="Arial" w:cs="Arial"/>
        </w:rPr>
        <w:t>evaluated</w:t>
      </w:r>
      <w:r w:rsidR="004067B3" w:rsidRPr="00DD79B2">
        <w:rPr>
          <w:rFonts w:ascii="Arial" w:hAnsi="Arial" w:cs="Arial"/>
        </w:rPr>
        <w:t xml:space="preserve"> </w:t>
      </w:r>
      <w:r w:rsidR="00D325AE" w:rsidRPr="00DD79B2">
        <w:rPr>
          <w:rFonts w:ascii="Arial" w:hAnsi="Arial" w:cs="Arial"/>
        </w:rPr>
        <w:t>based</w:t>
      </w:r>
      <w:r w:rsidR="004067B3" w:rsidRPr="00DD79B2">
        <w:rPr>
          <w:rFonts w:ascii="Arial" w:hAnsi="Arial" w:cs="Arial"/>
        </w:rPr>
        <w:t xml:space="preserve"> </w:t>
      </w:r>
      <w:r w:rsidR="00D325AE" w:rsidRPr="00DD79B2">
        <w:rPr>
          <w:rFonts w:ascii="Arial" w:hAnsi="Arial" w:cs="Arial"/>
        </w:rPr>
        <w:t>on t</w:t>
      </w:r>
      <w:r w:rsidR="004067B3" w:rsidRPr="00DD79B2">
        <w:rPr>
          <w:rFonts w:ascii="Arial" w:hAnsi="Arial" w:cs="Arial"/>
        </w:rPr>
        <w:t>h</w:t>
      </w:r>
      <w:r w:rsidR="00D325AE" w:rsidRPr="00DD79B2">
        <w:rPr>
          <w:rFonts w:ascii="Arial" w:hAnsi="Arial" w:cs="Arial"/>
        </w:rPr>
        <w:t>e</w:t>
      </w:r>
      <w:r w:rsidR="004067B3" w:rsidRPr="00DD79B2">
        <w:rPr>
          <w:rFonts w:ascii="Arial" w:hAnsi="Arial" w:cs="Arial"/>
        </w:rPr>
        <w:t xml:space="preserve"> profitability, liquidity, solvency, and market performance of it</w:t>
      </w:r>
      <w:r w:rsidR="009F1040" w:rsidRPr="00DD79B2">
        <w:rPr>
          <w:rFonts w:ascii="Arial" w:hAnsi="Arial" w:cs="Arial"/>
        </w:rPr>
        <w:t xml:space="preserve"> </w:t>
      </w:r>
      <w:sdt>
        <w:sdtPr>
          <w:rPr>
            <w:rFonts w:ascii="Arial" w:hAnsi="Arial" w:cs="Arial"/>
          </w:rPr>
          <w:id w:val="774828242"/>
          <w:citation/>
        </w:sdtPr>
        <w:sdtContent>
          <w:r w:rsidR="009F1040" w:rsidRPr="00DD79B2">
            <w:rPr>
              <w:rFonts w:ascii="Arial" w:hAnsi="Arial" w:cs="Arial"/>
            </w:rPr>
            <w:fldChar w:fldCharType="begin"/>
          </w:r>
          <w:r w:rsidR="009F1040" w:rsidRPr="00DD79B2">
            <w:rPr>
              <w:rFonts w:ascii="Arial" w:hAnsi="Arial" w:cs="Arial"/>
            </w:rPr>
            <w:instrText xml:space="preserve"> CITATION MyA14 \l 1033 </w:instrText>
          </w:r>
          <w:r w:rsidR="009F1040" w:rsidRPr="00DD79B2">
            <w:rPr>
              <w:rFonts w:ascii="Arial" w:hAnsi="Arial" w:cs="Arial"/>
            </w:rPr>
            <w:fldChar w:fldCharType="separate"/>
          </w:r>
          <w:r w:rsidR="009F1040" w:rsidRPr="00DD79B2">
            <w:rPr>
              <w:rFonts w:ascii="Arial" w:hAnsi="Arial" w:cs="Arial"/>
              <w:noProof/>
            </w:rPr>
            <w:t>(My Accounting Course, 2014)</w:t>
          </w:r>
          <w:r w:rsidR="009F1040" w:rsidRPr="00DD79B2">
            <w:rPr>
              <w:rFonts w:ascii="Arial" w:hAnsi="Arial" w:cs="Arial"/>
            </w:rPr>
            <w:fldChar w:fldCharType="end"/>
          </w:r>
        </w:sdtContent>
      </w:sdt>
      <w:r w:rsidR="009F1040" w:rsidRPr="00DD79B2">
        <w:rPr>
          <w:rFonts w:ascii="Arial" w:hAnsi="Arial" w:cs="Arial"/>
        </w:rPr>
        <w:t>.</w:t>
      </w:r>
      <w:r w:rsidR="004067B3" w:rsidRPr="00DD79B2">
        <w:rPr>
          <w:rFonts w:ascii="Arial" w:hAnsi="Arial" w:cs="Arial"/>
        </w:rPr>
        <w:t xml:space="preserve"> Ratio analysis is an </w:t>
      </w:r>
      <w:r w:rsidR="00D325AE" w:rsidRPr="00DD79B2">
        <w:rPr>
          <w:rFonts w:ascii="Arial" w:hAnsi="Arial" w:cs="Arial"/>
        </w:rPr>
        <w:t>important</w:t>
      </w:r>
      <w:r w:rsidR="004067B3" w:rsidRPr="00DD79B2">
        <w:rPr>
          <w:rFonts w:ascii="Arial" w:hAnsi="Arial" w:cs="Arial"/>
        </w:rPr>
        <w:t xml:space="preserve"> and well recognized analytical framework to assess and evaluate the </w:t>
      </w:r>
      <w:r w:rsidR="004067B3" w:rsidRPr="00DD79B2">
        <w:rPr>
          <w:rFonts w:ascii="Arial" w:hAnsi="Arial" w:cs="Arial"/>
        </w:rPr>
        <w:t>profitability, liquidity, solvency, and market performance of</w:t>
      </w:r>
      <w:r w:rsidR="004067B3" w:rsidRPr="00DD79B2">
        <w:rPr>
          <w:rFonts w:ascii="Arial" w:hAnsi="Arial" w:cs="Arial"/>
        </w:rPr>
        <w:t xml:space="preserve"> a </w:t>
      </w:r>
      <w:r w:rsidR="009F1040" w:rsidRPr="00DD79B2">
        <w:rPr>
          <w:rFonts w:ascii="Arial" w:hAnsi="Arial" w:cs="Arial"/>
        </w:rPr>
        <w:t xml:space="preserve">company </w:t>
      </w:r>
      <w:sdt>
        <w:sdtPr>
          <w:rPr>
            <w:rFonts w:ascii="Arial" w:hAnsi="Arial" w:cs="Arial"/>
          </w:rPr>
          <w:id w:val="-68727742"/>
          <w:citation/>
        </w:sdtPr>
        <w:sdtContent>
          <w:r w:rsidR="009F1040" w:rsidRPr="00DD79B2">
            <w:rPr>
              <w:rFonts w:ascii="Arial" w:hAnsi="Arial" w:cs="Arial"/>
            </w:rPr>
            <w:fldChar w:fldCharType="begin"/>
          </w:r>
          <w:r w:rsidR="009F1040" w:rsidRPr="00DD79B2">
            <w:rPr>
              <w:rFonts w:ascii="Arial" w:hAnsi="Arial" w:cs="Arial"/>
            </w:rPr>
            <w:instrText xml:space="preserve"> CITATION Kim05 \l 1033 </w:instrText>
          </w:r>
          <w:r w:rsidR="009F1040" w:rsidRPr="00DD79B2">
            <w:rPr>
              <w:rFonts w:ascii="Arial" w:hAnsi="Arial" w:cs="Arial"/>
            </w:rPr>
            <w:fldChar w:fldCharType="separate"/>
          </w:r>
          <w:r w:rsidR="009F1040" w:rsidRPr="00DD79B2">
            <w:rPr>
              <w:rFonts w:ascii="Arial" w:hAnsi="Arial" w:cs="Arial"/>
              <w:noProof/>
            </w:rPr>
            <w:t>(Langfield-Smith &amp; Thorne, 2012)</w:t>
          </w:r>
          <w:r w:rsidR="009F1040" w:rsidRPr="00DD79B2">
            <w:rPr>
              <w:rFonts w:ascii="Arial" w:hAnsi="Arial" w:cs="Arial"/>
            </w:rPr>
            <w:fldChar w:fldCharType="end"/>
          </w:r>
        </w:sdtContent>
      </w:sdt>
      <w:r w:rsidR="004067B3" w:rsidRPr="00DD79B2">
        <w:rPr>
          <w:rFonts w:ascii="Arial" w:hAnsi="Arial" w:cs="Arial"/>
        </w:rPr>
        <w:t xml:space="preserve">. </w:t>
      </w:r>
      <w:r w:rsidR="00D325AE" w:rsidRPr="00DD79B2">
        <w:rPr>
          <w:rFonts w:ascii="Arial" w:hAnsi="Arial" w:cs="Arial"/>
        </w:rPr>
        <w:t>In t</w:t>
      </w:r>
      <w:r w:rsidR="00DA6A56" w:rsidRPr="00DD79B2">
        <w:rPr>
          <w:rFonts w:ascii="Arial" w:hAnsi="Arial" w:cs="Arial"/>
        </w:rPr>
        <w:t>h</w:t>
      </w:r>
      <w:r w:rsidR="00D325AE" w:rsidRPr="00DD79B2">
        <w:rPr>
          <w:rFonts w:ascii="Arial" w:hAnsi="Arial" w:cs="Arial"/>
        </w:rPr>
        <w:t>e</w:t>
      </w:r>
      <w:r w:rsidR="00DA6A56" w:rsidRPr="00DD79B2">
        <w:rPr>
          <w:rFonts w:ascii="Arial" w:hAnsi="Arial" w:cs="Arial"/>
        </w:rPr>
        <w:t xml:space="preserve"> ratio analysis, accounting figures are normalized and the plausible relationship among the figures evaluated to understand the relationship </w:t>
      </w:r>
      <w:sdt>
        <w:sdtPr>
          <w:rPr>
            <w:rFonts w:ascii="Arial" w:hAnsi="Arial" w:cs="Arial"/>
          </w:rPr>
          <w:id w:val="821153750"/>
          <w:citation/>
        </w:sdtPr>
        <w:sdtContent>
          <w:r w:rsidR="00DA6A56" w:rsidRPr="00DD79B2">
            <w:rPr>
              <w:rFonts w:ascii="Arial" w:hAnsi="Arial" w:cs="Arial"/>
            </w:rPr>
            <w:fldChar w:fldCharType="begin"/>
          </w:r>
          <w:r w:rsidR="00DA6A56" w:rsidRPr="00DD79B2">
            <w:rPr>
              <w:rFonts w:ascii="Arial" w:hAnsi="Arial" w:cs="Arial"/>
            </w:rPr>
            <w:instrText xml:space="preserve"> CITATION MyA14 \l 1033 </w:instrText>
          </w:r>
          <w:r w:rsidR="00DA6A56" w:rsidRPr="00DD79B2">
            <w:rPr>
              <w:rFonts w:ascii="Arial" w:hAnsi="Arial" w:cs="Arial"/>
            </w:rPr>
            <w:fldChar w:fldCharType="separate"/>
          </w:r>
          <w:r w:rsidR="00DA6A56" w:rsidRPr="00DD79B2">
            <w:rPr>
              <w:rFonts w:ascii="Arial" w:hAnsi="Arial" w:cs="Arial"/>
              <w:noProof/>
            </w:rPr>
            <w:t>(My Accounting Course, 2014)</w:t>
          </w:r>
          <w:r w:rsidR="00DA6A56" w:rsidRPr="00DD79B2">
            <w:rPr>
              <w:rFonts w:ascii="Arial" w:hAnsi="Arial" w:cs="Arial"/>
            </w:rPr>
            <w:fldChar w:fldCharType="end"/>
          </w:r>
        </w:sdtContent>
      </w:sdt>
      <w:r w:rsidR="00DA6A56" w:rsidRPr="00DD79B2">
        <w:rPr>
          <w:rFonts w:ascii="Arial" w:hAnsi="Arial" w:cs="Arial"/>
        </w:rPr>
        <w:t xml:space="preserve">. </w:t>
      </w:r>
    </w:p>
    <w:p w:rsidR="004067B3" w:rsidRPr="00DD79B2" w:rsidRDefault="00DD79B2" w:rsidP="00DD79B2">
      <w:pPr>
        <w:spacing w:after="0" w:line="480" w:lineRule="auto"/>
        <w:rPr>
          <w:rFonts w:ascii="Arial" w:hAnsi="Arial" w:cs="Arial"/>
        </w:rPr>
      </w:pPr>
      <w:r w:rsidRPr="00DD79B2">
        <w:rPr>
          <w:rFonts w:ascii="Arial" w:hAnsi="Arial" w:cs="Arial"/>
        </w:rPr>
        <w:t xml:space="preserve">           </w:t>
      </w:r>
      <w:r w:rsidR="004067B3" w:rsidRPr="00DD79B2">
        <w:rPr>
          <w:rFonts w:ascii="Arial" w:hAnsi="Arial" w:cs="Arial"/>
        </w:rPr>
        <w:t xml:space="preserve">This </w:t>
      </w:r>
      <w:r w:rsidR="00D325AE" w:rsidRPr="00DD79B2">
        <w:rPr>
          <w:rFonts w:ascii="Arial" w:hAnsi="Arial" w:cs="Arial"/>
        </w:rPr>
        <w:t>paper</w:t>
      </w:r>
      <w:r w:rsidR="004067B3" w:rsidRPr="00DD79B2">
        <w:rPr>
          <w:rFonts w:ascii="Arial" w:hAnsi="Arial" w:cs="Arial"/>
        </w:rPr>
        <w:t xml:space="preserve"> aims at assessing and evaluating the </w:t>
      </w:r>
      <w:r w:rsidR="004067B3" w:rsidRPr="00DD79B2">
        <w:rPr>
          <w:rFonts w:ascii="Arial" w:hAnsi="Arial" w:cs="Arial"/>
        </w:rPr>
        <w:t>profitability, liquidity, solvency, and market performance</w:t>
      </w:r>
      <w:r w:rsidR="004067B3" w:rsidRPr="00DD79B2">
        <w:rPr>
          <w:rFonts w:ascii="Arial" w:hAnsi="Arial" w:cs="Arial"/>
        </w:rPr>
        <w:t xml:space="preserve"> to </w:t>
      </w:r>
      <w:r w:rsidR="00D325AE" w:rsidRPr="00DD79B2">
        <w:rPr>
          <w:rFonts w:ascii="Arial" w:hAnsi="Arial" w:cs="Arial"/>
        </w:rPr>
        <w:t>understand</w:t>
      </w:r>
      <w:r w:rsidR="004067B3" w:rsidRPr="00DD79B2">
        <w:rPr>
          <w:rFonts w:ascii="Arial" w:hAnsi="Arial" w:cs="Arial"/>
        </w:rPr>
        <w:t xml:space="preserve"> the </w:t>
      </w:r>
      <w:r w:rsidR="00D325AE" w:rsidRPr="00DD79B2">
        <w:rPr>
          <w:rFonts w:ascii="Arial" w:hAnsi="Arial" w:cs="Arial"/>
        </w:rPr>
        <w:t>financial</w:t>
      </w:r>
      <w:r w:rsidR="004067B3" w:rsidRPr="00DD79B2">
        <w:rPr>
          <w:rFonts w:ascii="Arial" w:hAnsi="Arial" w:cs="Arial"/>
        </w:rPr>
        <w:t xml:space="preserve"> performance </w:t>
      </w:r>
      <w:r w:rsidR="00B57F3D" w:rsidRPr="00DD79B2">
        <w:rPr>
          <w:rFonts w:ascii="Arial" w:hAnsi="Arial" w:cs="Arial"/>
        </w:rPr>
        <w:t>and</w:t>
      </w:r>
      <w:r w:rsidR="00D325AE" w:rsidRPr="00DD79B2">
        <w:rPr>
          <w:rFonts w:ascii="Arial" w:hAnsi="Arial" w:cs="Arial"/>
        </w:rPr>
        <w:t xml:space="preserve"> p</w:t>
      </w:r>
      <w:r w:rsidR="004067B3" w:rsidRPr="00DD79B2">
        <w:rPr>
          <w:rFonts w:ascii="Arial" w:hAnsi="Arial" w:cs="Arial"/>
        </w:rPr>
        <w:t>o</w:t>
      </w:r>
      <w:r w:rsidR="00D325AE" w:rsidRPr="00DD79B2">
        <w:rPr>
          <w:rFonts w:ascii="Arial" w:hAnsi="Arial" w:cs="Arial"/>
        </w:rPr>
        <w:t>si</w:t>
      </w:r>
      <w:r w:rsidR="004067B3" w:rsidRPr="00DD79B2">
        <w:rPr>
          <w:rFonts w:ascii="Arial" w:hAnsi="Arial" w:cs="Arial"/>
        </w:rPr>
        <w:t>ti</w:t>
      </w:r>
      <w:r w:rsidR="00D325AE" w:rsidRPr="00DD79B2">
        <w:rPr>
          <w:rFonts w:ascii="Arial" w:hAnsi="Arial" w:cs="Arial"/>
        </w:rPr>
        <w:t>on</w:t>
      </w:r>
      <w:r w:rsidR="004067B3" w:rsidRPr="00DD79B2">
        <w:rPr>
          <w:rFonts w:ascii="Arial" w:hAnsi="Arial" w:cs="Arial"/>
        </w:rPr>
        <w:t xml:space="preserve"> of Home Depot </w:t>
      </w:r>
      <w:r w:rsidR="00D325AE" w:rsidRPr="00DD79B2">
        <w:rPr>
          <w:rFonts w:ascii="Arial" w:hAnsi="Arial" w:cs="Arial"/>
        </w:rPr>
        <w:t>Corporation</w:t>
      </w:r>
      <w:r w:rsidR="00223A79" w:rsidRPr="00DD79B2">
        <w:rPr>
          <w:rFonts w:ascii="Arial" w:hAnsi="Arial" w:cs="Arial"/>
        </w:rPr>
        <w:t xml:space="preserve">. </w:t>
      </w:r>
      <w:r w:rsidR="00223A79" w:rsidRPr="00DD79B2">
        <w:rPr>
          <w:rFonts w:ascii="Arial" w:hAnsi="Arial" w:cs="Arial"/>
        </w:rPr>
        <w:t>Home Depot Corporation</w:t>
      </w:r>
      <w:r w:rsidR="004067B3" w:rsidRPr="00DD79B2">
        <w:rPr>
          <w:rFonts w:ascii="Arial" w:hAnsi="Arial" w:cs="Arial"/>
        </w:rPr>
        <w:t xml:space="preserve"> was founded in 1978</w:t>
      </w:r>
      <w:r w:rsidR="00B57F3D" w:rsidRPr="00DD79B2">
        <w:rPr>
          <w:rFonts w:ascii="Arial" w:hAnsi="Arial" w:cs="Arial"/>
        </w:rPr>
        <w:t xml:space="preserve"> by </w:t>
      </w:r>
      <w:r w:rsidR="004067B3" w:rsidRPr="00DD79B2">
        <w:rPr>
          <w:rFonts w:ascii="Arial" w:hAnsi="Arial" w:cs="Arial"/>
        </w:rPr>
        <w:t xml:space="preserve">Bernard Marcus, Arthur Blank, and Pat Farrah </w:t>
      </w:r>
      <w:sdt>
        <w:sdtPr>
          <w:rPr>
            <w:rFonts w:ascii="Arial" w:hAnsi="Arial" w:cs="Arial"/>
          </w:rPr>
          <w:id w:val="2007172351"/>
          <w:citation/>
        </w:sdtPr>
        <w:sdtContent>
          <w:r w:rsidR="004067B3" w:rsidRPr="00DD79B2">
            <w:rPr>
              <w:rFonts w:ascii="Arial" w:hAnsi="Arial" w:cs="Arial"/>
            </w:rPr>
            <w:fldChar w:fldCharType="begin"/>
          </w:r>
          <w:r w:rsidR="004067B3" w:rsidRPr="00DD79B2">
            <w:rPr>
              <w:rFonts w:ascii="Arial" w:hAnsi="Arial" w:cs="Arial"/>
            </w:rPr>
            <w:instrText xml:space="preserve"> CITATION Hom162 \l 1033 </w:instrText>
          </w:r>
          <w:r w:rsidR="004067B3" w:rsidRPr="00DD79B2">
            <w:rPr>
              <w:rFonts w:ascii="Arial" w:hAnsi="Arial" w:cs="Arial"/>
            </w:rPr>
            <w:fldChar w:fldCharType="separate"/>
          </w:r>
          <w:r w:rsidR="004067B3" w:rsidRPr="00DD79B2">
            <w:rPr>
              <w:rFonts w:ascii="Arial" w:hAnsi="Arial" w:cs="Arial"/>
              <w:noProof/>
            </w:rPr>
            <w:t>(Home Depot, 2016)</w:t>
          </w:r>
          <w:r w:rsidR="004067B3" w:rsidRPr="00DD79B2">
            <w:rPr>
              <w:rFonts w:ascii="Arial" w:hAnsi="Arial" w:cs="Arial"/>
            </w:rPr>
            <w:fldChar w:fldCharType="end"/>
          </w:r>
        </w:sdtContent>
      </w:sdt>
      <w:r w:rsidR="004067B3" w:rsidRPr="00DD79B2">
        <w:rPr>
          <w:rFonts w:ascii="Arial" w:hAnsi="Arial" w:cs="Arial"/>
        </w:rPr>
        <w:t xml:space="preserve">. </w:t>
      </w:r>
      <w:r w:rsidR="004067B3" w:rsidRPr="00DD79B2">
        <w:rPr>
          <w:rFonts w:ascii="Arial" w:hAnsi="Arial" w:cs="Arial"/>
        </w:rPr>
        <w:t xml:space="preserve">The Home Depot is a </w:t>
      </w:r>
      <w:r w:rsidR="004067B3" w:rsidRPr="00DD79B2">
        <w:rPr>
          <w:rFonts w:ascii="Arial" w:hAnsi="Arial" w:cs="Arial"/>
        </w:rPr>
        <w:t xml:space="preserve">USA based </w:t>
      </w:r>
      <w:r w:rsidR="004067B3" w:rsidRPr="00DD79B2">
        <w:rPr>
          <w:rFonts w:ascii="Arial" w:hAnsi="Arial" w:cs="Arial"/>
        </w:rPr>
        <w:t>home improvement supplies superstore</w:t>
      </w:r>
      <w:r w:rsidR="004067B3" w:rsidRPr="00DD79B2">
        <w:rPr>
          <w:rFonts w:ascii="Arial" w:hAnsi="Arial" w:cs="Arial"/>
        </w:rPr>
        <w:t xml:space="preserve">. </w:t>
      </w:r>
      <w:r w:rsidR="004067B3" w:rsidRPr="00DD79B2">
        <w:rPr>
          <w:rFonts w:ascii="Arial" w:hAnsi="Arial" w:cs="Arial"/>
        </w:rPr>
        <w:t xml:space="preserve"> </w:t>
      </w:r>
      <w:r w:rsidR="00B57F3D" w:rsidRPr="00DD79B2">
        <w:rPr>
          <w:rFonts w:ascii="Arial" w:hAnsi="Arial" w:cs="Arial"/>
        </w:rPr>
        <w:t xml:space="preserve">The </w:t>
      </w:r>
      <w:r w:rsidR="00D325AE" w:rsidRPr="00DD79B2">
        <w:rPr>
          <w:rFonts w:ascii="Arial" w:hAnsi="Arial" w:cs="Arial"/>
        </w:rPr>
        <w:t>company</w:t>
      </w:r>
      <w:r w:rsidR="00B57F3D" w:rsidRPr="00DD79B2">
        <w:rPr>
          <w:rFonts w:ascii="Arial" w:hAnsi="Arial" w:cs="Arial"/>
        </w:rPr>
        <w:t xml:space="preserve"> offers home appliances, tools, lumber, hardware, paint, building materials, plumbing, garden supplies,</w:t>
      </w:r>
      <w:r w:rsidR="004067B3" w:rsidRPr="00DD79B2">
        <w:rPr>
          <w:rFonts w:ascii="Arial" w:hAnsi="Arial" w:cs="Arial"/>
        </w:rPr>
        <w:t xml:space="preserve"> and</w:t>
      </w:r>
      <w:r w:rsidR="00B57F3D" w:rsidRPr="00DD79B2">
        <w:rPr>
          <w:rFonts w:ascii="Arial" w:hAnsi="Arial" w:cs="Arial"/>
        </w:rPr>
        <w:t xml:space="preserve"> building</w:t>
      </w:r>
      <w:r w:rsidR="004067B3" w:rsidRPr="00DD79B2">
        <w:rPr>
          <w:rFonts w:ascii="Arial" w:hAnsi="Arial" w:cs="Arial"/>
        </w:rPr>
        <w:t xml:space="preserve"> services</w:t>
      </w:r>
      <w:r w:rsidR="00761022" w:rsidRPr="00DD79B2">
        <w:rPr>
          <w:rFonts w:ascii="Arial" w:hAnsi="Arial" w:cs="Arial"/>
        </w:rPr>
        <w:t xml:space="preserve"> </w:t>
      </w:r>
      <w:sdt>
        <w:sdtPr>
          <w:rPr>
            <w:rFonts w:ascii="Arial" w:hAnsi="Arial" w:cs="Arial"/>
          </w:rPr>
          <w:id w:val="1347907916"/>
          <w:citation/>
        </w:sdtPr>
        <w:sdtContent>
          <w:r w:rsidR="00761022" w:rsidRPr="00DD79B2">
            <w:rPr>
              <w:rFonts w:ascii="Arial" w:hAnsi="Arial" w:cs="Arial"/>
            </w:rPr>
            <w:fldChar w:fldCharType="begin"/>
          </w:r>
          <w:r w:rsidR="00761022" w:rsidRPr="00DD79B2">
            <w:rPr>
              <w:rFonts w:ascii="Arial" w:hAnsi="Arial" w:cs="Arial"/>
            </w:rPr>
            <w:instrText xml:space="preserve"> CITATION Blo163 \l 1033 </w:instrText>
          </w:r>
          <w:r w:rsidR="00761022" w:rsidRPr="00DD79B2">
            <w:rPr>
              <w:rFonts w:ascii="Arial" w:hAnsi="Arial" w:cs="Arial"/>
            </w:rPr>
            <w:fldChar w:fldCharType="separate"/>
          </w:r>
          <w:r w:rsidR="00761022" w:rsidRPr="00DD79B2">
            <w:rPr>
              <w:rFonts w:ascii="Arial" w:hAnsi="Arial" w:cs="Arial"/>
              <w:noProof/>
            </w:rPr>
            <w:t>(Bloomberg, 2016)</w:t>
          </w:r>
          <w:r w:rsidR="00761022" w:rsidRPr="00DD79B2">
            <w:rPr>
              <w:rFonts w:ascii="Arial" w:hAnsi="Arial" w:cs="Arial"/>
            </w:rPr>
            <w:fldChar w:fldCharType="end"/>
          </w:r>
        </w:sdtContent>
      </w:sdt>
      <w:r w:rsidR="004067B3" w:rsidRPr="00DD79B2">
        <w:rPr>
          <w:rFonts w:ascii="Arial" w:hAnsi="Arial" w:cs="Arial"/>
        </w:rPr>
        <w:t xml:space="preserve">. </w:t>
      </w:r>
      <w:r w:rsidR="00DB0ECE" w:rsidRPr="00DD79B2">
        <w:rPr>
          <w:rFonts w:ascii="Arial" w:hAnsi="Arial" w:cs="Arial"/>
        </w:rPr>
        <w:t>Currently, the company is operating with 371000 employees in 2274 locations of USA, Canada, and Mexico</w:t>
      </w:r>
      <w:r w:rsidR="00761022" w:rsidRPr="00DD79B2">
        <w:rPr>
          <w:rFonts w:ascii="Arial" w:hAnsi="Arial" w:cs="Arial"/>
        </w:rPr>
        <w:t xml:space="preserve"> </w:t>
      </w:r>
      <w:sdt>
        <w:sdtPr>
          <w:rPr>
            <w:rFonts w:ascii="Arial" w:hAnsi="Arial" w:cs="Arial"/>
          </w:rPr>
          <w:id w:val="1098903132"/>
          <w:citation/>
        </w:sdtPr>
        <w:sdtContent>
          <w:r w:rsidR="00761022" w:rsidRPr="00DD79B2">
            <w:rPr>
              <w:rFonts w:ascii="Arial" w:hAnsi="Arial" w:cs="Arial"/>
            </w:rPr>
            <w:fldChar w:fldCharType="begin"/>
          </w:r>
          <w:r w:rsidR="00761022" w:rsidRPr="00DD79B2">
            <w:rPr>
              <w:rFonts w:ascii="Arial" w:hAnsi="Arial" w:cs="Arial"/>
            </w:rPr>
            <w:instrText xml:space="preserve"> CITATION Hom162 \l 1033 </w:instrText>
          </w:r>
          <w:r w:rsidR="00761022" w:rsidRPr="00DD79B2">
            <w:rPr>
              <w:rFonts w:ascii="Arial" w:hAnsi="Arial" w:cs="Arial"/>
            </w:rPr>
            <w:fldChar w:fldCharType="separate"/>
          </w:r>
          <w:r w:rsidR="00761022" w:rsidRPr="00DD79B2">
            <w:rPr>
              <w:rFonts w:ascii="Arial" w:hAnsi="Arial" w:cs="Arial"/>
              <w:noProof/>
            </w:rPr>
            <w:t>(Home Depot, 2016)</w:t>
          </w:r>
          <w:r w:rsidR="00761022" w:rsidRPr="00DD79B2">
            <w:rPr>
              <w:rFonts w:ascii="Arial" w:hAnsi="Arial" w:cs="Arial"/>
            </w:rPr>
            <w:fldChar w:fldCharType="end"/>
          </w:r>
        </w:sdtContent>
      </w:sdt>
      <w:r w:rsidR="00DB0ECE" w:rsidRPr="00DD79B2">
        <w:rPr>
          <w:rFonts w:ascii="Arial" w:hAnsi="Arial" w:cs="Arial"/>
        </w:rPr>
        <w:t>.</w:t>
      </w:r>
    </w:p>
    <w:p w:rsidR="00B57F3D" w:rsidRPr="00023850" w:rsidRDefault="00DD79B2" w:rsidP="00DD79B2">
      <w:pPr>
        <w:spacing w:after="0" w:line="480" w:lineRule="auto"/>
        <w:jc w:val="center"/>
        <w:rPr>
          <w:rFonts w:ascii="Arial" w:hAnsi="Arial" w:cs="Arial"/>
          <w:u w:val="single"/>
        </w:rPr>
      </w:pPr>
      <w:r w:rsidRPr="00023850">
        <w:rPr>
          <w:rFonts w:ascii="Arial" w:hAnsi="Arial" w:cs="Arial"/>
          <w:b/>
          <w:u w:val="single"/>
        </w:rPr>
        <w:t>Profitability, Liquidity, Solvency, and Market Performance</w:t>
      </w:r>
      <w:r w:rsidR="00023850" w:rsidRPr="00023850">
        <w:rPr>
          <w:rFonts w:ascii="Arial" w:hAnsi="Arial" w:cs="Arial"/>
          <w:b/>
          <w:u w:val="single"/>
        </w:rPr>
        <w:t xml:space="preserve"> Analysis</w:t>
      </w:r>
      <w:r w:rsidRPr="00023850">
        <w:rPr>
          <w:rFonts w:ascii="Arial" w:hAnsi="Arial" w:cs="Arial"/>
          <w:b/>
          <w:u w:val="single"/>
        </w:rPr>
        <w:t xml:space="preserve"> of Home Depot</w:t>
      </w:r>
    </w:p>
    <w:p w:rsidR="00B57F3D" w:rsidRPr="00DD79B2" w:rsidRDefault="00B57F3D" w:rsidP="00DD79B2">
      <w:pPr>
        <w:spacing w:after="0" w:line="480" w:lineRule="auto"/>
        <w:rPr>
          <w:rFonts w:ascii="Arial" w:hAnsi="Arial" w:cs="Arial"/>
          <w:b/>
        </w:rPr>
      </w:pPr>
      <w:r w:rsidRPr="00DD79B2">
        <w:rPr>
          <w:rFonts w:ascii="Arial" w:hAnsi="Arial" w:cs="Arial"/>
          <w:b/>
        </w:rPr>
        <w:t>Profitability Analysis</w:t>
      </w:r>
    </w:p>
    <w:p w:rsidR="00B57F3D" w:rsidRPr="00DD79B2" w:rsidRDefault="00023850" w:rsidP="00DD79B2">
      <w:pPr>
        <w:spacing w:after="0" w:line="480" w:lineRule="auto"/>
        <w:rPr>
          <w:rFonts w:ascii="Arial" w:hAnsi="Arial" w:cs="Arial"/>
        </w:rPr>
      </w:pPr>
      <w:r>
        <w:rPr>
          <w:rFonts w:ascii="Arial" w:hAnsi="Arial" w:cs="Arial"/>
        </w:rPr>
        <w:t xml:space="preserve">          </w:t>
      </w:r>
      <w:r w:rsidR="00D325AE" w:rsidRPr="00DD79B2">
        <w:rPr>
          <w:rFonts w:ascii="Arial" w:hAnsi="Arial" w:cs="Arial"/>
        </w:rPr>
        <w:t>Profitability</w:t>
      </w:r>
      <w:r w:rsidR="00B57F3D" w:rsidRPr="00DD79B2">
        <w:rPr>
          <w:rFonts w:ascii="Arial" w:hAnsi="Arial" w:cs="Arial"/>
        </w:rPr>
        <w:t xml:space="preserve"> refers to the profit generating </w:t>
      </w:r>
      <w:r w:rsidR="00D325AE" w:rsidRPr="00DD79B2">
        <w:rPr>
          <w:rFonts w:ascii="Arial" w:hAnsi="Arial" w:cs="Arial"/>
        </w:rPr>
        <w:t>capacity</w:t>
      </w:r>
      <w:r w:rsidR="00B57F3D" w:rsidRPr="00DD79B2">
        <w:rPr>
          <w:rFonts w:ascii="Arial" w:hAnsi="Arial" w:cs="Arial"/>
        </w:rPr>
        <w:t xml:space="preserve"> of the </w:t>
      </w:r>
      <w:r w:rsidR="00D325AE" w:rsidRPr="00DD79B2">
        <w:rPr>
          <w:rFonts w:ascii="Arial" w:hAnsi="Arial" w:cs="Arial"/>
        </w:rPr>
        <w:t>company</w:t>
      </w:r>
      <w:r w:rsidR="00B57F3D" w:rsidRPr="00DD79B2">
        <w:rPr>
          <w:rFonts w:ascii="Arial" w:hAnsi="Arial" w:cs="Arial"/>
        </w:rPr>
        <w:t>. Profitability of a c</w:t>
      </w:r>
      <w:r w:rsidR="00D325AE" w:rsidRPr="00DD79B2">
        <w:rPr>
          <w:rFonts w:ascii="Arial" w:hAnsi="Arial" w:cs="Arial"/>
        </w:rPr>
        <w:t>o</w:t>
      </w:r>
      <w:r w:rsidR="00B57F3D" w:rsidRPr="00DD79B2">
        <w:rPr>
          <w:rFonts w:ascii="Arial" w:hAnsi="Arial" w:cs="Arial"/>
        </w:rPr>
        <w:t>mp</w:t>
      </w:r>
      <w:r w:rsidR="00D325AE" w:rsidRPr="00DD79B2">
        <w:rPr>
          <w:rFonts w:ascii="Arial" w:hAnsi="Arial" w:cs="Arial"/>
        </w:rPr>
        <w:t>a</w:t>
      </w:r>
      <w:r w:rsidR="00B57F3D" w:rsidRPr="00DD79B2">
        <w:rPr>
          <w:rFonts w:ascii="Arial" w:hAnsi="Arial" w:cs="Arial"/>
        </w:rPr>
        <w:t>n</w:t>
      </w:r>
      <w:r w:rsidR="00D325AE" w:rsidRPr="00DD79B2">
        <w:rPr>
          <w:rFonts w:ascii="Arial" w:hAnsi="Arial" w:cs="Arial"/>
        </w:rPr>
        <w:t>y</w:t>
      </w:r>
      <w:r w:rsidR="00B57F3D" w:rsidRPr="00DD79B2">
        <w:rPr>
          <w:rFonts w:ascii="Arial" w:hAnsi="Arial" w:cs="Arial"/>
        </w:rPr>
        <w:t xml:space="preserve"> can be measured in terms of gross profit margin, </w:t>
      </w:r>
      <w:r w:rsidR="00FC0A25" w:rsidRPr="00DD79B2">
        <w:rPr>
          <w:rFonts w:ascii="Arial" w:hAnsi="Arial" w:cs="Arial"/>
        </w:rPr>
        <w:t>return on sales</w:t>
      </w:r>
      <w:r w:rsidR="00B57F3D" w:rsidRPr="00DD79B2">
        <w:rPr>
          <w:rFonts w:ascii="Arial" w:hAnsi="Arial" w:cs="Arial"/>
        </w:rPr>
        <w:t xml:space="preserve">, </w:t>
      </w:r>
      <w:r w:rsidR="00FC0A25" w:rsidRPr="00DD79B2">
        <w:rPr>
          <w:rFonts w:ascii="Arial" w:hAnsi="Arial" w:cs="Arial"/>
        </w:rPr>
        <w:t xml:space="preserve">assets turnover, </w:t>
      </w:r>
      <w:r w:rsidR="00B57F3D" w:rsidRPr="00DD79B2">
        <w:rPr>
          <w:rFonts w:ascii="Arial" w:hAnsi="Arial" w:cs="Arial"/>
        </w:rPr>
        <w:t xml:space="preserve">Return on Equity (ROE), Return on Assets (ROA) </w:t>
      </w:r>
      <w:proofErr w:type="spellStart"/>
      <w:r w:rsidR="00B57F3D" w:rsidRPr="00DD79B2">
        <w:rPr>
          <w:rFonts w:ascii="Arial" w:hAnsi="Arial" w:cs="Arial"/>
        </w:rPr>
        <w:t>etc</w:t>
      </w:r>
      <w:proofErr w:type="spellEnd"/>
      <w:r w:rsidR="00FC0A25" w:rsidRPr="00DD79B2">
        <w:rPr>
          <w:rFonts w:ascii="Arial" w:hAnsi="Arial" w:cs="Arial"/>
        </w:rPr>
        <w:t xml:space="preserve"> </w:t>
      </w:r>
      <w:sdt>
        <w:sdtPr>
          <w:rPr>
            <w:rFonts w:ascii="Arial" w:hAnsi="Arial" w:cs="Arial"/>
          </w:rPr>
          <w:id w:val="-736089827"/>
          <w:citation/>
        </w:sdtPr>
        <w:sdtContent>
          <w:r w:rsidR="00FC0A25" w:rsidRPr="00DD79B2">
            <w:rPr>
              <w:rFonts w:ascii="Arial" w:hAnsi="Arial" w:cs="Arial"/>
            </w:rPr>
            <w:fldChar w:fldCharType="begin"/>
          </w:r>
          <w:r w:rsidR="00FC0A25" w:rsidRPr="00DD79B2">
            <w:rPr>
              <w:rFonts w:ascii="Arial" w:hAnsi="Arial" w:cs="Arial"/>
            </w:rPr>
            <w:instrText xml:space="preserve"> CITATION MyA14 \l 1033 </w:instrText>
          </w:r>
          <w:r w:rsidR="00FC0A25" w:rsidRPr="00DD79B2">
            <w:rPr>
              <w:rFonts w:ascii="Arial" w:hAnsi="Arial" w:cs="Arial"/>
            </w:rPr>
            <w:fldChar w:fldCharType="separate"/>
          </w:r>
          <w:r w:rsidR="00FC0A25" w:rsidRPr="00DD79B2">
            <w:rPr>
              <w:rFonts w:ascii="Arial" w:hAnsi="Arial" w:cs="Arial"/>
              <w:noProof/>
            </w:rPr>
            <w:t>(My Accounting Course, 2014)</w:t>
          </w:r>
          <w:r w:rsidR="00FC0A25" w:rsidRPr="00DD79B2">
            <w:rPr>
              <w:rFonts w:ascii="Arial" w:hAnsi="Arial" w:cs="Arial"/>
            </w:rPr>
            <w:fldChar w:fldCharType="end"/>
          </w:r>
        </w:sdtContent>
      </w:sdt>
      <w:r w:rsidR="00B57F3D" w:rsidRPr="00DD79B2">
        <w:rPr>
          <w:rFonts w:ascii="Arial" w:hAnsi="Arial" w:cs="Arial"/>
        </w:rPr>
        <w:t>. The higher the value of these ratios, the better the profitability of the company</w:t>
      </w:r>
      <w:r w:rsidR="00D258D8" w:rsidRPr="00DD79B2">
        <w:rPr>
          <w:rFonts w:ascii="Arial" w:hAnsi="Arial" w:cs="Arial"/>
        </w:rPr>
        <w:t xml:space="preserve"> and vice versa</w:t>
      </w:r>
      <w:r w:rsidR="00B57F3D" w:rsidRPr="00DD79B2">
        <w:rPr>
          <w:rFonts w:ascii="Arial" w:hAnsi="Arial" w:cs="Arial"/>
        </w:rPr>
        <w:t xml:space="preserve">. </w:t>
      </w:r>
    </w:p>
    <w:p w:rsidR="00FC0A25" w:rsidRPr="00023850" w:rsidRDefault="00023850" w:rsidP="00DD79B2">
      <w:pPr>
        <w:spacing w:after="0" w:line="480" w:lineRule="auto"/>
        <w:rPr>
          <w:rFonts w:ascii="Arial" w:hAnsi="Arial" w:cs="Arial"/>
        </w:rPr>
      </w:pPr>
      <w:r>
        <w:rPr>
          <w:rFonts w:ascii="Arial" w:hAnsi="Arial" w:cs="Arial"/>
        </w:rPr>
        <w:t xml:space="preserve">         </w:t>
      </w:r>
      <w:r w:rsidR="00FC0A25" w:rsidRPr="00023850">
        <w:rPr>
          <w:rFonts w:ascii="Arial" w:hAnsi="Arial" w:cs="Arial"/>
        </w:rPr>
        <w:t xml:space="preserve">Both </w:t>
      </w:r>
      <w:r w:rsidR="00FC0A25" w:rsidRPr="00023850">
        <w:rPr>
          <w:rFonts w:ascii="Arial" w:hAnsi="Arial" w:cs="Arial"/>
        </w:rPr>
        <w:t>Gross Profit Margin, and Return on Sales of Home Depot</w:t>
      </w:r>
      <w:r w:rsidR="00FC0A25" w:rsidRPr="00023850">
        <w:rPr>
          <w:rFonts w:ascii="Arial" w:hAnsi="Arial" w:cs="Arial"/>
        </w:rPr>
        <w:t xml:space="preserve"> have been increased over the recent time period</w:t>
      </w:r>
      <w:r w:rsidR="00DD79B2" w:rsidRPr="00023850">
        <w:rPr>
          <w:rFonts w:ascii="Arial" w:hAnsi="Arial" w:cs="Arial"/>
        </w:rPr>
        <w:t xml:space="preserve"> (Figure 1)</w:t>
      </w:r>
      <w:r w:rsidR="00FC0A25" w:rsidRPr="00023850">
        <w:rPr>
          <w:rFonts w:ascii="Arial" w:hAnsi="Arial" w:cs="Arial"/>
        </w:rPr>
        <w:t xml:space="preserve">. This means that the capacity of the company to manage its cost of sales, and operating income to increase overall return has been improved.  </w:t>
      </w:r>
    </w:p>
    <w:p w:rsidR="00FC0A25" w:rsidRPr="00023850" w:rsidRDefault="00023850" w:rsidP="00023850">
      <w:pPr>
        <w:tabs>
          <w:tab w:val="left" w:pos="270"/>
        </w:tabs>
        <w:spacing w:after="0" w:line="480" w:lineRule="auto"/>
        <w:rPr>
          <w:rFonts w:ascii="Arial" w:hAnsi="Arial" w:cs="Arial"/>
        </w:rPr>
      </w:pPr>
      <w:r>
        <w:rPr>
          <w:rFonts w:ascii="Arial" w:hAnsi="Arial" w:cs="Arial"/>
        </w:rPr>
        <w:lastRenderedPageBreak/>
        <w:t xml:space="preserve">         </w:t>
      </w:r>
      <w:r w:rsidR="00FC0A25" w:rsidRPr="00023850">
        <w:rPr>
          <w:rFonts w:ascii="Arial" w:hAnsi="Arial" w:cs="Arial"/>
        </w:rPr>
        <w:t>Assets turnover of the Home Depot has been increased over the last three years</w:t>
      </w:r>
      <w:r w:rsidR="00DD79B2" w:rsidRPr="00023850">
        <w:rPr>
          <w:rFonts w:ascii="Arial" w:hAnsi="Arial" w:cs="Arial"/>
        </w:rPr>
        <w:t xml:space="preserve"> (Figure 2</w:t>
      </w:r>
      <w:r w:rsidR="00DD79B2" w:rsidRPr="00023850">
        <w:rPr>
          <w:rFonts w:ascii="Arial" w:hAnsi="Arial" w:cs="Arial"/>
        </w:rPr>
        <w:t>)</w:t>
      </w:r>
      <w:r w:rsidR="00FC0A25" w:rsidRPr="00023850">
        <w:rPr>
          <w:rFonts w:ascii="Arial" w:hAnsi="Arial" w:cs="Arial"/>
        </w:rPr>
        <w:t>. This means that the ability of the company to utilize its assets and generate sales has been improved. Return on Assets, and Return on Equity of the Home Depot have been increased over the last three years</w:t>
      </w:r>
      <w:r w:rsidR="00DD79B2" w:rsidRPr="00023850">
        <w:rPr>
          <w:rFonts w:ascii="Arial" w:hAnsi="Arial" w:cs="Arial"/>
        </w:rPr>
        <w:t xml:space="preserve"> (Figure 2</w:t>
      </w:r>
      <w:r w:rsidR="00DD79B2" w:rsidRPr="00023850">
        <w:rPr>
          <w:rFonts w:ascii="Arial" w:hAnsi="Arial" w:cs="Arial"/>
        </w:rPr>
        <w:t>)</w:t>
      </w:r>
      <w:r w:rsidR="00FC0A25" w:rsidRPr="00023850">
        <w:rPr>
          <w:rFonts w:ascii="Arial" w:hAnsi="Arial" w:cs="Arial"/>
        </w:rPr>
        <w:t xml:space="preserve">. This means that the ability of the company to utilize its assets and shareholders to generate return has been improved. </w:t>
      </w:r>
    </w:p>
    <w:p w:rsidR="00D258D8" w:rsidRDefault="00465358" w:rsidP="00465358">
      <w:pPr>
        <w:jc w:val="center"/>
      </w:pPr>
      <w:r>
        <w:rPr>
          <w:noProof/>
        </w:rPr>
        <w:drawing>
          <wp:inline distT="0" distB="0" distL="0" distR="0" wp14:anchorId="100A985B" wp14:editId="2DA41F17">
            <wp:extent cx="5207635" cy="2194560"/>
            <wp:effectExtent l="0" t="0" r="12065" b="1524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906827" w:rsidRDefault="00906827" w:rsidP="00DD79B2">
      <w:pPr>
        <w:jc w:val="center"/>
      </w:pPr>
      <w:r>
        <w:t>Figure</w:t>
      </w:r>
      <w:r>
        <w:t xml:space="preserve"> 1</w:t>
      </w:r>
      <w:r>
        <w:t xml:space="preserve">: </w:t>
      </w:r>
      <w:r>
        <w:t>Gross Profit Margin</w:t>
      </w:r>
      <w:r>
        <w:t xml:space="preserve">, and </w:t>
      </w:r>
      <w:r>
        <w:t xml:space="preserve">Return on Sales </w:t>
      </w:r>
      <w:r>
        <w:t>of Home Depot</w:t>
      </w:r>
    </w:p>
    <w:p w:rsidR="00465358" w:rsidRDefault="00465358" w:rsidP="00465358">
      <w:pPr>
        <w:jc w:val="center"/>
      </w:pPr>
    </w:p>
    <w:p w:rsidR="00465358" w:rsidRDefault="00465358" w:rsidP="00465358">
      <w:pPr>
        <w:tabs>
          <w:tab w:val="left" w:pos="270"/>
        </w:tabs>
        <w:jc w:val="center"/>
      </w:pPr>
      <w:r>
        <w:rPr>
          <w:noProof/>
        </w:rPr>
        <w:drawing>
          <wp:inline distT="0" distB="0" distL="0" distR="0" wp14:anchorId="7E62C22E" wp14:editId="498CF72A">
            <wp:extent cx="5001370" cy="2218055"/>
            <wp:effectExtent l="0" t="0" r="8890" b="10795"/>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652B4" w:rsidRPr="00023850" w:rsidRDefault="00906827" w:rsidP="00023850">
      <w:pPr>
        <w:tabs>
          <w:tab w:val="left" w:pos="270"/>
        </w:tabs>
        <w:spacing w:after="0" w:line="480" w:lineRule="auto"/>
        <w:jc w:val="center"/>
        <w:rPr>
          <w:rFonts w:ascii="Arial" w:hAnsi="Arial" w:cs="Arial"/>
        </w:rPr>
      </w:pPr>
      <w:r w:rsidRPr="00023850">
        <w:rPr>
          <w:rFonts w:ascii="Arial" w:hAnsi="Arial" w:cs="Arial"/>
        </w:rPr>
        <w:t xml:space="preserve">Figure </w:t>
      </w:r>
      <w:r w:rsidRPr="00023850">
        <w:rPr>
          <w:rFonts w:ascii="Arial" w:hAnsi="Arial" w:cs="Arial"/>
        </w:rPr>
        <w:t>2</w:t>
      </w:r>
      <w:r w:rsidRPr="00023850">
        <w:rPr>
          <w:rFonts w:ascii="Arial" w:hAnsi="Arial" w:cs="Arial"/>
        </w:rPr>
        <w:t xml:space="preserve">: </w:t>
      </w:r>
      <w:r w:rsidRPr="00023850">
        <w:rPr>
          <w:rFonts w:ascii="Arial" w:hAnsi="Arial" w:cs="Arial"/>
        </w:rPr>
        <w:t>Assets Turnover</w:t>
      </w:r>
      <w:r w:rsidRPr="00023850">
        <w:rPr>
          <w:rFonts w:ascii="Arial" w:hAnsi="Arial" w:cs="Arial"/>
        </w:rPr>
        <w:t xml:space="preserve">, </w:t>
      </w:r>
      <w:r w:rsidRPr="00023850">
        <w:rPr>
          <w:rFonts w:ascii="Arial" w:hAnsi="Arial" w:cs="Arial"/>
        </w:rPr>
        <w:t xml:space="preserve">ROA, </w:t>
      </w:r>
      <w:r w:rsidRPr="00023850">
        <w:rPr>
          <w:rFonts w:ascii="Arial" w:hAnsi="Arial" w:cs="Arial"/>
        </w:rPr>
        <w:t xml:space="preserve">and </w:t>
      </w:r>
      <w:r w:rsidRPr="00023850">
        <w:rPr>
          <w:rFonts w:ascii="Arial" w:hAnsi="Arial" w:cs="Arial"/>
        </w:rPr>
        <w:t>ROE</w:t>
      </w:r>
      <w:r w:rsidRPr="00023850">
        <w:rPr>
          <w:rFonts w:ascii="Arial" w:hAnsi="Arial" w:cs="Arial"/>
        </w:rPr>
        <w:t xml:space="preserve"> of Home Depot</w:t>
      </w:r>
    </w:p>
    <w:p w:rsidR="001652B4" w:rsidRPr="00023850" w:rsidRDefault="001652B4" w:rsidP="00023850">
      <w:pPr>
        <w:tabs>
          <w:tab w:val="left" w:pos="270"/>
        </w:tabs>
        <w:spacing w:after="0" w:line="480" w:lineRule="auto"/>
        <w:rPr>
          <w:rFonts w:ascii="Arial" w:hAnsi="Arial" w:cs="Arial"/>
        </w:rPr>
      </w:pPr>
    </w:p>
    <w:p w:rsidR="00FC0A25" w:rsidRPr="00023850" w:rsidRDefault="00023850" w:rsidP="00023850">
      <w:pPr>
        <w:spacing w:after="0" w:line="480" w:lineRule="auto"/>
        <w:rPr>
          <w:rFonts w:ascii="Arial" w:hAnsi="Arial" w:cs="Arial"/>
        </w:rPr>
      </w:pPr>
      <w:r>
        <w:rPr>
          <w:rFonts w:ascii="Arial" w:hAnsi="Arial" w:cs="Arial"/>
        </w:rPr>
        <w:t xml:space="preserve">        </w:t>
      </w:r>
      <w:r w:rsidR="00FC0A25" w:rsidRPr="00023850">
        <w:rPr>
          <w:rFonts w:ascii="Arial" w:hAnsi="Arial" w:cs="Arial"/>
        </w:rPr>
        <w:t xml:space="preserve">In overall, the </w:t>
      </w:r>
      <w:r w:rsidR="00FC0A25" w:rsidRPr="00023850">
        <w:rPr>
          <w:rFonts w:ascii="Arial" w:hAnsi="Arial" w:cs="Arial"/>
        </w:rPr>
        <w:t>profitability</w:t>
      </w:r>
      <w:r w:rsidR="00FC0A25" w:rsidRPr="00023850">
        <w:rPr>
          <w:rFonts w:ascii="Arial" w:hAnsi="Arial" w:cs="Arial"/>
        </w:rPr>
        <w:t xml:space="preserve"> of the Home Depot can be said as improved over the recent time period. </w:t>
      </w:r>
    </w:p>
    <w:p w:rsidR="00D258D8" w:rsidRPr="00023850" w:rsidRDefault="00D325AE" w:rsidP="00023850">
      <w:pPr>
        <w:spacing w:after="0" w:line="480" w:lineRule="auto"/>
        <w:rPr>
          <w:rFonts w:ascii="Arial" w:hAnsi="Arial" w:cs="Arial"/>
          <w:b/>
        </w:rPr>
      </w:pPr>
      <w:r w:rsidRPr="00023850">
        <w:rPr>
          <w:rFonts w:ascii="Arial" w:hAnsi="Arial" w:cs="Arial"/>
          <w:b/>
        </w:rPr>
        <w:lastRenderedPageBreak/>
        <w:t>Liquidi</w:t>
      </w:r>
      <w:r w:rsidR="00D258D8" w:rsidRPr="00023850">
        <w:rPr>
          <w:rFonts w:ascii="Arial" w:hAnsi="Arial" w:cs="Arial"/>
          <w:b/>
        </w:rPr>
        <w:t>ty Analysis</w:t>
      </w:r>
      <w:r w:rsidRPr="00023850">
        <w:rPr>
          <w:rFonts w:ascii="Arial" w:hAnsi="Arial" w:cs="Arial"/>
          <w:b/>
        </w:rPr>
        <w:t xml:space="preserve"> </w:t>
      </w:r>
    </w:p>
    <w:p w:rsidR="00D258D8" w:rsidRPr="00023850" w:rsidRDefault="00023850" w:rsidP="00023850">
      <w:pPr>
        <w:spacing w:after="0" w:line="480" w:lineRule="auto"/>
        <w:rPr>
          <w:rFonts w:ascii="Arial" w:hAnsi="Arial" w:cs="Arial"/>
        </w:rPr>
      </w:pPr>
      <w:r>
        <w:rPr>
          <w:rFonts w:ascii="Arial" w:hAnsi="Arial" w:cs="Arial"/>
        </w:rPr>
        <w:t xml:space="preserve">        </w:t>
      </w:r>
      <w:r w:rsidR="00D258D8" w:rsidRPr="00023850">
        <w:rPr>
          <w:rFonts w:ascii="Arial" w:hAnsi="Arial" w:cs="Arial"/>
        </w:rPr>
        <w:t>Liquidity</w:t>
      </w:r>
      <w:r w:rsidR="00D258D8" w:rsidRPr="00023850">
        <w:rPr>
          <w:rFonts w:ascii="Arial" w:hAnsi="Arial" w:cs="Arial"/>
        </w:rPr>
        <w:t xml:space="preserve"> refers to the</w:t>
      </w:r>
      <w:r w:rsidR="00D258D8" w:rsidRPr="00023850">
        <w:rPr>
          <w:rFonts w:ascii="Arial" w:hAnsi="Arial" w:cs="Arial"/>
        </w:rPr>
        <w:t xml:space="preserve"> ability </w:t>
      </w:r>
      <w:r w:rsidR="00D325AE" w:rsidRPr="00023850">
        <w:rPr>
          <w:rFonts w:ascii="Arial" w:hAnsi="Arial" w:cs="Arial"/>
        </w:rPr>
        <w:t>of</w:t>
      </w:r>
      <w:r w:rsidR="00D258D8" w:rsidRPr="00023850">
        <w:rPr>
          <w:rFonts w:ascii="Arial" w:hAnsi="Arial" w:cs="Arial"/>
        </w:rPr>
        <w:t xml:space="preserve"> the company to repay its short term debts and obligations when these fall due. The liquidity of a company can </w:t>
      </w:r>
      <w:r w:rsidR="00D325AE" w:rsidRPr="00023850">
        <w:rPr>
          <w:rFonts w:ascii="Arial" w:hAnsi="Arial" w:cs="Arial"/>
        </w:rPr>
        <w:t>be</w:t>
      </w:r>
      <w:r w:rsidR="00D258D8" w:rsidRPr="00023850">
        <w:rPr>
          <w:rFonts w:ascii="Arial" w:hAnsi="Arial" w:cs="Arial"/>
        </w:rPr>
        <w:t xml:space="preserve"> </w:t>
      </w:r>
      <w:r w:rsidR="00D325AE" w:rsidRPr="00023850">
        <w:rPr>
          <w:rFonts w:ascii="Arial" w:hAnsi="Arial" w:cs="Arial"/>
        </w:rPr>
        <w:t>measured</w:t>
      </w:r>
      <w:r w:rsidR="00D258D8" w:rsidRPr="00023850">
        <w:rPr>
          <w:rFonts w:ascii="Arial" w:hAnsi="Arial" w:cs="Arial"/>
        </w:rPr>
        <w:t xml:space="preserve"> in terms of </w:t>
      </w:r>
      <w:r>
        <w:t>Current Ratio, Quick Ratio, and Working Capital</w:t>
      </w:r>
      <w:r>
        <w:t xml:space="preserve">, </w:t>
      </w:r>
      <w:r>
        <w:t>Days Sales in Receivables, Days Sales in Inventory, &amp; Free Cash Flow</w:t>
      </w:r>
      <w:r w:rsidR="00D258D8" w:rsidRPr="00023850">
        <w:rPr>
          <w:rFonts w:ascii="Arial" w:hAnsi="Arial" w:cs="Arial"/>
        </w:rPr>
        <w:t xml:space="preserve"> </w:t>
      </w:r>
      <w:proofErr w:type="spellStart"/>
      <w:r w:rsidR="00D258D8" w:rsidRPr="00023850">
        <w:rPr>
          <w:rFonts w:ascii="Arial" w:hAnsi="Arial" w:cs="Arial"/>
        </w:rPr>
        <w:t>etc</w:t>
      </w:r>
      <w:proofErr w:type="spellEnd"/>
      <w:r>
        <w:rPr>
          <w:rFonts w:ascii="Arial" w:hAnsi="Arial" w:cs="Arial"/>
        </w:rPr>
        <w:t xml:space="preserve"> </w:t>
      </w:r>
      <w:sdt>
        <w:sdtPr>
          <w:rPr>
            <w:rFonts w:ascii="Arial" w:hAnsi="Arial" w:cs="Arial"/>
          </w:rPr>
          <w:id w:val="1854068191"/>
          <w:citation/>
        </w:sdtPr>
        <w:sdtContent>
          <w:r>
            <w:rPr>
              <w:rFonts w:ascii="Arial" w:hAnsi="Arial" w:cs="Arial"/>
            </w:rPr>
            <w:fldChar w:fldCharType="begin"/>
          </w:r>
          <w:r>
            <w:rPr>
              <w:rFonts w:ascii="Arial" w:hAnsi="Arial" w:cs="Arial"/>
            </w:rPr>
            <w:instrText xml:space="preserve"> CITATION Pra14 \l 1033 </w:instrText>
          </w:r>
          <w:r>
            <w:rPr>
              <w:rFonts w:ascii="Arial" w:hAnsi="Arial" w:cs="Arial"/>
            </w:rPr>
            <w:fldChar w:fldCharType="separate"/>
          </w:r>
          <w:r w:rsidRPr="00023850">
            <w:rPr>
              <w:rFonts w:ascii="Arial" w:hAnsi="Arial" w:cs="Arial"/>
              <w:noProof/>
            </w:rPr>
            <w:t>(Chandra, 2014)</w:t>
          </w:r>
          <w:r>
            <w:rPr>
              <w:rFonts w:ascii="Arial" w:hAnsi="Arial" w:cs="Arial"/>
            </w:rPr>
            <w:fldChar w:fldCharType="end"/>
          </w:r>
        </w:sdtContent>
      </w:sdt>
      <w:r w:rsidR="00D258D8" w:rsidRPr="00023850">
        <w:rPr>
          <w:rFonts w:ascii="Arial" w:hAnsi="Arial" w:cs="Arial"/>
        </w:rPr>
        <w:t xml:space="preserve">. </w:t>
      </w:r>
      <w:r w:rsidR="00D258D8" w:rsidRPr="00023850">
        <w:rPr>
          <w:rFonts w:ascii="Arial" w:hAnsi="Arial" w:cs="Arial"/>
        </w:rPr>
        <w:t xml:space="preserve">The higher the value of these ratios, the better the </w:t>
      </w:r>
      <w:r w:rsidR="00D258D8" w:rsidRPr="00023850">
        <w:rPr>
          <w:rFonts w:ascii="Arial" w:hAnsi="Arial" w:cs="Arial"/>
        </w:rPr>
        <w:t xml:space="preserve">liquidity as well as short term debts and obligations repayment </w:t>
      </w:r>
      <w:r w:rsidR="00D325AE" w:rsidRPr="00023850">
        <w:rPr>
          <w:rFonts w:ascii="Arial" w:hAnsi="Arial" w:cs="Arial"/>
        </w:rPr>
        <w:t>capacity</w:t>
      </w:r>
      <w:r w:rsidR="00D258D8" w:rsidRPr="00023850">
        <w:rPr>
          <w:rFonts w:ascii="Arial" w:hAnsi="Arial" w:cs="Arial"/>
        </w:rPr>
        <w:t xml:space="preserve"> of the company</w:t>
      </w:r>
      <w:r w:rsidR="00312144" w:rsidRPr="00023850">
        <w:rPr>
          <w:rFonts w:ascii="Arial" w:hAnsi="Arial" w:cs="Arial"/>
        </w:rPr>
        <w:t>,</w:t>
      </w:r>
      <w:r w:rsidR="00D258D8" w:rsidRPr="00023850">
        <w:rPr>
          <w:rFonts w:ascii="Arial" w:hAnsi="Arial" w:cs="Arial"/>
        </w:rPr>
        <w:t xml:space="preserve"> and vice versa.</w:t>
      </w:r>
    </w:p>
    <w:p w:rsidR="00BE3931" w:rsidRPr="00023850" w:rsidRDefault="00023850" w:rsidP="00023850">
      <w:pPr>
        <w:spacing w:after="0" w:line="480" w:lineRule="auto"/>
        <w:rPr>
          <w:rFonts w:ascii="Arial" w:hAnsi="Arial" w:cs="Arial"/>
        </w:rPr>
      </w:pPr>
      <w:r>
        <w:rPr>
          <w:rFonts w:ascii="Arial" w:hAnsi="Arial" w:cs="Arial"/>
        </w:rPr>
        <w:t xml:space="preserve">        </w:t>
      </w:r>
      <w:r w:rsidR="00BE3931" w:rsidRPr="00023850">
        <w:rPr>
          <w:rFonts w:ascii="Arial" w:hAnsi="Arial" w:cs="Arial"/>
        </w:rPr>
        <w:t>Both current ratio, and quick ratio of the Home Depot have been decreased lightly in the last period (2015)</w:t>
      </w:r>
      <w:r>
        <w:rPr>
          <w:rFonts w:ascii="Arial" w:hAnsi="Arial" w:cs="Arial"/>
        </w:rPr>
        <w:t xml:space="preserve"> </w:t>
      </w:r>
      <w:r>
        <w:rPr>
          <w:rFonts w:ascii="Arial" w:hAnsi="Arial" w:cs="Arial"/>
        </w:rPr>
        <w:t>(Figure 3)</w:t>
      </w:r>
      <w:r w:rsidR="00BE3931" w:rsidRPr="00023850">
        <w:rPr>
          <w:rFonts w:ascii="Arial" w:hAnsi="Arial" w:cs="Arial"/>
        </w:rPr>
        <w:t xml:space="preserve">. </w:t>
      </w:r>
      <w:r w:rsidR="004D56F9" w:rsidRPr="00023850">
        <w:rPr>
          <w:rFonts w:ascii="Arial" w:hAnsi="Arial" w:cs="Arial"/>
        </w:rPr>
        <w:t>The</w:t>
      </w:r>
      <w:r w:rsidR="00BE3931" w:rsidRPr="00023850">
        <w:rPr>
          <w:rFonts w:ascii="Arial" w:hAnsi="Arial" w:cs="Arial"/>
        </w:rPr>
        <w:t xml:space="preserve"> slight increase of </w:t>
      </w:r>
      <w:r w:rsidR="00BE3931" w:rsidRPr="00023850">
        <w:rPr>
          <w:rFonts w:ascii="Arial" w:hAnsi="Arial" w:cs="Arial"/>
        </w:rPr>
        <w:t>current ratio, and quick ratio</w:t>
      </w:r>
      <w:r w:rsidR="00BE3931" w:rsidRPr="00023850">
        <w:rPr>
          <w:rFonts w:ascii="Arial" w:hAnsi="Arial" w:cs="Arial"/>
        </w:rPr>
        <w:t xml:space="preserve"> is mainly due to increase of </w:t>
      </w:r>
      <w:r w:rsidR="004D56F9" w:rsidRPr="00023850">
        <w:rPr>
          <w:rFonts w:ascii="Arial" w:hAnsi="Arial" w:cs="Arial"/>
        </w:rPr>
        <w:t>deferred</w:t>
      </w:r>
      <w:r w:rsidR="00BE3931" w:rsidRPr="00023850">
        <w:rPr>
          <w:rFonts w:ascii="Arial" w:hAnsi="Arial" w:cs="Arial"/>
        </w:rPr>
        <w:t xml:space="preserve"> income that is recognized as the </w:t>
      </w:r>
      <w:r w:rsidR="004D56F9" w:rsidRPr="00023850">
        <w:rPr>
          <w:rFonts w:ascii="Arial" w:hAnsi="Arial" w:cs="Arial"/>
        </w:rPr>
        <w:t>current liabilities. Thus</w:t>
      </w:r>
      <w:r>
        <w:rPr>
          <w:rFonts w:ascii="Arial" w:hAnsi="Arial" w:cs="Arial"/>
        </w:rPr>
        <w:t>,</w:t>
      </w:r>
      <w:r w:rsidR="004D56F9" w:rsidRPr="00023850">
        <w:rPr>
          <w:rFonts w:ascii="Arial" w:hAnsi="Arial" w:cs="Arial"/>
        </w:rPr>
        <w:t xml:space="preserve"> decrease of </w:t>
      </w:r>
      <w:r w:rsidR="004D56F9" w:rsidRPr="00023850">
        <w:rPr>
          <w:rFonts w:ascii="Arial" w:hAnsi="Arial" w:cs="Arial"/>
        </w:rPr>
        <w:t>current ratio, and quick ratio</w:t>
      </w:r>
      <w:r w:rsidR="004D56F9" w:rsidRPr="00023850">
        <w:rPr>
          <w:rFonts w:ascii="Arial" w:hAnsi="Arial" w:cs="Arial"/>
        </w:rPr>
        <w:t xml:space="preserve"> does not signifies big liquidity problem for the company. </w:t>
      </w:r>
      <w:r w:rsidR="00BE3931" w:rsidRPr="00023850">
        <w:rPr>
          <w:rFonts w:ascii="Arial" w:hAnsi="Arial" w:cs="Arial"/>
        </w:rPr>
        <w:t>The working capital of the company has been decreased as compared to the increase of sales</w:t>
      </w:r>
      <w:r>
        <w:rPr>
          <w:rFonts w:ascii="Arial" w:hAnsi="Arial" w:cs="Arial"/>
        </w:rPr>
        <w:t xml:space="preserve"> </w:t>
      </w:r>
      <w:r>
        <w:rPr>
          <w:rFonts w:ascii="Arial" w:hAnsi="Arial" w:cs="Arial"/>
        </w:rPr>
        <w:t>(Figure 3)</w:t>
      </w:r>
      <w:r>
        <w:rPr>
          <w:rFonts w:ascii="Arial" w:hAnsi="Arial" w:cs="Arial"/>
        </w:rPr>
        <w:t xml:space="preserve">. </w:t>
      </w:r>
      <w:r w:rsidR="00BE3931" w:rsidRPr="00023850">
        <w:rPr>
          <w:rFonts w:ascii="Arial" w:hAnsi="Arial" w:cs="Arial"/>
        </w:rPr>
        <w:t xml:space="preserve">This means that company has managed its working capital effectively and generated higher sales revenue. </w:t>
      </w:r>
    </w:p>
    <w:p w:rsidR="004D56F9" w:rsidRPr="00023850" w:rsidRDefault="00023850" w:rsidP="00023850">
      <w:pPr>
        <w:spacing w:after="0" w:line="480" w:lineRule="auto"/>
        <w:rPr>
          <w:rFonts w:ascii="Arial" w:hAnsi="Arial" w:cs="Arial"/>
        </w:rPr>
      </w:pPr>
      <w:r>
        <w:rPr>
          <w:rFonts w:ascii="Arial" w:hAnsi="Arial" w:cs="Arial"/>
        </w:rPr>
        <w:t xml:space="preserve">         </w:t>
      </w:r>
      <w:r w:rsidR="005A6332" w:rsidRPr="00023850">
        <w:rPr>
          <w:rFonts w:ascii="Arial" w:hAnsi="Arial" w:cs="Arial"/>
        </w:rPr>
        <w:t>Days Sales in Receivables</w:t>
      </w:r>
      <w:r w:rsidR="005A6332" w:rsidRPr="00023850">
        <w:rPr>
          <w:rFonts w:ascii="Arial" w:hAnsi="Arial" w:cs="Arial"/>
        </w:rPr>
        <w:t xml:space="preserve"> and </w:t>
      </w:r>
      <w:r w:rsidR="005A6332" w:rsidRPr="00023850">
        <w:rPr>
          <w:rFonts w:ascii="Arial" w:hAnsi="Arial" w:cs="Arial"/>
        </w:rPr>
        <w:t>Days Sales in Inventory</w:t>
      </w:r>
      <w:r w:rsidR="005A6332" w:rsidRPr="00023850">
        <w:rPr>
          <w:rFonts w:ascii="Arial" w:hAnsi="Arial" w:cs="Arial"/>
        </w:rPr>
        <w:t xml:space="preserve"> of Home Depot have been decreased over the time period</w:t>
      </w:r>
      <w:r>
        <w:rPr>
          <w:rFonts w:ascii="Arial" w:hAnsi="Arial" w:cs="Arial"/>
        </w:rPr>
        <w:t xml:space="preserve"> (Figure 4)</w:t>
      </w:r>
      <w:r w:rsidR="005A6332" w:rsidRPr="00023850">
        <w:rPr>
          <w:rFonts w:ascii="Arial" w:hAnsi="Arial" w:cs="Arial"/>
        </w:rPr>
        <w:t xml:space="preserve">. Decrease of </w:t>
      </w:r>
      <w:r w:rsidR="005A6332" w:rsidRPr="00023850">
        <w:rPr>
          <w:rFonts w:ascii="Arial" w:hAnsi="Arial" w:cs="Arial"/>
        </w:rPr>
        <w:t>Days Sales in Receivables and Days Sales in Inventory</w:t>
      </w:r>
      <w:r w:rsidR="005A6332" w:rsidRPr="00023850">
        <w:rPr>
          <w:rFonts w:ascii="Arial" w:hAnsi="Arial" w:cs="Arial"/>
        </w:rPr>
        <w:t xml:space="preserve"> indicate that the company has taken less time to collect its cash from its debtors, and has taken less time to process its inventory gradually.  More specifically, the account receivables management and inventory management of the company have been improved. </w:t>
      </w:r>
      <w:r w:rsidR="005A6332" w:rsidRPr="00023850">
        <w:rPr>
          <w:rFonts w:ascii="Arial" w:hAnsi="Arial" w:cs="Arial"/>
        </w:rPr>
        <w:t>Free Cash Flow of Home Depot</w:t>
      </w:r>
      <w:r w:rsidR="005A6332" w:rsidRPr="00023850">
        <w:rPr>
          <w:rFonts w:ascii="Arial" w:hAnsi="Arial" w:cs="Arial"/>
        </w:rPr>
        <w:t xml:space="preserve"> has been increased gradually over the recent time period</w:t>
      </w:r>
      <w:r>
        <w:rPr>
          <w:rFonts w:ascii="Arial" w:hAnsi="Arial" w:cs="Arial"/>
        </w:rPr>
        <w:t xml:space="preserve"> (Figure 4</w:t>
      </w:r>
      <w:r>
        <w:rPr>
          <w:rFonts w:ascii="Arial" w:hAnsi="Arial" w:cs="Arial"/>
        </w:rPr>
        <w:t>)</w:t>
      </w:r>
      <w:r w:rsidR="005A6332" w:rsidRPr="00023850">
        <w:rPr>
          <w:rFonts w:ascii="Arial" w:hAnsi="Arial" w:cs="Arial"/>
        </w:rPr>
        <w:t xml:space="preserve">. </w:t>
      </w:r>
    </w:p>
    <w:p w:rsidR="00992307" w:rsidRDefault="00992307" w:rsidP="00992307">
      <w:pPr>
        <w:jc w:val="center"/>
      </w:pPr>
      <w:r>
        <w:rPr>
          <w:noProof/>
        </w:rPr>
        <w:lastRenderedPageBreak/>
        <w:drawing>
          <wp:inline distT="0" distB="0" distL="0" distR="0" wp14:anchorId="41B49BDD" wp14:editId="62104E6E">
            <wp:extent cx="4866198" cy="2242268"/>
            <wp:effectExtent l="0" t="0" r="10795" b="5715"/>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992307" w:rsidRPr="00023850" w:rsidRDefault="00992307" w:rsidP="00023850">
      <w:pPr>
        <w:jc w:val="center"/>
        <w:rPr>
          <w:rFonts w:ascii="Arial" w:hAnsi="Arial" w:cs="Arial"/>
        </w:rPr>
      </w:pPr>
      <w:r w:rsidRPr="00023850">
        <w:rPr>
          <w:rFonts w:ascii="Arial" w:hAnsi="Arial" w:cs="Arial"/>
        </w:rPr>
        <w:t>Figure</w:t>
      </w:r>
      <w:r w:rsidR="00023850">
        <w:rPr>
          <w:rFonts w:ascii="Arial" w:hAnsi="Arial" w:cs="Arial"/>
        </w:rPr>
        <w:t xml:space="preserve"> 3</w:t>
      </w:r>
      <w:r w:rsidRPr="00023850">
        <w:rPr>
          <w:rFonts w:ascii="Arial" w:hAnsi="Arial" w:cs="Arial"/>
        </w:rPr>
        <w:t xml:space="preserve">: </w:t>
      </w:r>
      <w:r w:rsidRPr="00023850">
        <w:rPr>
          <w:rFonts w:ascii="Arial" w:hAnsi="Arial" w:cs="Arial"/>
        </w:rPr>
        <w:t>Current Ratio</w:t>
      </w:r>
      <w:r w:rsidRPr="00023850">
        <w:rPr>
          <w:rFonts w:ascii="Arial" w:hAnsi="Arial" w:cs="Arial"/>
        </w:rPr>
        <w:t xml:space="preserve">, </w:t>
      </w:r>
      <w:r w:rsidRPr="00023850">
        <w:rPr>
          <w:rFonts w:ascii="Arial" w:hAnsi="Arial" w:cs="Arial"/>
        </w:rPr>
        <w:t>Quick Ratio</w:t>
      </w:r>
      <w:r w:rsidRPr="00023850">
        <w:rPr>
          <w:rFonts w:ascii="Arial" w:hAnsi="Arial" w:cs="Arial"/>
        </w:rPr>
        <w:t xml:space="preserve">, </w:t>
      </w:r>
      <w:r w:rsidRPr="00023850">
        <w:rPr>
          <w:rFonts w:ascii="Arial" w:hAnsi="Arial" w:cs="Arial"/>
        </w:rPr>
        <w:t>and</w:t>
      </w:r>
      <w:r w:rsidRPr="00023850">
        <w:rPr>
          <w:rFonts w:ascii="Arial" w:hAnsi="Arial" w:cs="Arial"/>
        </w:rPr>
        <w:t xml:space="preserve"> </w:t>
      </w:r>
      <w:r w:rsidRPr="00023850">
        <w:rPr>
          <w:rFonts w:ascii="Arial" w:hAnsi="Arial" w:cs="Arial"/>
        </w:rPr>
        <w:t>Working Capital</w:t>
      </w:r>
      <w:r w:rsidRPr="00023850">
        <w:rPr>
          <w:rFonts w:ascii="Arial" w:hAnsi="Arial" w:cs="Arial"/>
        </w:rPr>
        <w:t xml:space="preserve"> of Home Depot</w:t>
      </w:r>
    </w:p>
    <w:p w:rsidR="00992307" w:rsidRDefault="00992307" w:rsidP="00992307">
      <w:pPr>
        <w:jc w:val="center"/>
      </w:pPr>
      <w:r>
        <w:rPr>
          <w:noProof/>
        </w:rPr>
        <w:drawing>
          <wp:inline distT="0" distB="0" distL="0" distR="0" wp14:anchorId="30E3FBA7" wp14:editId="0E2FCE63">
            <wp:extent cx="4961255" cy="2154804"/>
            <wp:effectExtent l="0" t="0" r="10795" b="1714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992307" w:rsidRPr="00023850" w:rsidRDefault="00992307" w:rsidP="00992307">
      <w:pPr>
        <w:jc w:val="center"/>
        <w:rPr>
          <w:rFonts w:ascii="Arial" w:hAnsi="Arial" w:cs="Arial"/>
        </w:rPr>
      </w:pPr>
      <w:r w:rsidRPr="00023850">
        <w:rPr>
          <w:rFonts w:ascii="Arial" w:hAnsi="Arial" w:cs="Arial"/>
        </w:rPr>
        <w:t>Figure</w:t>
      </w:r>
      <w:r w:rsidR="00023850">
        <w:rPr>
          <w:rFonts w:ascii="Arial" w:hAnsi="Arial" w:cs="Arial"/>
        </w:rPr>
        <w:t xml:space="preserve"> 4</w:t>
      </w:r>
      <w:r w:rsidRPr="00023850">
        <w:rPr>
          <w:rFonts w:ascii="Arial" w:hAnsi="Arial" w:cs="Arial"/>
        </w:rPr>
        <w:t xml:space="preserve">: </w:t>
      </w:r>
      <w:r w:rsidRPr="00023850">
        <w:rPr>
          <w:rFonts w:ascii="Arial" w:hAnsi="Arial" w:cs="Arial"/>
        </w:rPr>
        <w:t>Days Sales in Receivables, Days Sales in Inventory,</w:t>
      </w:r>
      <w:r w:rsidRPr="00023850">
        <w:rPr>
          <w:rFonts w:ascii="Arial" w:hAnsi="Arial" w:cs="Arial"/>
        </w:rPr>
        <w:t xml:space="preserve"> </w:t>
      </w:r>
      <w:r w:rsidRPr="00023850">
        <w:rPr>
          <w:rFonts w:ascii="Arial" w:hAnsi="Arial" w:cs="Arial"/>
        </w:rPr>
        <w:t>&amp;</w:t>
      </w:r>
      <w:r w:rsidRPr="00023850">
        <w:rPr>
          <w:rFonts w:ascii="Arial" w:hAnsi="Arial" w:cs="Arial"/>
        </w:rPr>
        <w:t xml:space="preserve"> </w:t>
      </w:r>
      <w:r w:rsidRPr="00023850">
        <w:rPr>
          <w:rFonts w:ascii="Arial" w:hAnsi="Arial" w:cs="Arial"/>
        </w:rPr>
        <w:t>Free Cash Flow</w:t>
      </w:r>
      <w:r w:rsidRPr="00023850">
        <w:rPr>
          <w:rFonts w:ascii="Arial" w:hAnsi="Arial" w:cs="Arial"/>
        </w:rPr>
        <w:t xml:space="preserve"> of Home Depot</w:t>
      </w:r>
    </w:p>
    <w:p w:rsidR="00023850" w:rsidRPr="00023850" w:rsidRDefault="00023850" w:rsidP="00023850">
      <w:pPr>
        <w:spacing w:after="0" w:line="480" w:lineRule="auto"/>
        <w:rPr>
          <w:rFonts w:ascii="Arial" w:hAnsi="Arial" w:cs="Arial"/>
          <w:sz w:val="8"/>
          <w:szCs w:val="8"/>
        </w:rPr>
      </w:pPr>
    </w:p>
    <w:p w:rsidR="00023850" w:rsidRPr="00023850" w:rsidRDefault="00023850" w:rsidP="00023850">
      <w:pPr>
        <w:spacing w:after="0" w:line="480" w:lineRule="auto"/>
        <w:rPr>
          <w:rFonts w:ascii="Arial" w:hAnsi="Arial" w:cs="Arial"/>
        </w:rPr>
      </w:pPr>
      <w:r>
        <w:rPr>
          <w:rFonts w:ascii="Arial" w:hAnsi="Arial" w:cs="Arial"/>
        </w:rPr>
        <w:t xml:space="preserve">         </w:t>
      </w:r>
      <w:r w:rsidRPr="00023850">
        <w:rPr>
          <w:rFonts w:ascii="Arial" w:hAnsi="Arial" w:cs="Arial"/>
        </w:rPr>
        <w:t xml:space="preserve">In overall, the liquidity condition of the Home Depot can be said as improved over the recent time period. </w:t>
      </w:r>
    </w:p>
    <w:p w:rsidR="00C24C9D" w:rsidRDefault="00C24C9D" w:rsidP="00B57F3D"/>
    <w:p w:rsidR="00C24C9D" w:rsidRPr="00CD789C" w:rsidRDefault="00C24C9D" w:rsidP="00CD789C">
      <w:pPr>
        <w:spacing w:after="0" w:line="480" w:lineRule="auto"/>
        <w:rPr>
          <w:rFonts w:ascii="Arial" w:hAnsi="Arial" w:cs="Arial"/>
          <w:b/>
        </w:rPr>
      </w:pPr>
      <w:r w:rsidRPr="00CD789C">
        <w:rPr>
          <w:rFonts w:ascii="Arial" w:hAnsi="Arial" w:cs="Arial"/>
          <w:b/>
        </w:rPr>
        <w:t>Solvency Analysis</w:t>
      </w:r>
    </w:p>
    <w:p w:rsidR="00705438" w:rsidRPr="00CD789C" w:rsidRDefault="00CD789C" w:rsidP="00CD789C">
      <w:pPr>
        <w:spacing w:after="0" w:line="480" w:lineRule="auto"/>
        <w:rPr>
          <w:rFonts w:ascii="Arial" w:hAnsi="Arial" w:cs="Arial"/>
        </w:rPr>
      </w:pPr>
      <w:r>
        <w:rPr>
          <w:rFonts w:ascii="Arial" w:hAnsi="Arial" w:cs="Arial"/>
        </w:rPr>
        <w:t xml:space="preserve">        </w:t>
      </w:r>
      <w:r w:rsidR="00C24C9D" w:rsidRPr="00CD789C">
        <w:rPr>
          <w:rFonts w:ascii="Arial" w:hAnsi="Arial" w:cs="Arial"/>
        </w:rPr>
        <w:t>Solvency</w:t>
      </w:r>
      <w:r w:rsidR="00C24C9D" w:rsidRPr="00CD789C">
        <w:rPr>
          <w:rFonts w:ascii="Arial" w:hAnsi="Arial" w:cs="Arial"/>
        </w:rPr>
        <w:t xml:space="preserve"> refers to the ability </w:t>
      </w:r>
      <w:r w:rsidR="00312144" w:rsidRPr="00CD789C">
        <w:rPr>
          <w:rFonts w:ascii="Arial" w:hAnsi="Arial" w:cs="Arial"/>
        </w:rPr>
        <w:t>of</w:t>
      </w:r>
      <w:r w:rsidR="00C24C9D" w:rsidRPr="00CD789C">
        <w:rPr>
          <w:rFonts w:ascii="Arial" w:hAnsi="Arial" w:cs="Arial"/>
        </w:rPr>
        <w:t xml:space="preserve"> the </w:t>
      </w:r>
      <w:r w:rsidR="00C24C9D" w:rsidRPr="00CD789C">
        <w:rPr>
          <w:rFonts w:ascii="Arial" w:hAnsi="Arial" w:cs="Arial"/>
        </w:rPr>
        <w:t>company to repay its long</w:t>
      </w:r>
      <w:r w:rsidR="00C24C9D" w:rsidRPr="00CD789C">
        <w:rPr>
          <w:rFonts w:ascii="Arial" w:hAnsi="Arial" w:cs="Arial"/>
        </w:rPr>
        <w:t xml:space="preserve"> term debts and obligations when these fall due.</w:t>
      </w:r>
      <w:r w:rsidR="00C24C9D" w:rsidRPr="00CD789C">
        <w:rPr>
          <w:rFonts w:ascii="Arial" w:hAnsi="Arial" w:cs="Arial"/>
        </w:rPr>
        <w:t xml:space="preserve"> Higher debt burden or leverage hampers the solvency of a company. The solvency of a </w:t>
      </w:r>
      <w:r w:rsidR="00312144" w:rsidRPr="00CD789C">
        <w:rPr>
          <w:rFonts w:ascii="Arial" w:hAnsi="Arial" w:cs="Arial"/>
        </w:rPr>
        <w:t>company</w:t>
      </w:r>
      <w:r w:rsidR="00C24C9D" w:rsidRPr="00CD789C">
        <w:rPr>
          <w:rFonts w:ascii="Arial" w:hAnsi="Arial" w:cs="Arial"/>
        </w:rPr>
        <w:t xml:space="preserve"> can be measured in terms of debt ratio, debt to equity ratio </w:t>
      </w:r>
      <w:proofErr w:type="spellStart"/>
      <w:r w:rsidR="00C24C9D" w:rsidRPr="00CD789C">
        <w:rPr>
          <w:rFonts w:ascii="Arial" w:hAnsi="Arial" w:cs="Arial"/>
        </w:rPr>
        <w:t>etc</w:t>
      </w:r>
      <w:proofErr w:type="spellEnd"/>
      <w:r>
        <w:rPr>
          <w:rFonts w:ascii="Arial" w:hAnsi="Arial" w:cs="Arial"/>
        </w:rPr>
        <w:t xml:space="preserve"> </w:t>
      </w:r>
      <w:sdt>
        <w:sdtPr>
          <w:rPr>
            <w:rFonts w:ascii="Arial" w:hAnsi="Arial" w:cs="Arial"/>
          </w:rPr>
          <w:id w:val="1832712443"/>
          <w:citation/>
        </w:sdtPr>
        <w:sdtContent>
          <w:r>
            <w:rPr>
              <w:rFonts w:ascii="Arial" w:hAnsi="Arial" w:cs="Arial"/>
            </w:rPr>
            <w:fldChar w:fldCharType="begin"/>
          </w:r>
          <w:r>
            <w:rPr>
              <w:rFonts w:ascii="Arial" w:hAnsi="Arial" w:cs="Arial"/>
            </w:rPr>
            <w:instrText xml:space="preserve"> CITATION MyA14 \l 1033 </w:instrText>
          </w:r>
          <w:r>
            <w:rPr>
              <w:rFonts w:ascii="Arial" w:hAnsi="Arial" w:cs="Arial"/>
            </w:rPr>
            <w:fldChar w:fldCharType="separate"/>
          </w:r>
          <w:r w:rsidRPr="00CD789C">
            <w:rPr>
              <w:rFonts w:ascii="Arial" w:hAnsi="Arial" w:cs="Arial"/>
              <w:noProof/>
            </w:rPr>
            <w:t>(My Accounting Course, 2014)</w:t>
          </w:r>
          <w:r>
            <w:rPr>
              <w:rFonts w:ascii="Arial" w:hAnsi="Arial" w:cs="Arial"/>
            </w:rPr>
            <w:fldChar w:fldCharType="end"/>
          </w:r>
        </w:sdtContent>
      </w:sdt>
      <w:r w:rsidR="00C24C9D" w:rsidRPr="00CD789C">
        <w:rPr>
          <w:rFonts w:ascii="Arial" w:hAnsi="Arial" w:cs="Arial"/>
        </w:rPr>
        <w:t xml:space="preserve">. </w:t>
      </w:r>
      <w:r w:rsidR="00312144" w:rsidRPr="00CD789C">
        <w:rPr>
          <w:rFonts w:ascii="Arial" w:hAnsi="Arial" w:cs="Arial"/>
        </w:rPr>
        <w:t xml:space="preserve">The </w:t>
      </w:r>
      <w:r w:rsidR="00312144" w:rsidRPr="00CD789C">
        <w:rPr>
          <w:rFonts w:ascii="Arial" w:hAnsi="Arial" w:cs="Arial"/>
        </w:rPr>
        <w:t>lower</w:t>
      </w:r>
      <w:r w:rsidR="00312144" w:rsidRPr="00CD789C">
        <w:rPr>
          <w:rFonts w:ascii="Arial" w:hAnsi="Arial" w:cs="Arial"/>
        </w:rPr>
        <w:t xml:space="preserve"> the value of these ratios, the </w:t>
      </w:r>
      <w:r w:rsidR="00312144" w:rsidRPr="00CD789C">
        <w:rPr>
          <w:rFonts w:ascii="Arial" w:hAnsi="Arial" w:cs="Arial"/>
        </w:rPr>
        <w:t xml:space="preserve">lower the debt burden &amp; </w:t>
      </w:r>
      <w:r w:rsidR="00312144" w:rsidRPr="00CD789C">
        <w:rPr>
          <w:rFonts w:ascii="Arial" w:hAnsi="Arial" w:cs="Arial"/>
        </w:rPr>
        <w:lastRenderedPageBreak/>
        <w:t xml:space="preserve">better the </w:t>
      </w:r>
      <w:r w:rsidR="00312144" w:rsidRPr="00CD789C">
        <w:rPr>
          <w:rFonts w:ascii="Arial" w:hAnsi="Arial" w:cs="Arial"/>
        </w:rPr>
        <w:t>solvency</w:t>
      </w:r>
      <w:r w:rsidR="00312144" w:rsidRPr="00CD789C">
        <w:rPr>
          <w:rFonts w:ascii="Arial" w:hAnsi="Arial" w:cs="Arial"/>
        </w:rPr>
        <w:t xml:space="preserve"> </w:t>
      </w:r>
      <w:r w:rsidR="00312144" w:rsidRPr="00CD789C">
        <w:rPr>
          <w:rFonts w:ascii="Arial" w:hAnsi="Arial" w:cs="Arial"/>
        </w:rPr>
        <w:t>as well as long</w:t>
      </w:r>
      <w:r w:rsidR="00312144" w:rsidRPr="00CD789C">
        <w:rPr>
          <w:rFonts w:ascii="Arial" w:hAnsi="Arial" w:cs="Arial"/>
        </w:rPr>
        <w:t xml:space="preserve"> term debts and obligations repayment </w:t>
      </w:r>
      <w:r w:rsidR="00312144" w:rsidRPr="00CD789C">
        <w:rPr>
          <w:rFonts w:ascii="Arial" w:hAnsi="Arial" w:cs="Arial"/>
        </w:rPr>
        <w:t>capacity</w:t>
      </w:r>
      <w:r w:rsidR="00312144" w:rsidRPr="00CD789C">
        <w:rPr>
          <w:rFonts w:ascii="Arial" w:hAnsi="Arial" w:cs="Arial"/>
        </w:rPr>
        <w:t xml:space="preserve"> of the company</w:t>
      </w:r>
      <w:r w:rsidR="00312144" w:rsidRPr="00CD789C">
        <w:rPr>
          <w:rFonts w:ascii="Arial" w:hAnsi="Arial" w:cs="Arial"/>
        </w:rPr>
        <w:t>,</w:t>
      </w:r>
      <w:r w:rsidR="00312144" w:rsidRPr="00CD789C">
        <w:rPr>
          <w:rFonts w:ascii="Arial" w:hAnsi="Arial" w:cs="Arial"/>
        </w:rPr>
        <w:t xml:space="preserve"> and vice versa.</w:t>
      </w:r>
      <w:r w:rsidR="00312144" w:rsidRPr="00CD789C">
        <w:rPr>
          <w:rFonts w:ascii="Arial" w:hAnsi="Arial" w:cs="Arial"/>
        </w:rPr>
        <w:t xml:space="preserve"> </w:t>
      </w:r>
    </w:p>
    <w:p w:rsidR="00705438" w:rsidRPr="00CD789C" w:rsidRDefault="00CD789C" w:rsidP="00CD789C">
      <w:pPr>
        <w:spacing w:after="0" w:line="480" w:lineRule="auto"/>
        <w:rPr>
          <w:rFonts w:ascii="Arial" w:hAnsi="Arial" w:cs="Arial"/>
        </w:rPr>
      </w:pPr>
      <w:r>
        <w:rPr>
          <w:rFonts w:ascii="Arial" w:hAnsi="Arial" w:cs="Arial"/>
        </w:rPr>
        <w:t xml:space="preserve">        </w:t>
      </w:r>
      <w:r w:rsidR="00705438" w:rsidRPr="00CD789C">
        <w:rPr>
          <w:rFonts w:ascii="Arial" w:hAnsi="Arial" w:cs="Arial"/>
        </w:rPr>
        <w:t>Home Depot is getting highly leveraged over the time period. The fact is implied from the increased trend of debt to equity ratio, and debt ratio of the company</w:t>
      </w:r>
      <w:r>
        <w:rPr>
          <w:rFonts w:ascii="Arial" w:hAnsi="Arial" w:cs="Arial"/>
        </w:rPr>
        <w:t xml:space="preserve"> (Figure 5)</w:t>
      </w:r>
      <w:r w:rsidR="00705438" w:rsidRPr="00CD789C">
        <w:rPr>
          <w:rFonts w:ascii="Arial" w:hAnsi="Arial" w:cs="Arial"/>
        </w:rPr>
        <w:t xml:space="preserve">. At the end of 2015, total debt to equity ratio of the company was 2.08, and 0.48 respectively. </w:t>
      </w:r>
      <w:r w:rsidR="00772519" w:rsidRPr="00CD789C">
        <w:rPr>
          <w:rFonts w:ascii="Arial" w:hAnsi="Arial" w:cs="Arial"/>
        </w:rPr>
        <w:t xml:space="preserve">Over the recent time period, the company has undertaken policy of distributing return to the </w:t>
      </w:r>
      <w:r w:rsidR="00AC1C32" w:rsidRPr="00CD789C">
        <w:rPr>
          <w:rFonts w:ascii="Arial" w:hAnsi="Arial" w:cs="Arial"/>
        </w:rPr>
        <w:t xml:space="preserve">shareholders through share repurchase. Due to increase of repurchase of shares, and increase of debt burden, the proportion of debt as compared to equity has been increased. The more dependency on the debt has been created high leverage as well as financial risk for the company. </w:t>
      </w:r>
      <w:r w:rsidR="008A0F89" w:rsidRPr="00CD789C">
        <w:rPr>
          <w:rFonts w:ascii="Arial" w:hAnsi="Arial" w:cs="Arial"/>
        </w:rPr>
        <w:t xml:space="preserve">With the increase debt of the company, the earnings of the company has been increased. This means that the company has actually undertaken the opportunity of high leverage to increase return for the shareholders. Thus, the higher leverage of the company is not a risk to the company rather a mechanism to gear up earnings for the shareholders. </w:t>
      </w:r>
    </w:p>
    <w:p w:rsidR="00705438" w:rsidRDefault="00705438" w:rsidP="00AC1C32">
      <w:pPr>
        <w:jc w:val="center"/>
      </w:pPr>
      <w:r>
        <w:rPr>
          <w:noProof/>
        </w:rPr>
        <w:drawing>
          <wp:inline distT="0" distB="0" distL="0" distR="0" wp14:anchorId="06F61B75" wp14:editId="4011713E">
            <wp:extent cx="4389120" cy="1963972"/>
            <wp:effectExtent l="0" t="0" r="11430" b="1778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05438" w:rsidRPr="00CD789C" w:rsidRDefault="00705438" w:rsidP="00705438">
      <w:pPr>
        <w:jc w:val="center"/>
        <w:rPr>
          <w:rFonts w:ascii="Arial" w:hAnsi="Arial" w:cs="Arial"/>
        </w:rPr>
      </w:pPr>
      <w:r w:rsidRPr="00CD789C">
        <w:rPr>
          <w:rFonts w:ascii="Arial" w:hAnsi="Arial" w:cs="Arial"/>
        </w:rPr>
        <w:t>Figure</w:t>
      </w:r>
      <w:r w:rsidR="00CD789C" w:rsidRPr="00CD789C">
        <w:rPr>
          <w:rFonts w:ascii="Arial" w:hAnsi="Arial" w:cs="Arial"/>
        </w:rPr>
        <w:t xml:space="preserve"> 5</w:t>
      </w:r>
      <w:r w:rsidRPr="00CD789C">
        <w:rPr>
          <w:rFonts w:ascii="Arial" w:hAnsi="Arial" w:cs="Arial"/>
        </w:rPr>
        <w:t>: Debt to Equity, and Debt Ratio of Home Depot</w:t>
      </w:r>
    </w:p>
    <w:p w:rsidR="00CD789C" w:rsidRPr="00CD789C" w:rsidRDefault="00CD789C" w:rsidP="00CD789C">
      <w:pPr>
        <w:spacing w:after="0" w:line="480" w:lineRule="auto"/>
        <w:rPr>
          <w:rFonts w:ascii="Arial" w:hAnsi="Arial" w:cs="Arial"/>
          <w:sz w:val="6"/>
          <w:szCs w:val="6"/>
        </w:rPr>
      </w:pPr>
    </w:p>
    <w:p w:rsidR="00312144" w:rsidRPr="00CD789C" w:rsidRDefault="00CD789C" w:rsidP="00CD789C">
      <w:pPr>
        <w:spacing w:after="0" w:line="480" w:lineRule="auto"/>
        <w:rPr>
          <w:rFonts w:ascii="Arial" w:hAnsi="Arial" w:cs="Arial"/>
        </w:rPr>
      </w:pPr>
      <w:r>
        <w:rPr>
          <w:rFonts w:ascii="Arial" w:hAnsi="Arial" w:cs="Arial"/>
        </w:rPr>
        <w:t xml:space="preserve">        </w:t>
      </w:r>
      <w:r w:rsidRPr="00CD789C">
        <w:rPr>
          <w:rFonts w:ascii="Arial" w:hAnsi="Arial" w:cs="Arial"/>
        </w:rPr>
        <w:t xml:space="preserve">In overall, the solvency condition of the Home Depot can be said as suitable for the gearing up earnings of the company over the recent time period. </w:t>
      </w:r>
    </w:p>
    <w:p w:rsidR="00312144" w:rsidRPr="00CD789C" w:rsidRDefault="00312144" w:rsidP="00CD789C">
      <w:pPr>
        <w:spacing w:after="0" w:line="480" w:lineRule="auto"/>
        <w:rPr>
          <w:rFonts w:ascii="Arial" w:hAnsi="Arial" w:cs="Arial"/>
          <w:b/>
        </w:rPr>
      </w:pPr>
      <w:r w:rsidRPr="00CD789C">
        <w:rPr>
          <w:rFonts w:ascii="Arial" w:hAnsi="Arial" w:cs="Arial"/>
          <w:b/>
        </w:rPr>
        <w:t>Stock Performance Analysis</w:t>
      </w:r>
    </w:p>
    <w:p w:rsidR="00096845" w:rsidRPr="00CD789C" w:rsidRDefault="00CD789C" w:rsidP="00CD789C">
      <w:pPr>
        <w:spacing w:after="0" w:line="480" w:lineRule="auto"/>
        <w:rPr>
          <w:rFonts w:ascii="Arial" w:hAnsi="Arial" w:cs="Arial"/>
        </w:rPr>
      </w:pPr>
      <w:r>
        <w:rPr>
          <w:rFonts w:ascii="Arial" w:hAnsi="Arial" w:cs="Arial"/>
        </w:rPr>
        <w:t xml:space="preserve">        </w:t>
      </w:r>
      <w:r w:rsidR="00312144" w:rsidRPr="00CD789C">
        <w:rPr>
          <w:rFonts w:ascii="Arial" w:hAnsi="Arial" w:cs="Arial"/>
        </w:rPr>
        <w:t xml:space="preserve">Stock performance refers to the </w:t>
      </w:r>
      <w:r w:rsidR="00D325AE" w:rsidRPr="00CD789C">
        <w:rPr>
          <w:rFonts w:ascii="Arial" w:hAnsi="Arial" w:cs="Arial"/>
        </w:rPr>
        <w:t>performance</w:t>
      </w:r>
      <w:r w:rsidR="00096845" w:rsidRPr="00CD789C">
        <w:rPr>
          <w:rFonts w:ascii="Arial" w:hAnsi="Arial" w:cs="Arial"/>
        </w:rPr>
        <w:t xml:space="preserve"> of the share </w:t>
      </w:r>
      <w:r w:rsidR="00D325AE" w:rsidRPr="00CD789C">
        <w:rPr>
          <w:rFonts w:ascii="Arial" w:hAnsi="Arial" w:cs="Arial"/>
        </w:rPr>
        <w:t>of</w:t>
      </w:r>
      <w:r w:rsidR="00096845" w:rsidRPr="00CD789C">
        <w:rPr>
          <w:rFonts w:ascii="Arial" w:hAnsi="Arial" w:cs="Arial"/>
        </w:rPr>
        <w:t xml:space="preserve"> the company in terms of price and return to the investors. </w:t>
      </w:r>
      <w:r w:rsidR="00096845" w:rsidRPr="00CD789C">
        <w:rPr>
          <w:rFonts w:ascii="Arial" w:hAnsi="Arial" w:cs="Arial"/>
        </w:rPr>
        <w:t xml:space="preserve">The </w:t>
      </w:r>
      <w:r w:rsidR="00096845" w:rsidRPr="00CD789C">
        <w:rPr>
          <w:rFonts w:ascii="Arial" w:hAnsi="Arial" w:cs="Arial"/>
        </w:rPr>
        <w:t>stock performance</w:t>
      </w:r>
      <w:r w:rsidR="00096845" w:rsidRPr="00CD789C">
        <w:rPr>
          <w:rFonts w:ascii="Arial" w:hAnsi="Arial" w:cs="Arial"/>
        </w:rPr>
        <w:t xml:space="preserve"> of a company can be measured in terms of </w:t>
      </w:r>
      <w:r w:rsidR="00096845" w:rsidRPr="00CD789C">
        <w:rPr>
          <w:rFonts w:ascii="Arial" w:hAnsi="Arial" w:cs="Arial"/>
        </w:rPr>
        <w:lastRenderedPageBreak/>
        <w:t xml:space="preserve">Price Earnings (P/E) ratio, </w:t>
      </w:r>
      <w:r w:rsidR="00D325AE" w:rsidRPr="00CD789C">
        <w:rPr>
          <w:rFonts w:ascii="Arial" w:hAnsi="Arial" w:cs="Arial"/>
        </w:rPr>
        <w:t>Divided</w:t>
      </w:r>
      <w:r w:rsidR="00096845" w:rsidRPr="00CD789C">
        <w:rPr>
          <w:rFonts w:ascii="Arial" w:hAnsi="Arial" w:cs="Arial"/>
        </w:rPr>
        <w:t xml:space="preserve"> Yield, </w:t>
      </w:r>
      <w:r w:rsidR="00D325AE" w:rsidRPr="00CD789C">
        <w:rPr>
          <w:rFonts w:ascii="Arial" w:hAnsi="Arial" w:cs="Arial"/>
        </w:rPr>
        <w:t>Earnings</w:t>
      </w:r>
      <w:r w:rsidR="00096845" w:rsidRPr="00CD789C">
        <w:rPr>
          <w:rFonts w:ascii="Arial" w:hAnsi="Arial" w:cs="Arial"/>
        </w:rPr>
        <w:t xml:space="preserve"> </w:t>
      </w:r>
      <w:proofErr w:type="gramStart"/>
      <w:r w:rsidR="00096845" w:rsidRPr="00CD789C">
        <w:rPr>
          <w:rFonts w:ascii="Arial" w:hAnsi="Arial" w:cs="Arial"/>
        </w:rPr>
        <w:t>Per</w:t>
      </w:r>
      <w:proofErr w:type="gramEnd"/>
      <w:r w:rsidR="00096845" w:rsidRPr="00CD789C">
        <w:rPr>
          <w:rFonts w:ascii="Arial" w:hAnsi="Arial" w:cs="Arial"/>
        </w:rPr>
        <w:t xml:space="preserve"> Share (EPS) </w:t>
      </w:r>
      <w:proofErr w:type="spellStart"/>
      <w:r w:rsidR="00096845" w:rsidRPr="00CD789C">
        <w:rPr>
          <w:rFonts w:ascii="Arial" w:hAnsi="Arial" w:cs="Arial"/>
        </w:rPr>
        <w:t>etc</w:t>
      </w:r>
      <w:proofErr w:type="spellEnd"/>
      <w:r>
        <w:rPr>
          <w:rFonts w:ascii="Arial" w:hAnsi="Arial" w:cs="Arial"/>
        </w:rPr>
        <w:t xml:space="preserve"> </w:t>
      </w:r>
      <w:sdt>
        <w:sdtPr>
          <w:rPr>
            <w:rFonts w:ascii="Arial" w:hAnsi="Arial" w:cs="Arial"/>
          </w:rPr>
          <w:id w:val="1351378738"/>
          <w:citation/>
        </w:sdtPr>
        <w:sdtContent>
          <w:r>
            <w:rPr>
              <w:rFonts w:ascii="Arial" w:hAnsi="Arial" w:cs="Arial"/>
            </w:rPr>
            <w:fldChar w:fldCharType="begin"/>
          </w:r>
          <w:r>
            <w:rPr>
              <w:rFonts w:ascii="Arial" w:hAnsi="Arial" w:cs="Arial"/>
            </w:rPr>
            <w:instrText xml:space="preserve"> CITATION MyA14 \l 1033 </w:instrText>
          </w:r>
          <w:r>
            <w:rPr>
              <w:rFonts w:ascii="Arial" w:hAnsi="Arial" w:cs="Arial"/>
            </w:rPr>
            <w:fldChar w:fldCharType="separate"/>
          </w:r>
          <w:r w:rsidRPr="00CD789C">
            <w:rPr>
              <w:rFonts w:ascii="Arial" w:hAnsi="Arial" w:cs="Arial"/>
              <w:noProof/>
            </w:rPr>
            <w:t>(My Accounting Course, 2014)</w:t>
          </w:r>
          <w:r>
            <w:rPr>
              <w:rFonts w:ascii="Arial" w:hAnsi="Arial" w:cs="Arial"/>
            </w:rPr>
            <w:fldChar w:fldCharType="end"/>
          </w:r>
        </w:sdtContent>
      </w:sdt>
      <w:r w:rsidR="00096845" w:rsidRPr="00CD789C">
        <w:rPr>
          <w:rFonts w:ascii="Arial" w:hAnsi="Arial" w:cs="Arial"/>
        </w:rPr>
        <w:t>.</w:t>
      </w:r>
      <w:r w:rsidR="00096845" w:rsidRPr="00CD789C">
        <w:rPr>
          <w:rFonts w:ascii="Arial" w:hAnsi="Arial" w:cs="Arial"/>
        </w:rPr>
        <w:t xml:space="preserve"> </w:t>
      </w:r>
      <w:r w:rsidR="00096845" w:rsidRPr="00CD789C">
        <w:rPr>
          <w:rFonts w:ascii="Arial" w:hAnsi="Arial" w:cs="Arial"/>
        </w:rPr>
        <w:t xml:space="preserve">The higher the value of these ratios, the better the </w:t>
      </w:r>
      <w:r w:rsidR="00096845" w:rsidRPr="00CD789C">
        <w:rPr>
          <w:rFonts w:ascii="Arial" w:hAnsi="Arial" w:cs="Arial"/>
        </w:rPr>
        <w:t xml:space="preserve">stock performance of the company in the market, </w:t>
      </w:r>
      <w:r w:rsidR="00096845" w:rsidRPr="00CD789C">
        <w:rPr>
          <w:rFonts w:ascii="Arial" w:hAnsi="Arial" w:cs="Arial"/>
        </w:rPr>
        <w:t>and vice versa.</w:t>
      </w:r>
    </w:p>
    <w:p w:rsidR="00234BBA" w:rsidRPr="00CD789C" w:rsidRDefault="00CD789C" w:rsidP="00CD789C">
      <w:pPr>
        <w:spacing w:after="0" w:line="480" w:lineRule="auto"/>
        <w:rPr>
          <w:rFonts w:ascii="Arial" w:hAnsi="Arial" w:cs="Arial"/>
        </w:rPr>
      </w:pPr>
      <w:r>
        <w:rPr>
          <w:rFonts w:ascii="Arial" w:hAnsi="Arial" w:cs="Arial"/>
        </w:rPr>
        <w:t xml:space="preserve">        </w:t>
      </w:r>
      <w:r w:rsidR="00234BBA" w:rsidRPr="00CD789C">
        <w:rPr>
          <w:rFonts w:ascii="Arial" w:hAnsi="Arial" w:cs="Arial"/>
        </w:rPr>
        <w:t xml:space="preserve">Both </w:t>
      </w:r>
      <w:r w:rsidR="00234BBA" w:rsidRPr="00CD789C">
        <w:rPr>
          <w:rFonts w:ascii="Arial" w:hAnsi="Arial" w:cs="Arial"/>
        </w:rPr>
        <w:t xml:space="preserve">Dividends </w:t>
      </w:r>
      <w:proofErr w:type="gramStart"/>
      <w:r w:rsidR="00234BBA" w:rsidRPr="00CD789C">
        <w:rPr>
          <w:rFonts w:ascii="Arial" w:hAnsi="Arial" w:cs="Arial"/>
        </w:rPr>
        <w:t>Per</w:t>
      </w:r>
      <w:proofErr w:type="gramEnd"/>
      <w:r w:rsidR="00234BBA" w:rsidRPr="00CD789C">
        <w:rPr>
          <w:rFonts w:ascii="Arial" w:hAnsi="Arial" w:cs="Arial"/>
        </w:rPr>
        <w:t xml:space="preserve"> Share, </w:t>
      </w:r>
      <w:r w:rsidR="00234BBA" w:rsidRPr="00CD789C">
        <w:rPr>
          <w:rFonts w:ascii="Arial" w:hAnsi="Arial" w:cs="Arial"/>
        </w:rPr>
        <w:t xml:space="preserve">and </w:t>
      </w:r>
      <w:r w:rsidR="00234BBA" w:rsidRPr="00CD789C">
        <w:rPr>
          <w:rFonts w:ascii="Arial" w:hAnsi="Arial" w:cs="Arial"/>
        </w:rPr>
        <w:t>Earnings Per Share</w:t>
      </w:r>
      <w:r w:rsidR="00234BBA" w:rsidRPr="00CD789C">
        <w:rPr>
          <w:rFonts w:ascii="Arial" w:hAnsi="Arial" w:cs="Arial"/>
        </w:rPr>
        <w:t xml:space="preserve"> of the </w:t>
      </w:r>
      <w:r w:rsidR="00234BBA" w:rsidRPr="00CD789C">
        <w:rPr>
          <w:rFonts w:ascii="Arial" w:hAnsi="Arial" w:cs="Arial"/>
        </w:rPr>
        <w:t>Home Depot</w:t>
      </w:r>
      <w:r w:rsidR="00234BBA" w:rsidRPr="00CD789C">
        <w:rPr>
          <w:rFonts w:ascii="Arial" w:hAnsi="Arial" w:cs="Arial"/>
        </w:rPr>
        <w:t xml:space="preserve"> has been consistently increased over the recent time period</w:t>
      </w:r>
      <w:r>
        <w:rPr>
          <w:rFonts w:ascii="Arial" w:hAnsi="Arial" w:cs="Arial"/>
        </w:rPr>
        <w:t xml:space="preserve"> (Figure 6)</w:t>
      </w:r>
      <w:r w:rsidR="00234BBA" w:rsidRPr="00CD789C">
        <w:rPr>
          <w:rFonts w:ascii="Arial" w:hAnsi="Arial" w:cs="Arial"/>
        </w:rPr>
        <w:t xml:space="preserve">. Increase </w:t>
      </w:r>
      <w:r w:rsidR="00234BBA" w:rsidRPr="00CD789C">
        <w:rPr>
          <w:rFonts w:ascii="Arial" w:hAnsi="Arial" w:cs="Arial"/>
        </w:rPr>
        <w:t xml:space="preserve">Dividends </w:t>
      </w:r>
      <w:proofErr w:type="gramStart"/>
      <w:r w:rsidR="00234BBA" w:rsidRPr="00CD789C">
        <w:rPr>
          <w:rFonts w:ascii="Arial" w:hAnsi="Arial" w:cs="Arial"/>
        </w:rPr>
        <w:t>Per</w:t>
      </w:r>
      <w:proofErr w:type="gramEnd"/>
      <w:r w:rsidR="00234BBA" w:rsidRPr="00CD789C">
        <w:rPr>
          <w:rFonts w:ascii="Arial" w:hAnsi="Arial" w:cs="Arial"/>
        </w:rPr>
        <w:t xml:space="preserve"> Share, and Earnings Per Share</w:t>
      </w:r>
      <w:r w:rsidR="00234BBA" w:rsidRPr="00CD789C">
        <w:rPr>
          <w:rFonts w:ascii="Arial" w:hAnsi="Arial" w:cs="Arial"/>
        </w:rPr>
        <w:t xml:space="preserve"> is the reflection of the improved market performance of the company. In the market, the share of the Home Depot has been highly valued by the investors. The issue is apparent from the trend of share price of the company. The growth of the share price of the company over the last four years was very high</w:t>
      </w:r>
      <w:r>
        <w:rPr>
          <w:rFonts w:ascii="Arial" w:hAnsi="Arial" w:cs="Arial"/>
        </w:rPr>
        <w:t xml:space="preserve"> </w:t>
      </w:r>
      <w:r>
        <w:rPr>
          <w:rFonts w:ascii="Arial" w:hAnsi="Arial" w:cs="Arial"/>
        </w:rPr>
        <w:t>(Figure 6)</w:t>
      </w:r>
      <w:r w:rsidR="00234BBA" w:rsidRPr="00CD789C">
        <w:rPr>
          <w:rFonts w:ascii="Arial" w:hAnsi="Arial" w:cs="Arial"/>
        </w:rPr>
        <w:t xml:space="preserve">. </w:t>
      </w:r>
    </w:p>
    <w:p w:rsidR="005A1051" w:rsidRPr="00CD789C" w:rsidRDefault="00CD789C" w:rsidP="00CD789C">
      <w:pPr>
        <w:spacing w:after="0" w:line="480" w:lineRule="auto"/>
        <w:rPr>
          <w:rFonts w:ascii="Arial" w:hAnsi="Arial" w:cs="Arial"/>
        </w:rPr>
      </w:pPr>
      <w:r>
        <w:rPr>
          <w:rFonts w:ascii="Arial" w:hAnsi="Arial" w:cs="Arial"/>
        </w:rPr>
        <w:t xml:space="preserve">         </w:t>
      </w:r>
      <w:r w:rsidR="005A1051" w:rsidRPr="00CD789C">
        <w:rPr>
          <w:rFonts w:ascii="Arial" w:hAnsi="Arial" w:cs="Arial"/>
        </w:rPr>
        <w:t xml:space="preserve">Dividends Yield, </w:t>
      </w:r>
      <w:r w:rsidR="005A1051" w:rsidRPr="00CD789C">
        <w:rPr>
          <w:rFonts w:ascii="Arial" w:hAnsi="Arial" w:cs="Arial"/>
        </w:rPr>
        <w:t xml:space="preserve">and </w:t>
      </w:r>
      <w:r w:rsidR="005A1051" w:rsidRPr="00CD789C">
        <w:rPr>
          <w:rFonts w:ascii="Arial" w:hAnsi="Arial" w:cs="Arial"/>
        </w:rPr>
        <w:t>Dividend Payout</w:t>
      </w:r>
      <w:r w:rsidR="005A1051" w:rsidRPr="00CD789C">
        <w:rPr>
          <w:rFonts w:ascii="Arial" w:hAnsi="Arial" w:cs="Arial"/>
        </w:rPr>
        <w:t xml:space="preserve"> of the Home Depot have been decreased over the recent time period</w:t>
      </w:r>
      <w:r>
        <w:rPr>
          <w:rFonts w:ascii="Arial" w:hAnsi="Arial" w:cs="Arial"/>
        </w:rPr>
        <w:t xml:space="preserve"> </w:t>
      </w:r>
      <w:r>
        <w:rPr>
          <w:rFonts w:ascii="Arial" w:hAnsi="Arial" w:cs="Arial"/>
        </w:rPr>
        <w:t>(</w:t>
      </w:r>
      <w:r>
        <w:rPr>
          <w:rFonts w:ascii="Arial" w:hAnsi="Arial" w:cs="Arial"/>
        </w:rPr>
        <w:t>Figure 7</w:t>
      </w:r>
      <w:r>
        <w:rPr>
          <w:rFonts w:ascii="Arial" w:hAnsi="Arial" w:cs="Arial"/>
        </w:rPr>
        <w:t>)</w:t>
      </w:r>
      <w:r w:rsidR="005A1051" w:rsidRPr="00CD789C">
        <w:rPr>
          <w:rFonts w:ascii="Arial" w:hAnsi="Arial" w:cs="Arial"/>
        </w:rPr>
        <w:t>. Decrease of dividend yield is mainly attributed by the high share price of the company. Decrease of dividends payout is mainly due to the change of payout policy of the company. Home Depot has provided return to the investors through share repurchase rather than cash dividends</w:t>
      </w:r>
      <w:r w:rsidR="00472650" w:rsidRPr="00CD789C">
        <w:rPr>
          <w:rFonts w:ascii="Arial" w:hAnsi="Arial" w:cs="Arial"/>
        </w:rPr>
        <w:t xml:space="preserve">. </w:t>
      </w:r>
      <w:r w:rsidR="005A1051" w:rsidRPr="00CD789C">
        <w:rPr>
          <w:rFonts w:ascii="Arial" w:hAnsi="Arial" w:cs="Arial"/>
        </w:rPr>
        <w:t>P/E Ratio of Home Depot</w:t>
      </w:r>
      <w:r w:rsidR="005A1051" w:rsidRPr="00CD789C">
        <w:rPr>
          <w:rFonts w:ascii="Arial" w:hAnsi="Arial" w:cs="Arial"/>
        </w:rPr>
        <w:t xml:space="preserve"> </w:t>
      </w:r>
      <w:r w:rsidR="00472650" w:rsidRPr="00CD789C">
        <w:rPr>
          <w:rFonts w:ascii="Arial" w:hAnsi="Arial" w:cs="Arial"/>
        </w:rPr>
        <w:t>has</w:t>
      </w:r>
      <w:r w:rsidR="005A1051" w:rsidRPr="00CD789C">
        <w:rPr>
          <w:rFonts w:ascii="Arial" w:hAnsi="Arial" w:cs="Arial"/>
        </w:rPr>
        <w:t xml:space="preserve"> been increased over the recent time period</w:t>
      </w:r>
      <w:r>
        <w:rPr>
          <w:rFonts w:ascii="Arial" w:hAnsi="Arial" w:cs="Arial"/>
        </w:rPr>
        <w:t xml:space="preserve"> </w:t>
      </w:r>
      <w:r>
        <w:rPr>
          <w:rFonts w:ascii="Arial" w:hAnsi="Arial" w:cs="Arial"/>
        </w:rPr>
        <w:t>(</w:t>
      </w:r>
      <w:r>
        <w:rPr>
          <w:rFonts w:ascii="Arial" w:hAnsi="Arial" w:cs="Arial"/>
        </w:rPr>
        <w:t>Figure 7</w:t>
      </w:r>
      <w:r>
        <w:rPr>
          <w:rFonts w:ascii="Arial" w:hAnsi="Arial" w:cs="Arial"/>
        </w:rPr>
        <w:t>)</w:t>
      </w:r>
      <w:r w:rsidR="005A1051" w:rsidRPr="00CD789C">
        <w:rPr>
          <w:rFonts w:ascii="Arial" w:hAnsi="Arial" w:cs="Arial"/>
        </w:rPr>
        <w:t xml:space="preserve">. This means that the </w:t>
      </w:r>
      <w:r w:rsidR="00472650" w:rsidRPr="00CD789C">
        <w:rPr>
          <w:rFonts w:ascii="Arial" w:hAnsi="Arial" w:cs="Arial"/>
        </w:rPr>
        <w:t>shareholders</w:t>
      </w:r>
      <w:r w:rsidR="005A1051" w:rsidRPr="00CD789C">
        <w:rPr>
          <w:rFonts w:ascii="Arial" w:hAnsi="Arial" w:cs="Arial"/>
        </w:rPr>
        <w:t xml:space="preserve"> of the company was willing to provide higher price against the earnings of the company. </w:t>
      </w:r>
    </w:p>
    <w:p w:rsidR="00312144" w:rsidRDefault="00DF7B14" w:rsidP="00DF7B14">
      <w:pPr>
        <w:jc w:val="center"/>
      </w:pPr>
      <w:r>
        <w:rPr>
          <w:noProof/>
        </w:rPr>
        <w:drawing>
          <wp:inline distT="0" distB="0" distL="0" distR="0" wp14:anchorId="47A6970F" wp14:editId="17AC6D58">
            <wp:extent cx="4556097" cy="2249805"/>
            <wp:effectExtent l="0" t="0" r="16510" b="17145"/>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F7B14" w:rsidRPr="00CD789C" w:rsidRDefault="00DF7B14" w:rsidP="00DF7B14">
      <w:pPr>
        <w:jc w:val="center"/>
        <w:rPr>
          <w:rFonts w:ascii="Arial" w:hAnsi="Arial" w:cs="Arial"/>
        </w:rPr>
      </w:pPr>
      <w:r w:rsidRPr="00CD789C">
        <w:rPr>
          <w:rFonts w:ascii="Arial" w:hAnsi="Arial" w:cs="Arial"/>
        </w:rPr>
        <w:t xml:space="preserve">Figure: </w:t>
      </w:r>
      <w:r w:rsidRPr="00CD789C">
        <w:rPr>
          <w:rFonts w:ascii="Arial" w:hAnsi="Arial" w:cs="Arial"/>
        </w:rPr>
        <w:t xml:space="preserve">Dividends </w:t>
      </w:r>
      <w:proofErr w:type="gramStart"/>
      <w:r w:rsidRPr="00CD789C">
        <w:rPr>
          <w:rFonts w:ascii="Arial" w:hAnsi="Arial" w:cs="Arial"/>
        </w:rPr>
        <w:t>Per</w:t>
      </w:r>
      <w:proofErr w:type="gramEnd"/>
      <w:r w:rsidRPr="00CD789C">
        <w:rPr>
          <w:rFonts w:ascii="Arial" w:hAnsi="Arial" w:cs="Arial"/>
        </w:rPr>
        <w:t xml:space="preserve"> Share</w:t>
      </w:r>
      <w:r w:rsidRPr="00CD789C">
        <w:rPr>
          <w:rFonts w:ascii="Arial" w:hAnsi="Arial" w:cs="Arial"/>
        </w:rPr>
        <w:t xml:space="preserve">, </w:t>
      </w:r>
      <w:r w:rsidRPr="00CD789C">
        <w:rPr>
          <w:rFonts w:ascii="Arial" w:hAnsi="Arial" w:cs="Arial"/>
        </w:rPr>
        <w:t xml:space="preserve">Earnings Per Share, </w:t>
      </w:r>
      <w:r w:rsidRPr="00CD789C">
        <w:rPr>
          <w:rFonts w:ascii="Arial" w:hAnsi="Arial" w:cs="Arial"/>
        </w:rPr>
        <w:t xml:space="preserve">and </w:t>
      </w:r>
      <w:r w:rsidRPr="00CD789C">
        <w:rPr>
          <w:rFonts w:ascii="Arial" w:hAnsi="Arial" w:cs="Arial"/>
        </w:rPr>
        <w:t xml:space="preserve">Closing Price </w:t>
      </w:r>
      <w:r w:rsidRPr="00CD789C">
        <w:rPr>
          <w:rFonts w:ascii="Arial" w:hAnsi="Arial" w:cs="Arial"/>
        </w:rPr>
        <w:t>of Home Depot</w:t>
      </w:r>
    </w:p>
    <w:p w:rsidR="00DF7B14" w:rsidRDefault="00DF7B14" w:rsidP="00DF7B14">
      <w:pPr>
        <w:jc w:val="center"/>
      </w:pPr>
    </w:p>
    <w:p w:rsidR="00DF7B14" w:rsidRDefault="00DF7B14" w:rsidP="00DF7B14">
      <w:pPr>
        <w:jc w:val="center"/>
      </w:pPr>
      <w:r>
        <w:rPr>
          <w:noProof/>
        </w:rPr>
        <w:lastRenderedPageBreak/>
        <w:drawing>
          <wp:inline distT="0" distB="0" distL="0" distR="0" wp14:anchorId="393D9D84" wp14:editId="5CA59CE7">
            <wp:extent cx="4563441" cy="2066925"/>
            <wp:effectExtent l="0" t="0" r="8890" b="952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F7B14" w:rsidRPr="00CD789C" w:rsidRDefault="00DF7B14" w:rsidP="00DF7B14">
      <w:pPr>
        <w:jc w:val="center"/>
        <w:rPr>
          <w:rFonts w:ascii="Arial" w:hAnsi="Arial" w:cs="Arial"/>
        </w:rPr>
      </w:pPr>
      <w:r w:rsidRPr="00CD789C">
        <w:rPr>
          <w:rFonts w:ascii="Arial" w:hAnsi="Arial" w:cs="Arial"/>
        </w:rPr>
        <w:t xml:space="preserve">Figure: Dividends </w:t>
      </w:r>
      <w:r w:rsidRPr="00CD789C">
        <w:rPr>
          <w:rFonts w:ascii="Arial" w:hAnsi="Arial" w:cs="Arial"/>
        </w:rPr>
        <w:t>Yield</w:t>
      </w:r>
      <w:r w:rsidRPr="00CD789C">
        <w:rPr>
          <w:rFonts w:ascii="Arial" w:hAnsi="Arial" w:cs="Arial"/>
        </w:rPr>
        <w:t>, Dividend</w:t>
      </w:r>
      <w:r w:rsidRPr="00CD789C">
        <w:rPr>
          <w:rFonts w:ascii="Arial" w:hAnsi="Arial" w:cs="Arial"/>
        </w:rPr>
        <w:t xml:space="preserve"> Payout</w:t>
      </w:r>
      <w:r w:rsidRPr="00CD789C">
        <w:rPr>
          <w:rFonts w:ascii="Arial" w:hAnsi="Arial" w:cs="Arial"/>
        </w:rPr>
        <w:t xml:space="preserve">, and </w:t>
      </w:r>
      <w:r w:rsidRPr="00CD789C">
        <w:rPr>
          <w:rFonts w:ascii="Arial" w:hAnsi="Arial" w:cs="Arial"/>
        </w:rPr>
        <w:t>P/E Ratio</w:t>
      </w:r>
      <w:r w:rsidRPr="00CD789C">
        <w:rPr>
          <w:rFonts w:ascii="Arial" w:hAnsi="Arial" w:cs="Arial"/>
        </w:rPr>
        <w:t xml:space="preserve"> of Home Depot</w:t>
      </w:r>
    </w:p>
    <w:p w:rsidR="00CD789C" w:rsidRPr="00CD789C" w:rsidRDefault="00CD789C" w:rsidP="00CD789C">
      <w:pPr>
        <w:spacing w:after="0" w:line="480" w:lineRule="auto"/>
        <w:rPr>
          <w:rFonts w:ascii="Arial" w:hAnsi="Arial" w:cs="Arial"/>
          <w:sz w:val="6"/>
          <w:szCs w:val="6"/>
        </w:rPr>
      </w:pPr>
    </w:p>
    <w:p w:rsidR="00DF7B14" w:rsidRDefault="00CD789C" w:rsidP="00CD789C">
      <w:pPr>
        <w:spacing w:after="0" w:line="480" w:lineRule="auto"/>
      </w:pPr>
      <w:r>
        <w:rPr>
          <w:rFonts w:ascii="Arial" w:hAnsi="Arial" w:cs="Arial"/>
        </w:rPr>
        <w:t xml:space="preserve">        </w:t>
      </w:r>
      <w:r w:rsidR="006F6ABA" w:rsidRPr="00CD789C">
        <w:rPr>
          <w:rFonts w:ascii="Arial" w:hAnsi="Arial" w:cs="Arial"/>
        </w:rPr>
        <w:t xml:space="preserve">In overall, the </w:t>
      </w:r>
      <w:r w:rsidR="006F6ABA" w:rsidRPr="00CD789C">
        <w:rPr>
          <w:rFonts w:ascii="Arial" w:hAnsi="Arial" w:cs="Arial"/>
        </w:rPr>
        <w:t xml:space="preserve">stock performance </w:t>
      </w:r>
      <w:r w:rsidR="006F6ABA" w:rsidRPr="00CD789C">
        <w:rPr>
          <w:rFonts w:ascii="Arial" w:hAnsi="Arial" w:cs="Arial"/>
        </w:rPr>
        <w:t>of the Home Depot can be said as improved over the recent time period</w:t>
      </w:r>
      <w:r w:rsidR="006F6ABA">
        <w:t xml:space="preserve">. </w:t>
      </w:r>
    </w:p>
    <w:p w:rsidR="00C24C9D" w:rsidRPr="00CD789C" w:rsidRDefault="00DA61C9" w:rsidP="00CD789C">
      <w:pPr>
        <w:spacing w:after="0" w:line="480" w:lineRule="auto"/>
        <w:jc w:val="center"/>
        <w:rPr>
          <w:rFonts w:ascii="Arial" w:hAnsi="Arial" w:cs="Arial"/>
          <w:b/>
          <w:u w:val="single"/>
        </w:rPr>
      </w:pPr>
      <w:r w:rsidRPr="00CD789C">
        <w:rPr>
          <w:rFonts w:ascii="Arial" w:hAnsi="Arial" w:cs="Arial"/>
          <w:b/>
          <w:u w:val="single"/>
        </w:rPr>
        <w:t>Conclusion</w:t>
      </w:r>
    </w:p>
    <w:p w:rsidR="00DA61C9" w:rsidRDefault="00CD789C" w:rsidP="00CD789C">
      <w:pPr>
        <w:spacing w:after="0" w:line="480" w:lineRule="auto"/>
        <w:rPr>
          <w:rFonts w:ascii="Arial" w:hAnsi="Arial" w:cs="Arial"/>
        </w:rPr>
      </w:pPr>
      <w:r>
        <w:rPr>
          <w:rFonts w:ascii="Arial" w:hAnsi="Arial" w:cs="Arial"/>
        </w:rPr>
        <w:t xml:space="preserve">        </w:t>
      </w:r>
      <w:r w:rsidR="00DA61C9" w:rsidRPr="00CD789C">
        <w:rPr>
          <w:rFonts w:ascii="Arial" w:hAnsi="Arial" w:cs="Arial"/>
        </w:rPr>
        <w:t xml:space="preserve">Profitability, </w:t>
      </w:r>
      <w:r w:rsidR="00DA61C9" w:rsidRPr="00CD789C">
        <w:rPr>
          <w:rFonts w:ascii="Arial" w:hAnsi="Arial" w:cs="Arial"/>
        </w:rPr>
        <w:t xml:space="preserve">liquidity, solvency, and market performance of the Home Depot </w:t>
      </w:r>
      <w:r w:rsidR="00DA61C9" w:rsidRPr="00CD789C">
        <w:rPr>
          <w:rFonts w:ascii="Arial" w:hAnsi="Arial" w:cs="Arial"/>
        </w:rPr>
        <w:t xml:space="preserve">have been </w:t>
      </w:r>
      <w:r w:rsidRPr="00CD789C">
        <w:rPr>
          <w:rFonts w:ascii="Arial" w:hAnsi="Arial" w:cs="Arial"/>
        </w:rPr>
        <w:t>improved</w:t>
      </w:r>
      <w:r w:rsidR="00DA61C9" w:rsidRPr="00CD789C">
        <w:rPr>
          <w:rFonts w:ascii="Arial" w:hAnsi="Arial" w:cs="Arial"/>
        </w:rPr>
        <w:t xml:space="preserve"> over the recent time period. Based on the </w:t>
      </w:r>
      <w:r w:rsidRPr="00CD789C">
        <w:rPr>
          <w:rFonts w:ascii="Arial" w:hAnsi="Arial" w:cs="Arial"/>
        </w:rPr>
        <w:t>analysis</w:t>
      </w:r>
      <w:r w:rsidR="00DA61C9" w:rsidRPr="00CD789C">
        <w:rPr>
          <w:rFonts w:ascii="Arial" w:hAnsi="Arial" w:cs="Arial"/>
        </w:rPr>
        <w:t xml:space="preserve"> and evaluation of </w:t>
      </w:r>
      <w:r w:rsidR="00DA61C9" w:rsidRPr="00CD789C">
        <w:rPr>
          <w:rFonts w:ascii="Arial" w:hAnsi="Arial" w:cs="Arial"/>
        </w:rPr>
        <w:t>profitability, liquidity, solvency, and market performance of</w:t>
      </w:r>
      <w:r w:rsidR="00DA61C9" w:rsidRPr="00CD789C">
        <w:rPr>
          <w:rFonts w:ascii="Arial" w:hAnsi="Arial" w:cs="Arial"/>
        </w:rPr>
        <w:t xml:space="preserve"> the Home Depot it can </w:t>
      </w:r>
      <w:r w:rsidRPr="00CD789C">
        <w:rPr>
          <w:rFonts w:ascii="Arial" w:hAnsi="Arial" w:cs="Arial"/>
        </w:rPr>
        <w:t>be</w:t>
      </w:r>
      <w:r w:rsidR="00DA61C9" w:rsidRPr="00CD789C">
        <w:rPr>
          <w:rFonts w:ascii="Arial" w:hAnsi="Arial" w:cs="Arial"/>
        </w:rPr>
        <w:t xml:space="preserve"> said that the </w:t>
      </w:r>
      <w:r w:rsidRPr="00CD789C">
        <w:rPr>
          <w:rFonts w:ascii="Arial" w:hAnsi="Arial" w:cs="Arial"/>
        </w:rPr>
        <w:t>financial</w:t>
      </w:r>
      <w:r w:rsidR="00DA61C9" w:rsidRPr="00CD789C">
        <w:rPr>
          <w:rFonts w:ascii="Arial" w:hAnsi="Arial" w:cs="Arial"/>
        </w:rPr>
        <w:t xml:space="preserve"> </w:t>
      </w:r>
      <w:r w:rsidRPr="00CD789C">
        <w:rPr>
          <w:rFonts w:ascii="Arial" w:hAnsi="Arial" w:cs="Arial"/>
        </w:rPr>
        <w:t>performance</w:t>
      </w:r>
      <w:r w:rsidR="00DA61C9" w:rsidRPr="00CD789C">
        <w:rPr>
          <w:rFonts w:ascii="Arial" w:hAnsi="Arial" w:cs="Arial"/>
        </w:rPr>
        <w:t xml:space="preserve"> and </w:t>
      </w:r>
      <w:r w:rsidRPr="00CD789C">
        <w:rPr>
          <w:rFonts w:ascii="Arial" w:hAnsi="Arial" w:cs="Arial"/>
        </w:rPr>
        <w:t>position</w:t>
      </w:r>
      <w:r w:rsidR="00DA61C9" w:rsidRPr="00CD789C">
        <w:rPr>
          <w:rFonts w:ascii="Arial" w:hAnsi="Arial" w:cs="Arial"/>
        </w:rPr>
        <w:t xml:space="preserve"> of the </w:t>
      </w:r>
      <w:r w:rsidRPr="00CD789C">
        <w:rPr>
          <w:rFonts w:ascii="Arial" w:hAnsi="Arial" w:cs="Arial"/>
        </w:rPr>
        <w:t>company</w:t>
      </w:r>
      <w:r w:rsidR="00DA61C9" w:rsidRPr="00CD789C">
        <w:rPr>
          <w:rFonts w:ascii="Arial" w:hAnsi="Arial" w:cs="Arial"/>
        </w:rPr>
        <w:t xml:space="preserve"> has been </w:t>
      </w:r>
      <w:r w:rsidRPr="00CD789C">
        <w:rPr>
          <w:rFonts w:ascii="Arial" w:hAnsi="Arial" w:cs="Arial"/>
        </w:rPr>
        <w:t>improved</w:t>
      </w:r>
      <w:r w:rsidR="00DA61C9" w:rsidRPr="00CD789C">
        <w:rPr>
          <w:rFonts w:ascii="Arial" w:hAnsi="Arial" w:cs="Arial"/>
        </w:rPr>
        <w:t xml:space="preserve">. </w:t>
      </w:r>
    </w:p>
    <w:p w:rsidR="00C279CA" w:rsidRDefault="00C279CA" w:rsidP="00CD789C">
      <w:pPr>
        <w:spacing w:after="0" w:line="480" w:lineRule="auto"/>
        <w:rPr>
          <w:rFonts w:ascii="Arial" w:hAnsi="Arial" w:cs="Arial"/>
        </w:rPr>
      </w:pPr>
    </w:p>
    <w:p w:rsidR="00C279CA" w:rsidRDefault="00C279CA" w:rsidP="00CD789C">
      <w:pPr>
        <w:spacing w:after="0" w:line="480" w:lineRule="auto"/>
        <w:rPr>
          <w:rFonts w:ascii="Arial" w:hAnsi="Arial" w:cs="Arial"/>
        </w:rPr>
      </w:pPr>
    </w:p>
    <w:p w:rsidR="00C279CA" w:rsidRDefault="00C279CA" w:rsidP="00CD789C">
      <w:pPr>
        <w:spacing w:after="0" w:line="480" w:lineRule="auto"/>
        <w:rPr>
          <w:rFonts w:ascii="Arial" w:hAnsi="Arial" w:cs="Arial"/>
        </w:rPr>
      </w:pPr>
    </w:p>
    <w:p w:rsidR="00C279CA" w:rsidRDefault="00C279CA" w:rsidP="00CD789C">
      <w:pPr>
        <w:spacing w:after="0" w:line="480" w:lineRule="auto"/>
        <w:rPr>
          <w:rFonts w:ascii="Arial" w:hAnsi="Arial" w:cs="Arial"/>
        </w:rPr>
      </w:pPr>
    </w:p>
    <w:p w:rsidR="00C279CA" w:rsidRDefault="00C279CA" w:rsidP="00CD789C">
      <w:pPr>
        <w:spacing w:after="0" w:line="480" w:lineRule="auto"/>
        <w:rPr>
          <w:rFonts w:ascii="Arial" w:hAnsi="Arial" w:cs="Arial"/>
        </w:rPr>
      </w:pPr>
    </w:p>
    <w:p w:rsidR="00C279CA" w:rsidRDefault="00C279CA" w:rsidP="00CD789C">
      <w:pPr>
        <w:spacing w:after="0" w:line="480" w:lineRule="auto"/>
        <w:rPr>
          <w:rFonts w:ascii="Arial" w:hAnsi="Arial" w:cs="Arial"/>
        </w:rPr>
      </w:pPr>
    </w:p>
    <w:p w:rsidR="00C279CA" w:rsidRDefault="00C279CA" w:rsidP="00CD789C">
      <w:pPr>
        <w:spacing w:after="0" w:line="480" w:lineRule="auto"/>
        <w:rPr>
          <w:rFonts w:ascii="Arial" w:hAnsi="Arial" w:cs="Arial"/>
        </w:rPr>
      </w:pPr>
    </w:p>
    <w:p w:rsidR="00C279CA" w:rsidRDefault="00C279CA" w:rsidP="00CD789C">
      <w:pPr>
        <w:spacing w:after="0" w:line="480" w:lineRule="auto"/>
        <w:rPr>
          <w:rFonts w:ascii="Arial" w:hAnsi="Arial" w:cs="Arial"/>
        </w:rPr>
      </w:pPr>
    </w:p>
    <w:p w:rsidR="00C279CA" w:rsidRDefault="00C279CA" w:rsidP="00CD789C">
      <w:pPr>
        <w:spacing w:after="0" w:line="480" w:lineRule="auto"/>
        <w:rPr>
          <w:rFonts w:ascii="Arial" w:hAnsi="Arial" w:cs="Arial"/>
        </w:rPr>
      </w:pPr>
    </w:p>
    <w:p w:rsidR="00C279CA" w:rsidRDefault="00C279CA" w:rsidP="00CD789C">
      <w:pPr>
        <w:spacing w:after="0" w:line="480" w:lineRule="auto"/>
        <w:rPr>
          <w:rFonts w:ascii="Arial" w:hAnsi="Arial" w:cs="Arial"/>
        </w:rPr>
      </w:pPr>
    </w:p>
    <w:p w:rsidR="00C279CA" w:rsidRDefault="00C279CA" w:rsidP="00CD789C">
      <w:pPr>
        <w:spacing w:after="0" w:line="480" w:lineRule="auto"/>
        <w:rPr>
          <w:rFonts w:ascii="Arial" w:hAnsi="Arial" w:cs="Arial"/>
        </w:rPr>
      </w:pPr>
    </w:p>
    <w:sdt>
      <w:sdtPr>
        <w:id w:val="1101228904"/>
        <w:docPartObj>
          <w:docPartGallery w:val="Bibliographies"/>
          <w:docPartUnique/>
        </w:docPartObj>
      </w:sdtPr>
      <w:sdtEndPr>
        <w:rPr>
          <w:rFonts w:asciiTheme="minorHAnsi" w:eastAsiaTheme="minorHAnsi" w:hAnsiTheme="minorHAnsi" w:cstheme="minorBidi"/>
          <w:color w:val="auto"/>
          <w:sz w:val="22"/>
          <w:szCs w:val="22"/>
        </w:rPr>
      </w:sdtEndPr>
      <w:sdtContent>
        <w:p w:rsidR="00C279CA" w:rsidRPr="00C279CA" w:rsidRDefault="00C279CA" w:rsidP="00C279CA">
          <w:pPr>
            <w:pStyle w:val="Heading1"/>
            <w:pBdr>
              <w:bottom w:val="single" w:sz="4" w:space="1" w:color="auto"/>
            </w:pBdr>
            <w:jc w:val="center"/>
            <w:rPr>
              <w:rFonts w:ascii="Arial" w:hAnsi="Arial" w:cs="Arial"/>
              <w:b/>
              <w:sz w:val="26"/>
              <w:szCs w:val="26"/>
            </w:rPr>
          </w:pPr>
          <w:r w:rsidRPr="00C279CA">
            <w:rPr>
              <w:rFonts w:ascii="Arial" w:hAnsi="Arial" w:cs="Arial"/>
              <w:b/>
              <w:sz w:val="26"/>
              <w:szCs w:val="26"/>
            </w:rPr>
            <w:t>References</w:t>
          </w:r>
        </w:p>
        <w:p w:rsidR="00C279CA" w:rsidRPr="00C279CA" w:rsidRDefault="00C279CA" w:rsidP="00C279CA">
          <w:pPr>
            <w:rPr>
              <w:rFonts w:ascii="Arial" w:hAnsi="Arial" w:cs="Arial"/>
            </w:rPr>
          </w:pPr>
        </w:p>
        <w:sdt>
          <w:sdtPr>
            <w:rPr>
              <w:rFonts w:ascii="Arial" w:hAnsi="Arial" w:cs="Arial"/>
            </w:rPr>
            <w:id w:val="-573587230"/>
            <w:bibliography/>
          </w:sdtPr>
          <w:sdtEndPr>
            <w:rPr>
              <w:rFonts w:asciiTheme="minorHAnsi" w:hAnsiTheme="minorHAnsi" w:cstheme="minorBidi"/>
            </w:rPr>
          </w:sdtEndPr>
          <w:sdtContent>
            <w:p w:rsidR="00C279CA" w:rsidRPr="00C279CA" w:rsidRDefault="00C279CA" w:rsidP="00C279CA">
              <w:pPr>
                <w:pStyle w:val="Bibliography"/>
                <w:ind w:left="720" w:hanging="720"/>
                <w:rPr>
                  <w:rFonts w:ascii="Arial" w:hAnsi="Arial" w:cs="Arial"/>
                  <w:noProof/>
                </w:rPr>
              </w:pPr>
              <w:r w:rsidRPr="00C279CA">
                <w:rPr>
                  <w:rFonts w:ascii="Arial" w:hAnsi="Arial" w:cs="Arial"/>
                </w:rPr>
                <w:fldChar w:fldCharType="begin"/>
              </w:r>
              <w:r w:rsidRPr="00C279CA">
                <w:rPr>
                  <w:rFonts w:ascii="Arial" w:hAnsi="Arial" w:cs="Arial"/>
                </w:rPr>
                <w:instrText xml:space="preserve"> BIBLIOGRAPHY </w:instrText>
              </w:r>
              <w:r w:rsidRPr="00C279CA">
                <w:rPr>
                  <w:rFonts w:ascii="Arial" w:hAnsi="Arial" w:cs="Arial"/>
                </w:rPr>
                <w:fldChar w:fldCharType="separate"/>
              </w:r>
              <w:r w:rsidRPr="00C279CA">
                <w:rPr>
                  <w:rFonts w:ascii="Arial" w:hAnsi="Arial" w:cs="Arial"/>
                  <w:i/>
                  <w:iCs/>
                  <w:noProof/>
                </w:rPr>
                <w:t>Bloomberg</w:t>
              </w:r>
              <w:r w:rsidRPr="00C279CA">
                <w:rPr>
                  <w:rFonts w:ascii="Arial" w:hAnsi="Arial" w:cs="Arial"/>
                  <w:noProof/>
                </w:rPr>
                <w:t>. (2016). Retrieved October 22, 2016, from Home Depot: Snapshot: http://www.bloomberg.com/research/stocks/snapshot/snapshot_article.asp?ticker=HD</w:t>
              </w:r>
            </w:p>
            <w:p w:rsidR="00C279CA" w:rsidRPr="00C279CA" w:rsidRDefault="00C279CA" w:rsidP="00C279CA">
              <w:pPr>
                <w:pStyle w:val="Bibliography"/>
                <w:ind w:left="720" w:hanging="720"/>
                <w:rPr>
                  <w:rFonts w:ascii="Arial" w:hAnsi="Arial" w:cs="Arial"/>
                  <w:noProof/>
                </w:rPr>
              </w:pPr>
              <w:r w:rsidRPr="00C279CA">
                <w:rPr>
                  <w:rFonts w:ascii="Arial" w:hAnsi="Arial" w:cs="Arial"/>
                  <w:noProof/>
                </w:rPr>
                <w:t xml:space="preserve">Chandra, P. (2014). </w:t>
              </w:r>
              <w:r w:rsidRPr="00C279CA">
                <w:rPr>
                  <w:rFonts w:ascii="Arial" w:hAnsi="Arial" w:cs="Arial"/>
                  <w:i/>
                  <w:iCs/>
                  <w:noProof/>
                </w:rPr>
                <w:t>FInancial Management: Theory and Practice .</w:t>
              </w:r>
              <w:r w:rsidRPr="00C279CA">
                <w:rPr>
                  <w:rFonts w:ascii="Arial" w:hAnsi="Arial" w:cs="Arial"/>
                  <w:noProof/>
                </w:rPr>
                <w:t xml:space="preserve"> New York: CFM- McGraw- Hill Professional Series in Finance.</w:t>
              </w:r>
            </w:p>
            <w:p w:rsidR="00C279CA" w:rsidRPr="00C279CA" w:rsidRDefault="00C279CA" w:rsidP="00C279CA">
              <w:pPr>
                <w:pStyle w:val="Bibliography"/>
                <w:ind w:left="720" w:hanging="720"/>
                <w:rPr>
                  <w:rFonts w:ascii="Arial" w:hAnsi="Arial" w:cs="Arial"/>
                  <w:noProof/>
                </w:rPr>
              </w:pPr>
              <w:r w:rsidRPr="00C279CA">
                <w:rPr>
                  <w:rFonts w:ascii="Arial" w:hAnsi="Arial" w:cs="Arial"/>
                  <w:i/>
                  <w:iCs/>
                  <w:noProof/>
                </w:rPr>
                <w:t>Home Depot</w:t>
              </w:r>
              <w:r w:rsidRPr="00C279CA">
                <w:rPr>
                  <w:rFonts w:ascii="Arial" w:hAnsi="Arial" w:cs="Arial"/>
                  <w:noProof/>
                </w:rPr>
                <w:t>. (2016). Retrieved October 22, 2016, from Home Depot: About Us: https://corporate.homedepot.com/about</w:t>
              </w:r>
            </w:p>
            <w:p w:rsidR="00C279CA" w:rsidRPr="00C279CA" w:rsidRDefault="00C279CA" w:rsidP="00C279CA">
              <w:pPr>
                <w:pStyle w:val="Bibliography"/>
                <w:ind w:left="720" w:hanging="720"/>
                <w:rPr>
                  <w:rFonts w:ascii="Arial" w:hAnsi="Arial" w:cs="Arial"/>
                  <w:noProof/>
                </w:rPr>
              </w:pPr>
              <w:r w:rsidRPr="00C279CA">
                <w:rPr>
                  <w:rFonts w:ascii="Arial" w:hAnsi="Arial" w:cs="Arial"/>
                  <w:noProof/>
                </w:rPr>
                <w:t xml:space="preserve">Langfield-Smith, K., &amp; Thorne, H. (2012). </w:t>
              </w:r>
              <w:r w:rsidRPr="00C279CA">
                <w:rPr>
                  <w:rFonts w:ascii="Arial" w:hAnsi="Arial" w:cs="Arial"/>
                  <w:i/>
                  <w:iCs/>
                  <w:noProof/>
                </w:rPr>
                <w:t>Management Accounting: Information for Managing and Creating Value.</w:t>
              </w:r>
              <w:r w:rsidRPr="00C279CA">
                <w:rPr>
                  <w:rFonts w:ascii="Arial" w:hAnsi="Arial" w:cs="Arial"/>
                  <w:noProof/>
                </w:rPr>
                <w:t xml:space="preserve"> New York: McGraw Hill Higher Education.</w:t>
              </w:r>
            </w:p>
            <w:p w:rsidR="00C279CA" w:rsidRPr="00C279CA" w:rsidRDefault="00C279CA" w:rsidP="00C279CA">
              <w:pPr>
                <w:pStyle w:val="Bibliography"/>
                <w:ind w:left="720" w:hanging="720"/>
                <w:rPr>
                  <w:rFonts w:ascii="Arial" w:hAnsi="Arial" w:cs="Arial"/>
                  <w:noProof/>
                </w:rPr>
              </w:pPr>
              <w:r w:rsidRPr="00C279CA">
                <w:rPr>
                  <w:rFonts w:ascii="Arial" w:hAnsi="Arial" w:cs="Arial"/>
                  <w:i/>
                  <w:iCs/>
                  <w:noProof/>
                </w:rPr>
                <w:t>My Accounting Course</w:t>
              </w:r>
              <w:r w:rsidRPr="00C279CA">
                <w:rPr>
                  <w:rFonts w:ascii="Arial" w:hAnsi="Arial" w:cs="Arial"/>
                  <w:noProof/>
                </w:rPr>
                <w:t>. (2014). Retrieved October 22, 2016, from Financial Ratio Analysis: http://www.myaccountingcourse.com/financial-ratios/</w:t>
              </w:r>
            </w:p>
            <w:p w:rsidR="00C279CA" w:rsidRDefault="00C279CA" w:rsidP="00C279CA">
              <w:r w:rsidRPr="00C279CA">
                <w:rPr>
                  <w:rFonts w:ascii="Arial" w:hAnsi="Arial" w:cs="Arial"/>
                  <w:b/>
                  <w:bCs/>
                  <w:noProof/>
                </w:rPr>
                <w:fldChar w:fldCharType="end"/>
              </w:r>
            </w:p>
          </w:sdtContent>
        </w:sdt>
      </w:sdtContent>
    </w:sdt>
    <w:p w:rsidR="00C279CA" w:rsidRPr="00CD789C" w:rsidRDefault="00C279CA" w:rsidP="00CD789C">
      <w:pPr>
        <w:spacing w:after="0" w:line="480" w:lineRule="auto"/>
        <w:rPr>
          <w:rFonts w:ascii="Arial" w:hAnsi="Arial" w:cs="Arial"/>
        </w:rPr>
      </w:pPr>
      <w:bookmarkStart w:id="0" w:name="_GoBack"/>
      <w:bookmarkEnd w:id="0"/>
    </w:p>
    <w:sectPr w:rsidR="00C279CA" w:rsidRPr="00CD78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18B1852"/>
    <w:multiLevelType w:val="multilevel"/>
    <w:tmpl w:val="58949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7B3"/>
    <w:rsid w:val="00023850"/>
    <w:rsid w:val="00096845"/>
    <w:rsid w:val="001652B4"/>
    <w:rsid w:val="00223A79"/>
    <w:rsid w:val="00234BBA"/>
    <w:rsid w:val="00312144"/>
    <w:rsid w:val="004067B3"/>
    <w:rsid w:val="00465358"/>
    <w:rsid w:val="00472650"/>
    <w:rsid w:val="004D56F9"/>
    <w:rsid w:val="005A1051"/>
    <w:rsid w:val="005A6332"/>
    <w:rsid w:val="006F6ABA"/>
    <w:rsid w:val="00705438"/>
    <w:rsid w:val="00754AD7"/>
    <w:rsid w:val="00761022"/>
    <w:rsid w:val="00772519"/>
    <w:rsid w:val="00831141"/>
    <w:rsid w:val="008A0F89"/>
    <w:rsid w:val="00906827"/>
    <w:rsid w:val="0096660D"/>
    <w:rsid w:val="00992307"/>
    <w:rsid w:val="009F1040"/>
    <w:rsid w:val="00A87B1E"/>
    <w:rsid w:val="00AC1C32"/>
    <w:rsid w:val="00B57F3D"/>
    <w:rsid w:val="00BE3931"/>
    <w:rsid w:val="00C24C9D"/>
    <w:rsid w:val="00C279CA"/>
    <w:rsid w:val="00CD789C"/>
    <w:rsid w:val="00D258D8"/>
    <w:rsid w:val="00D325AE"/>
    <w:rsid w:val="00DA61C9"/>
    <w:rsid w:val="00DA6A56"/>
    <w:rsid w:val="00DB0ECE"/>
    <w:rsid w:val="00DD79B2"/>
    <w:rsid w:val="00DF7B14"/>
    <w:rsid w:val="00E3001F"/>
    <w:rsid w:val="00E631CF"/>
    <w:rsid w:val="00F3228A"/>
    <w:rsid w:val="00FC0A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65DB49-4E1B-41F0-89DE-F26710FFD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279C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067B3"/>
    <w:rPr>
      <w:color w:val="0000FF"/>
      <w:u w:val="single"/>
    </w:rPr>
  </w:style>
  <w:style w:type="character" w:customStyle="1" w:styleId="nowrap">
    <w:name w:val="nowrap"/>
    <w:basedOn w:val="DefaultParagraphFont"/>
    <w:rsid w:val="00DB0ECE"/>
  </w:style>
  <w:style w:type="character" w:customStyle="1" w:styleId="Heading1Char">
    <w:name w:val="Heading 1 Char"/>
    <w:basedOn w:val="DefaultParagraphFont"/>
    <w:link w:val="Heading1"/>
    <w:uiPriority w:val="9"/>
    <w:rsid w:val="00C279CA"/>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C279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963301">
      <w:bodyDiv w:val="1"/>
      <w:marLeft w:val="0"/>
      <w:marRight w:val="0"/>
      <w:marTop w:val="0"/>
      <w:marBottom w:val="0"/>
      <w:divBdr>
        <w:top w:val="none" w:sz="0" w:space="0" w:color="auto"/>
        <w:left w:val="none" w:sz="0" w:space="0" w:color="auto"/>
        <w:bottom w:val="none" w:sz="0" w:space="0" w:color="auto"/>
        <w:right w:val="none" w:sz="0" w:space="0" w:color="auto"/>
      </w:divBdr>
      <w:divsChild>
        <w:div w:id="2054691485">
          <w:marLeft w:val="0"/>
          <w:marRight w:val="0"/>
          <w:marTop w:val="0"/>
          <w:marBottom w:val="0"/>
          <w:divBdr>
            <w:top w:val="none" w:sz="0" w:space="0" w:color="auto"/>
            <w:left w:val="none" w:sz="0" w:space="0" w:color="auto"/>
            <w:bottom w:val="none" w:sz="0" w:space="0" w:color="auto"/>
            <w:right w:val="none" w:sz="0" w:space="0" w:color="auto"/>
          </w:divBdr>
        </w:div>
      </w:divsChild>
    </w:div>
    <w:div w:id="232863027">
      <w:bodyDiv w:val="1"/>
      <w:marLeft w:val="0"/>
      <w:marRight w:val="0"/>
      <w:marTop w:val="0"/>
      <w:marBottom w:val="0"/>
      <w:divBdr>
        <w:top w:val="none" w:sz="0" w:space="0" w:color="auto"/>
        <w:left w:val="none" w:sz="0" w:space="0" w:color="auto"/>
        <w:bottom w:val="none" w:sz="0" w:space="0" w:color="auto"/>
        <w:right w:val="none" w:sz="0" w:space="0" w:color="auto"/>
      </w:divBdr>
    </w:div>
    <w:div w:id="256713411">
      <w:bodyDiv w:val="1"/>
      <w:marLeft w:val="0"/>
      <w:marRight w:val="0"/>
      <w:marTop w:val="0"/>
      <w:marBottom w:val="0"/>
      <w:divBdr>
        <w:top w:val="none" w:sz="0" w:space="0" w:color="auto"/>
        <w:left w:val="none" w:sz="0" w:space="0" w:color="auto"/>
        <w:bottom w:val="none" w:sz="0" w:space="0" w:color="auto"/>
        <w:right w:val="none" w:sz="0" w:space="0" w:color="auto"/>
      </w:divBdr>
    </w:div>
    <w:div w:id="334767534">
      <w:bodyDiv w:val="1"/>
      <w:marLeft w:val="0"/>
      <w:marRight w:val="0"/>
      <w:marTop w:val="0"/>
      <w:marBottom w:val="0"/>
      <w:divBdr>
        <w:top w:val="none" w:sz="0" w:space="0" w:color="auto"/>
        <w:left w:val="none" w:sz="0" w:space="0" w:color="auto"/>
        <w:bottom w:val="none" w:sz="0" w:space="0" w:color="auto"/>
        <w:right w:val="none" w:sz="0" w:space="0" w:color="auto"/>
      </w:divBdr>
    </w:div>
    <w:div w:id="432551786">
      <w:bodyDiv w:val="1"/>
      <w:marLeft w:val="0"/>
      <w:marRight w:val="0"/>
      <w:marTop w:val="0"/>
      <w:marBottom w:val="0"/>
      <w:divBdr>
        <w:top w:val="none" w:sz="0" w:space="0" w:color="auto"/>
        <w:left w:val="none" w:sz="0" w:space="0" w:color="auto"/>
        <w:bottom w:val="none" w:sz="0" w:space="0" w:color="auto"/>
        <w:right w:val="none" w:sz="0" w:space="0" w:color="auto"/>
      </w:divBdr>
    </w:div>
    <w:div w:id="615211810">
      <w:bodyDiv w:val="1"/>
      <w:marLeft w:val="0"/>
      <w:marRight w:val="0"/>
      <w:marTop w:val="0"/>
      <w:marBottom w:val="0"/>
      <w:divBdr>
        <w:top w:val="none" w:sz="0" w:space="0" w:color="auto"/>
        <w:left w:val="none" w:sz="0" w:space="0" w:color="auto"/>
        <w:bottom w:val="none" w:sz="0" w:space="0" w:color="auto"/>
        <w:right w:val="none" w:sz="0" w:space="0" w:color="auto"/>
      </w:divBdr>
    </w:div>
    <w:div w:id="1077246789">
      <w:bodyDiv w:val="1"/>
      <w:marLeft w:val="0"/>
      <w:marRight w:val="0"/>
      <w:marTop w:val="0"/>
      <w:marBottom w:val="0"/>
      <w:divBdr>
        <w:top w:val="none" w:sz="0" w:space="0" w:color="auto"/>
        <w:left w:val="none" w:sz="0" w:space="0" w:color="auto"/>
        <w:bottom w:val="none" w:sz="0" w:space="0" w:color="auto"/>
        <w:right w:val="none" w:sz="0" w:space="0" w:color="auto"/>
      </w:divBdr>
    </w:div>
    <w:div w:id="1245339401">
      <w:bodyDiv w:val="1"/>
      <w:marLeft w:val="0"/>
      <w:marRight w:val="0"/>
      <w:marTop w:val="0"/>
      <w:marBottom w:val="0"/>
      <w:divBdr>
        <w:top w:val="none" w:sz="0" w:space="0" w:color="auto"/>
        <w:left w:val="none" w:sz="0" w:space="0" w:color="auto"/>
        <w:bottom w:val="none" w:sz="0" w:space="0" w:color="auto"/>
        <w:right w:val="none" w:sz="0" w:space="0" w:color="auto"/>
      </w:divBdr>
    </w:div>
    <w:div w:id="1366642383">
      <w:bodyDiv w:val="1"/>
      <w:marLeft w:val="0"/>
      <w:marRight w:val="0"/>
      <w:marTop w:val="0"/>
      <w:marBottom w:val="0"/>
      <w:divBdr>
        <w:top w:val="none" w:sz="0" w:space="0" w:color="auto"/>
        <w:left w:val="none" w:sz="0" w:space="0" w:color="auto"/>
        <w:bottom w:val="none" w:sz="0" w:space="0" w:color="auto"/>
        <w:right w:val="none" w:sz="0" w:space="0" w:color="auto"/>
      </w:divBdr>
      <w:divsChild>
        <w:div w:id="991913166">
          <w:marLeft w:val="0"/>
          <w:marRight w:val="0"/>
          <w:marTop w:val="0"/>
          <w:marBottom w:val="0"/>
          <w:divBdr>
            <w:top w:val="none" w:sz="0" w:space="0" w:color="auto"/>
            <w:left w:val="none" w:sz="0" w:space="0" w:color="auto"/>
            <w:bottom w:val="none" w:sz="0" w:space="0" w:color="auto"/>
            <w:right w:val="none" w:sz="0" w:space="0" w:color="auto"/>
          </w:divBdr>
        </w:div>
      </w:divsChild>
    </w:div>
    <w:div w:id="1449276333">
      <w:bodyDiv w:val="1"/>
      <w:marLeft w:val="0"/>
      <w:marRight w:val="0"/>
      <w:marTop w:val="0"/>
      <w:marBottom w:val="0"/>
      <w:divBdr>
        <w:top w:val="none" w:sz="0" w:space="0" w:color="auto"/>
        <w:left w:val="none" w:sz="0" w:space="0" w:color="auto"/>
        <w:bottom w:val="none" w:sz="0" w:space="0" w:color="auto"/>
        <w:right w:val="none" w:sz="0" w:space="0" w:color="auto"/>
      </w:divBdr>
    </w:div>
    <w:div w:id="1460028264">
      <w:bodyDiv w:val="1"/>
      <w:marLeft w:val="0"/>
      <w:marRight w:val="0"/>
      <w:marTop w:val="0"/>
      <w:marBottom w:val="0"/>
      <w:divBdr>
        <w:top w:val="none" w:sz="0" w:space="0" w:color="auto"/>
        <w:left w:val="none" w:sz="0" w:space="0" w:color="auto"/>
        <w:bottom w:val="none" w:sz="0" w:space="0" w:color="auto"/>
        <w:right w:val="none" w:sz="0" w:space="0" w:color="auto"/>
      </w:divBdr>
    </w:div>
    <w:div w:id="1672759362">
      <w:bodyDiv w:val="1"/>
      <w:marLeft w:val="0"/>
      <w:marRight w:val="0"/>
      <w:marTop w:val="0"/>
      <w:marBottom w:val="0"/>
      <w:divBdr>
        <w:top w:val="none" w:sz="0" w:space="0" w:color="auto"/>
        <w:left w:val="none" w:sz="0" w:space="0" w:color="auto"/>
        <w:bottom w:val="none" w:sz="0" w:space="0" w:color="auto"/>
        <w:right w:val="none" w:sz="0" w:space="0" w:color="auto"/>
      </w:divBdr>
    </w:div>
    <w:div w:id="1734692282">
      <w:bodyDiv w:val="1"/>
      <w:marLeft w:val="0"/>
      <w:marRight w:val="0"/>
      <w:marTop w:val="0"/>
      <w:marBottom w:val="0"/>
      <w:divBdr>
        <w:top w:val="none" w:sz="0" w:space="0" w:color="auto"/>
        <w:left w:val="none" w:sz="0" w:space="0" w:color="auto"/>
        <w:bottom w:val="none" w:sz="0" w:space="0" w:color="auto"/>
        <w:right w:val="none" w:sz="0" w:space="0" w:color="auto"/>
      </w:divBdr>
    </w:div>
    <w:div w:id="1853958858">
      <w:bodyDiv w:val="1"/>
      <w:marLeft w:val="0"/>
      <w:marRight w:val="0"/>
      <w:marTop w:val="0"/>
      <w:marBottom w:val="0"/>
      <w:divBdr>
        <w:top w:val="none" w:sz="0" w:space="0" w:color="auto"/>
        <w:left w:val="none" w:sz="0" w:space="0" w:color="auto"/>
        <w:bottom w:val="none" w:sz="0" w:space="0" w:color="auto"/>
        <w:right w:val="none" w:sz="0" w:space="0" w:color="auto"/>
      </w:divBdr>
    </w:div>
    <w:div w:id="1985622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chart" Target="charts/chart2.xml"/><Relationship Id="rId12" Type="http://schemas.openxmlformats.org/officeDocument/2006/relationships/chart" Target="charts/chart7.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hart" Target="charts/chart1.xml"/><Relationship Id="rId11" Type="http://schemas.openxmlformats.org/officeDocument/2006/relationships/chart" Target="charts/chart6.xml"/><Relationship Id="rId5" Type="http://schemas.openxmlformats.org/officeDocument/2006/relationships/webSettings" Target="webSettings.xml"/><Relationship Id="rId10" Type="http://schemas.openxmlformats.org/officeDocument/2006/relationships/chart" Target="charts/chart5.xml"/><Relationship Id="rId4" Type="http://schemas.openxmlformats.org/officeDocument/2006/relationships/settings" Target="settings.xml"/><Relationship Id="rId9" Type="http://schemas.openxmlformats.org/officeDocument/2006/relationships/chart" Target="charts/chart4.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ASUS\Desktop\LLL\Home%20Depot\ACT%205140%20DESAI%20Spring%202%202015%20HW%201(1).xls"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SUS\Desktop\LLL\Home%20Depot\ACT%205140%20DESAI%20Spring%202%202015%20HW%201(1).xls"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SUS\Desktop\LLL\Home%20Depot\ACT%205140%20DESAI%20Spring%202%202015%20HW%201(1).xls"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SUS\Desktop\LLL\Home%20Depot\ACT%205140%20DESAI%20Spring%202%202015%20HW%201(1).xls"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ASUS\Desktop\LLL\Home%20Depot\ACT%205140%20DESAI%20Spring%202%202015%20HW%201(1).xls"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ASUS\Desktop\LLL\Home%20Depot\ACT%205140%20DESAI%20Spring%202%202015%20HW%201(1).xls"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ASUS\Desktop\LLL\Home%20Depot\ACT%205140%20DESAI%20Spring%202%202015%20HW%201(1).xls"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000" b="1"/>
              <a:t>Profitability Ratios of Home Depot</a:t>
            </a:r>
          </a:p>
        </c:rich>
      </c:tx>
      <c:overlay val="0"/>
      <c:spPr>
        <a:noFill/>
        <a:ln>
          <a:noFill/>
        </a:ln>
        <a:effectLst/>
      </c:spPr>
      <c:txPr>
        <a:bodyPr rot="0" spcFirstLastPara="1" vertOverflow="ellipsis" vert="horz" wrap="square" anchor="ctr" anchorCtr="1"/>
        <a:lstStyle/>
        <a:p>
          <a:pPr>
            <a:defRPr sz="10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bar"/>
        <c:grouping val="clustered"/>
        <c:varyColors val="0"/>
        <c:ser>
          <c:idx val="1"/>
          <c:order val="0"/>
          <c:tx>
            <c:strRef>
              <c:f>'Profitability Ratios'!$C$5</c:f>
              <c:strCache>
                <c:ptCount val="1"/>
                <c:pt idx="0">
                  <c:v>Return on sales</c:v>
                </c:pt>
              </c:strCache>
            </c:strRef>
          </c:tx>
          <c:spPr>
            <a:solidFill>
              <a:schemeClr val="accent2"/>
            </a:solidFill>
            <a:ln>
              <a:noFill/>
            </a:ln>
            <a:effectLst/>
          </c:spPr>
          <c:invertIfNegative val="0"/>
          <c:cat>
            <c:numRef>
              <c:f>'Profitability Ratios'!$E$3:$H$3</c:f>
              <c:numCache>
                <c:formatCode>General</c:formatCode>
                <c:ptCount val="4"/>
                <c:pt idx="0">
                  <c:v>2012</c:v>
                </c:pt>
                <c:pt idx="1">
                  <c:v>2013</c:v>
                </c:pt>
                <c:pt idx="2">
                  <c:v>2014</c:v>
                </c:pt>
                <c:pt idx="3">
                  <c:v>2015</c:v>
                </c:pt>
              </c:numCache>
            </c:numRef>
          </c:cat>
          <c:val>
            <c:numRef>
              <c:f>'Profitability Ratios'!$E$5:$H$5</c:f>
              <c:numCache>
                <c:formatCode>0.00%</c:formatCode>
                <c:ptCount val="4"/>
                <c:pt idx="0">
                  <c:v>5.5160167625541587E-2</c:v>
                </c:pt>
                <c:pt idx="1">
                  <c:v>6.066564999866228E-2</c:v>
                </c:pt>
                <c:pt idx="2">
                  <c:v>6.8327158300766383E-2</c:v>
                </c:pt>
                <c:pt idx="3">
                  <c:v>7.6284024237760886E-2</c:v>
                </c:pt>
              </c:numCache>
            </c:numRef>
          </c:val>
        </c:ser>
        <c:ser>
          <c:idx val="2"/>
          <c:order val="1"/>
          <c:tx>
            <c:strRef>
              <c:f>'Profitability Ratios'!$C$6</c:f>
              <c:strCache>
                <c:ptCount val="1"/>
                <c:pt idx="0">
                  <c:v>Gross profit margn</c:v>
                </c:pt>
              </c:strCache>
            </c:strRef>
          </c:tx>
          <c:spPr>
            <a:solidFill>
              <a:schemeClr val="accent3"/>
            </a:solidFill>
            <a:ln>
              <a:noFill/>
            </a:ln>
            <a:effectLst/>
          </c:spPr>
          <c:invertIfNegative val="0"/>
          <c:cat>
            <c:numRef>
              <c:f>'Profitability Ratios'!$E$3:$H$3</c:f>
              <c:numCache>
                <c:formatCode>General</c:formatCode>
                <c:ptCount val="4"/>
                <c:pt idx="0">
                  <c:v>2012</c:v>
                </c:pt>
                <c:pt idx="1">
                  <c:v>2013</c:v>
                </c:pt>
                <c:pt idx="2">
                  <c:v>2014</c:v>
                </c:pt>
                <c:pt idx="3">
                  <c:v>2015</c:v>
                </c:pt>
              </c:numCache>
            </c:numRef>
          </c:cat>
          <c:val>
            <c:numRef>
              <c:f>'Profitability Ratios'!$E$6:$H$6</c:f>
              <c:numCache>
                <c:formatCode>0.00%</c:formatCode>
                <c:ptCount val="4"/>
                <c:pt idx="0">
                  <c:v>0.34465516016762554</c:v>
                </c:pt>
                <c:pt idx="1">
                  <c:v>0.34569387591299461</c:v>
                </c:pt>
                <c:pt idx="2">
                  <c:v>0.34753590823732428</c:v>
                </c:pt>
                <c:pt idx="3">
                  <c:v>0.3481052226603828</c:v>
                </c:pt>
              </c:numCache>
            </c:numRef>
          </c:val>
        </c:ser>
        <c:dLbls>
          <c:showLegendKey val="0"/>
          <c:showVal val="0"/>
          <c:showCatName val="0"/>
          <c:showSerName val="0"/>
          <c:showPercent val="0"/>
          <c:showBubbleSize val="0"/>
        </c:dLbls>
        <c:gapWidth val="150"/>
        <c:axId val="-1072023840"/>
        <c:axId val="-1072022208"/>
      </c:barChart>
      <c:catAx>
        <c:axId val="-10720238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072022208"/>
        <c:crosses val="autoZero"/>
        <c:auto val="1"/>
        <c:lblAlgn val="ctr"/>
        <c:lblOffset val="100"/>
        <c:noMultiLvlLbl val="0"/>
      </c:catAx>
      <c:valAx>
        <c:axId val="-1072022208"/>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072023840"/>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700">
          <a:latin typeface="Arial" panose="020B0604020202020204" pitchFamily="34" charset="0"/>
          <a:cs typeface="Arial" panose="020B0604020202020204" pitchFamily="34"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000" b="1"/>
              <a:t>Profitability Ratios of Home Depot</a:t>
            </a:r>
          </a:p>
        </c:rich>
      </c:tx>
      <c:overlay val="0"/>
      <c:spPr>
        <a:noFill/>
        <a:ln>
          <a:noFill/>
        </a:ln>
        <a:effectLst/>
      </c:spPr>
      <c:txPr>
        <a:bodyPr rot="0" spcFirstLastPara="1" vertOverflow="ellipsis" vert="horz" wrap="square" anchor="ctr" anchorCtr="1"/>
        <a:lstStyle/>
        <a:p>
          <a:pPr>
            <a:defRPr sz="10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col"/>
        <c:grouping val="clustered"/>
        <c:varyColors val="0"/>
        <c:ser>
          <c:idx val="0"/>
          <c:order val="0"/>
          <c:tx>
            <c:strRef>
              <c:f>'Profitability Ratios'!$C$4</c:f>
              <c:strCache>
                <c:ptCount val="1"/>
                <c:pt idx="0">
                  <c:v>Asset turnover (Times)</c:v>
                </c:pt>
              </c:strCache>
            </c:strRef>
          </c:tx>
          <c:spPr>
            <a:solidFill>
              <a:schemeClr val="accent1"/>
            </a:solidFill>
            <a:ln>
              <a:noFill/>
            </a:ln>
            <a:effectLst/>
          </c:spPr>
          <c:invertIfNegative val="0"/>
          <c:cat>
            <c:numRef>
              <c:f>'Profitability Ratios'!$E$3:$H$3</c:f>
              <c:numCache>
                <c:formatCode>General</c:formatCode>
                <c:ptCount val="4"/>
                <c:pt idx="0">
                  <c:v>2012</c:v>
                </c:pt>
                <c:pt idx="1">
                  <c:v>2013</c:v>
                </c:pt>
                <c:pt idx="2">
                  <c:v>2014</c:v>
                </c:pt>
                <c:pt idx="3">
                  <c:v>2015</c:v>
                </c:pt>
              </c:numCache>
            </c:numRef>
          </c:cat>
          <c:val>
            <c:numRef>
              <c:f>'Profitability Ratios'!$F$4:$H$4</c:f>
              <c:numCache>
                <c:formatCode>0.00</c:formatCode>
                <c:ptCount val="3"/>
                <c:pt idx="0">
                  <c:v>1.8321609764466558</c:v>
                </c:pt>
                <c:pt idx="1">
                  <c:v>1.9316193230558074</c:v>
                </c:pt>
                <c:pt idx="2">
                  <c:v>2.0674090276396897</c:v>
                </c:pt>
              </c:numCache>
            </c:numRef>
          </c:val>
        </c:ser>
        <c:ser>
          <c:idx val="1"/>
          <c:order val="1"/>
          <c:tx>
            <c:strRef>
              <c:f>'Profitability Ratios'!$C$7</c:f>
              <c:strCache>
                <c:ptCount val="1"/>
                <c:pt idx="0">
                  <c:v>Return on assets (ROA)</c:v>
                </c:pt>
              </c:strCache>
            </c:strRef>
          </c:tx>
          <c:spPr>
            <a:solidFill>
              <a:schemeClr val="accent2"/>
            </a:solidFill>
            <a:ln>
              <a:noFill/>
            </a:ln>
            <a:effectLst/>
          </c:spPr>
          <c:invertIfNegative val="0"/>
          <c:cat>
            <c:numRef>
              <c:f>'Profitability Ratios'!$E$3:$H$3</c:f>
              <c:numCache>
                <c:formatCode>General</c:formatCode>
                <c:ptCount val="4"/>
                <c:pt idx="0">
                  <c:v>2012</c:v>
                </c:pt>
                <c:pt idx="1">
                  <c:v>2013</c:v>
                </c:pt>
                <c:pt idx="2">
                  <c:v>2014</c:v>
                </c:pt>
                <c:pt idx="3">
                  <c:v>2015</c:v>
                </c:pt>
              </c:numCache>
            </c:numRef>
          </c:cat>
          <c:val>
            <c:numRef>
              <c:f>'Profitability Ratios'!$F$7:$H$7</c:f>
              <c:numCache>
                <c:formatCode>0.00%</c:formatCode>
                <c:ptCount val="3"/>
                <c:pt idx="0">
                  <c:v>0.11114923653832014</c:v>
                </c:pt>
                <c:pt idx="1">
                  <c:v>0.13198205926325335</c:v>
                </c:pt>
                <c:pt idx="2">
                  <c:v>0.15771028037383178</c:v>
                </c:pt>
              </c:numCache>
            </c:numRef>
          </c:val>
        </c:ser>
        <c:ser>
          <c:idx val="2"/>
          <c:order val="2"/>
          <c:tx>
            <c:strRef>
              <c:f>'Profitability Ratios'!$C$8</c:f>
              <c:strCache>
                <c:ptCount val="1"/>
                <c:pt idx="0">
                  <c:v>Return on equity (ROE)</c:v>
                </c:pt>
              </c:strCache>
            </c:strRef>
          </c:tx>
          <c:spPr>
            <a:solidFill>
              <a:schemeClr val="accent3"/>
            </a:solidFill>
            <a:ln>
              <a:noFill/>
            </a:ln>
            <a:effectLst/>
          </c:spPr>
          <c:invertIfNegative val="0"/>
          <c:cat>
            <c:numRef>
              <c:f>'Profitability Ratios'!$E$3:$H$3</c:f>
              <c:numCache>
                <c:formatCode>General</c:formatCode>
                <c:ptCount val="4"/>
                <c:pt idx="0">
                  <c:v>2012</c:v>
                </c:pt>
                <c:pt idx="1">
                  <c:v>2013</c:v>
                </c:pt>
                <c:pt idx="2">
                  <c:v>2014</c:v>
                </c:pt>
                <c:pt idx="3">
                  <c:v>2015</c:v>
                </c:pt>
              </c:numCache>
            </c:numRef>
          </c:cat>
          <c:val>
            <c:numRef>
              <c:f>'Profitability Ratios'!$F$8:$H$8</c:f>
              <c:numCache>
                <c:formatCode>0.00%</c:formatCode>
                <c:ptCount val="3"/>
                <c:pt idx="0">
                  <c:v>0.25423966362999301</c:v>
                </c:pt>
                <c:pt idx="1">
                  <c:v>0.35545727581768377</c:v>
                </c:pt>
                <c:pt idx="2">
                  <c:v>0.58093755722395168</c:v>
                </c:pt>
              </c:numCache>
            </c:numRef>
          </c:val>
        </c:ser>
        <c:dLbls>
          <c:showLegendKey val="0"/>
          <c:showVal val="0"/>
          <c:showCatName val="0"/>
          <c:showSerName val="0"/>
          <c:showPercent val="0"/>
          <c:showBubbleSize val="0"/>
        </c:dLbls>
        <c:gapWidth val="150"/>
        <c:axId val="-1152075072"/>
        <c:axId val="-1152082688"/>
      </c:barChart>
      <c:catAx>
        <c:axId val="-11520750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152082688"/>
        <c:crosses val="autoZero"/>
        <c:auto val="1"/>
        <c:lblAlgn val="ctr"/>
        <c:lblOffset val="100"/>
        <c:noMultiLvlLbl val="0"/>
      </c:catAx>
      <c:valAx>
        <c:axId val="-1152082688"/>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15207507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700">
          <a:latin typeface="Arial" panose="020B0604020202020204" pitchFamily="34" charset="0"/>
          <a:cs typeface="Arial" panose="020B0604020202020204" pitchFamily="34"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'Liquidity Ratios'!$B$4</c:f>
              <c:strCache>
                <c:ptCount val="1"/>
                <c:pt idx="0">
                  <c:v>Current ratio</c:v>
                </c:pt>
              </c:strCache>
            </c:strRef>
          </c:tx>
          <c:spPr>
            <a:solidFill>
              <a:schemeClr val="accent1"/>
            </a:solidFill>
            <a:ln>
              <a:noFill/>
            </a:ln>
            <a:effectLst/>
          </c:spPr>
          <c:invertIfNegative val="0"/>
          <c:cat>
            <c:numRef>
              <c:f>'Liquidity Ratios'!$D$2:$G$2</c:f>
              <c:numCache>
                <c:formatCode>General</c:formatCode>
                <c:ptCount val="4"/>
                <c:pt idx="0">
                  <c:v>2012</c:v>
                </c:pt>
                <c:pt idx="1">
                  <c:v>2013</c:v>
                </c:pt>
                <c:pt idx="2">
                  <c:v>2014</c:v>
                </c:pt>
                <c:pt idx="3">
                  <c:v>2015</c:v>
                </c:pt>
              </c:numCache>
            </c:numRef>
          </c:cat>
          <c:val>
            <c:numRef>
              <c:f>'Liquidity Ratios'!$D$4:$G$4</c:f>
              <c:numCache>
                <c:formatCode>0.000</c:formatCode>
                <c:ptCount val="4"/>
                <c:pt idx="0">
                  <c:v>1.5486348122866893</c:v>
                </c:pt>
                <c:pt idx="1">
                  <c:v>1.3411272029314256</c:v>
                </c:pt>
                <c:pt idx="2">
                  <c:v>1.4214345520513536</c:v>
                </c:pt>
                <c:pt idx="3">
                  <c:v>1.3578844617978525</c:v>
                </c:pt>
              </c:numCache>
            </c:numRef>
          </c:val>
        </c:ser>
        <c:ser>
          <c:idx val="1"/>
          <c:order val="1"/>
          <c:tx>
            <c:strRef>
              <c:f>'Liquidity Ratios'!$B$6</c:f>
              <c:strCache>
                <c:ptCount val="1"/>
                <c:pt idx="0">
                  <c:v>Acid-test ratio</c:v>
                </c:pt>
              </c:strCache>
            </c:strRef>
          </c:tx>
          <c:spPr>
            <a:solidFill>
              <a:schemeClr val="accent2"/>
            </a:solidFill>
            <a:ln>
              <a:noFill/>
            </a:ln>
            <a:effectLst/>
          </c:spPr>
          <c:invertIfNegative val="0"/>
          <c:cat>
            <c:numRef>
              <c:f>'Liquidity Ratios'!$D$2:$G$2</c:f>
              <c:numCache>
                <c:formatCode>General</c:formatCode>
                <c:ptCount val="4"/>
                <c:pt idx="0">
                  <c:v>2012</c:v>
                </c:pt>
                <c:pt idx="1">
                  <c:v>2013</c:v>
                </c:pt>
                <c:pt idx="2">
                  <c:v>2014</c:v>
                </c:pt>
                <c:pt idx="3">
                  <c:v>2015</c:v>
                </c:pt>
              </c:numCache>
            </c:numRef>
          </c:cat>
          <c:val>
            <c:numRef>
              <c:f>'Liquidity Ratios'!$D$6:$G$6</c:f>
              <c:numCache>
                <c:formatCode>0.000</c:formatCode>
                <c:ptCount val="4"/>
                <c:pt idx="0">
                  <c:v>0.4474189419795222</c:v>
                </c:pt>
                <c:pt idx="1">
                  <c:v>0.40673529924969465</c:v>
                </c:pt>
                <c:pt idx="2">
                  <c:v>0.3927807237882594</c:v>
                </c:pt>
                <c:pt idx="3">
                  <c:v>0.37474487532167894</c:v>
                </c:pt>
              </c:numCache>
            </c:numRef>
          </c:val>
        </c:ser>
        <c:dLbls>
          <c:showLegendKey val="0"/>
          <c:showVal val="0"/>
          <c:showCatName val="0"/>
          <c:showSerName val="0"/>
          <c:showPercent val="0"/>
          <c:showBubbleSize val="0"/>
        </c:dLbls>
        <c:gapWidth val="150"/>
        <c:axId val="-1148242592"/>
        <c:axId val="-1148255104"/>
      </c:barChart>
      <c:lineChart>
        <c:grouping val="standard"/>
        <c:varyColors val="0"/>
        <c:ser>
          <c:idx val="2"/>
          <c:order val="2"/>
          <c:tx>
            <c:strRef>
              <c:f>'Liquidity Ratios'!$B$5</c:f>
              <c:strCache>
                <c:ptCount val="1"/>
                <c:pt idx="0">
                  <c:v>Working capital (In Million)</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'Liquidity Ratios'!$D$2:$G$2</c:f>
              <c:numCache>
                <c:formatCode>General</c:formatCode>
                <c:ptCount val="4"/>
                <c:pt idx="0">
                  <c:v>2012</c:v>
                </c:pt>
                <c:pt idx="1">
                  <c:v>2013</c:v>
                </c:pt>
                <c:pt idx="2">
                  <c:v>2014</c:v>
                </c:pt>
                <c:pt idx="3">
                  <c:v>2015</c:v>
                </c:pt>
              </c:numCache>
            </c:numRef>
          </c:cat>
          <c:val>
            <c:numRef>
              <c:f>'Liquidity Ratios'!$D$5:$G$5</c:f>
              <c:numCache>
                <c:formatCode>0.000</c:formatCode>
                <c:ptCount val="4"/>
                <c:pt idx="0">
                  <c:v>5144</c:v>
                </c:pt>
                <c:pt idx="1">
                  <c:v>3910</c:v>
                </c:pt>
                <c:pt idx="2">
                  <c:v>4530</c:v>
                </c:pt>
                <c:pt idx="3">
                  <c:v>4033</c:v>
                </c:pt>
              </c:numCache>
            </c:numRef>
          </c:val>
          <c:smooth val="0"/>
        </c:ser>
        <c:dLbls>
          <c:showLegendKey val="0"/>
          <c:showVal val="0"/>
          <c:showCatName val="0"/>
          <c:showSerName val="0"/>
          <c:showPercent val="0"/>
          <c:showBubbleSize val="0"/>
        </c:dLbls>
        <c:marker val="1"/>
        <c:smooth val="0"/>
        <c:axId val="-1200822896"/>
        <c:axId val="-1200823440"/>
      </c:lineChart>
      <c:catAx>
        <c:axId val="-114824259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48255104"/>
        <c:crosses val="autoZero"/>
        <c:auto val="1"/>
        <c:lblAlgn val="ctr"/>
        <c:lblOffset val="100"/>
        <c:noMultiLvlLbl val="0"/>
      </c:catAx>
      <c:valAx>
        <c:axId val="-1148255104"/>
        <c:scaling>
          <c:orientation val="minMax"/>
        </c:scaling>
        <c:delete val="0"/>
        <c:axPos val="b"/>
        <c:majorGridlines>
          <c:spPr>
            <a:ln w="9525" cap="flat" cmpd="sng" algn="ctr">
              <a:solidFill>
                <a:schemeClr val="tx1">
                  <a:lumMod val="15000"/>
                  <a:lumOff val="85000"/>
                </a:schemeClr>
              </a:solidFill>
              <a:round/>
            </a:ln>
            <a:effectLst/>
          </c:spPr>
        </c:majorGridlines>
        <c:numFmt formatCode="0.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48242592"/>
        <c:crosses val="autoZero"/>
        <c:crossBetween val="between"/>
      </c:valAx>
      <c:valAx>
        <c:axId val="-1200823440"/>
        <c:scaling>
          <c:orientation val="minMax"/>
        </c:scaling>
        <c:delete val="0"/>
        <c:axPos val="r"/>
        <c:numFmt formatCode="0.00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00822896"/>
        <c:crosses val="max"/>
        <c:crossBetween val="between"/>
      </c:valAx>
      <c:catAx>
        <c:axId val="-1200822896"/>
        <c:scaling>
          <c:orientation val="minMax"/>
        </c:scaling>
        <c:delete val="1"/>
        <c:axPos val="b"/>
        <c:numFmt formatCode="General" sourceLinked="1"/>
        <c:majorTickMark val="out"/>
        <c:minorTickMark val="none"/>
        <c:tickLblPos val="nextTo"/>
        <c:crossAx val="-1200823440"/>
        <c:crosses val="autoZero"/>
        <c:auto val="1"/>
        <c:lblAlgn val="ctr"/>
        <c:lblOffset val="100"/>
        <c:noMultiLvlLbl val="0"/>
      </c:cat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'Liquidity Ratios'!$B$8</c:f>
              <c:strCache>
                <c:ptCount val="1"/>
                <c:pt idx="0">
                  <c:v>Days sales in inventory</c:v>
                </c:pt>
              </c:strCache>
            </c:strRef>
          </c:tx>
          <c:spPr>
            <a:solidFill>
              <a:schemeClr val="accent1"/>
            </a:solidFill>
            <a:ln>
              <a:noFill/>
            </a:ln>
            <a:effectLst/>
          </c:spPr>
          <c:invertIfNegative val="0"/>
          <c:cat>
            <c:numRef>
              <c:f>'Liquidity Ratios'!$D$2:$G$2</c:f>
              <c:numCache>
                <c:formatCode>General</c:formatCode>
                <c:ptCount val="4"/>
                <c:pt idx="0">
                  <c:v>2012</c:v>
                </c:pt>
                <c:pt idx="1">
                  <c:v>2013</c:v>
                </c:pt>
                <c:pt idx="2">
                  <c:v>2014</c:v>
                </c:pt>
                <c:pt idx="3">
                  <c:v>2015</c:v>
                </c:pt>
              </c:numCache>
            </c:numRef>
          </c:cat>
          <c:val>
            <c:numRef>
              <c:f>'Liquidity Ratios'!$E$8:$G$8</c:f>
              <c:numCache>
                <c:formatCode>0.00</c:formatCode>
                <c:ptCount val="3"/>
                <c:pt idx="0">
                  <c:v>78.485596581615965</c:v>
                </c:pt>
                <c:pt idx="1">
                  <c:v>77.252489206954223</c:v>
                </c:pt>
                <c:pt idx="2">
                  <c:v>74.505182398288511</c:v>
                </c:pt>
              </c:numCache>
            </c:numRef>
          </c:val>
        </c:ser>
        <c:ser>
          <c:idx val="1"/>
          <c:order val="1"/>
          <c:tx>
            <c:strRef>
              <c:f>'Liquidity Ratios'!$B$10</c:f>
              <c:strCache>
                <c:ptCount val="1"/>
                <c:pt idx="0">
                  <c:v>Days sales in receivables</c:v>
                </c:pt>
              </c:strCache>
            </c:strRef>
          </c:tx>
          <c:spPr>
            <a:solidFill>
              <a:schemeClr val="accent2"/>
            </a:solidFill>
            <a:ln>
              <a:noFill/>
            </a:ln>
            <a:effectLst/>
          </c:spPr>
          <c:invertIfNegative val="0"/>
          <c:cat>
            <c:numRef>
              <c:f>'Liquidity Ratios'!$D$2:$G$2</c:f>
              <c:numCache>
                <c:formatCode>General</c:formatCode>
                <c:ptCount val="4"/>
                <c:pt idx="0">
                  <c:v>2012</c:v>
                </c:pt>
                <c:pt idx="1">
                  <c:v>2013</c:v>
                </c:pt>
                <c:pt idx="2">
                  <c:v>2014</c:v>
                </c:pt>
                <c:pt idx="3">
                  <c:v>2015</c:v>
                </c:pt>
              </c:numCache>
            </c:numRef>
          </c:cat>
          <c:val>
            <c:numRef>
              <c:f>'Liquidity Ratios'!$E$10:$G$10</c:f>
              <c:numCache>
                <c:formatCode>0.00</c:formatCode>
                <c:ptCount val="3"/>
                <c:pt idx="0">
                  <c:v>6.4451400593948147</c:v>
                </c:pt>
                <c:pt idx="1">
                  <c:v>6.4675747348119579</c:v>
                </c:pt>
                <c:pt idx="2">
                  <c:v>6.3235188035010097</c:v>
                </c:pt>
              </c:numCache>
            </c:numRef>
          </c:val>
        </c:ser>
        <c:dLbls>
          <c:showLegendKey val="0"/>
          <c:showVal val="0"/>
          <c:showCatName val="0"/>
          <c:showSerName val="0"/>
          <c:showPercent val="0"/>
          <c:showBubbleSize val="0"/>
        </c:dLbls>
        <c:gapWidth val="150"/>
        <c:axId val="-963828560"/>
        <c:axId val="-963830192"/>
      </c:barChart>
      <c:lineChart>
        <c:grouping val="standard"/>
        <c:varyColors val="0"/>
        <c:ser>
          <c:idx val="2"/>
          <c:order val="2"/>
          <c:tx>
            <c:strRef>
              <c:f>'Liquidity Ratios'!$B$11</c:f>
              <c:strCache>
                <c:ptCount val="1"/>
                <c:pt idx="0">
                  <c:v>Free cash flow</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numRef>
              <c:f>'Liquidity Ratios'!$D$2:$G$2</c:f>
              <c:numCache>
                <c:formatCode>General</c:formatCode>
                <c:ptCount val="4"/>
                <c:pt idx="0">
                  <c:v>2012</c:v>
                </c:pt>
                <c:pt idx="1">
                  <c:v>2013</c:v>
                </c:pt>
                <c:pt idx="2">
                  <c:v>2014</c:v>
                </c:pt>
                <c:pt idx="3">
                  <c:v>2015</c:v>
                </c:pt>
              </c:numCache>
            </c:numRef>
          </c:cat>
          <c:val>
            <c:numRef>
              <c:f>'Liquidity Ratios'!$E$11:$G$11</c:f>
              <c:numCache>
                <c:formatCode>"$"#,##0.0</c:formatCode>
                <c:ptCount val="3"/>
                <c:pt idx="0">
                  <c:v>7025</c:v>
                </c:pt>
                <c:pt idx="1">
                  <c:v>7716</c:v>
                </c:pt>
                <c:pt idx="2">
                  <c:v>8290</c:v>
                </c:pt>
              </c:numCache>
            </c:numRef>
          </c:val>
          <c:smooth val="0"/>
        </c:ser>
        <c:dLbls>
          <c:showLegendKey val="0"/>
          <c:showVal val="0"/>
          <c:showCatName val="0"/>
          <c:showSerName val="0"/>
          <c:showPercent val="0"/>
          <c:showBubbleSize val="0"/>
        </c:dLbls>
        <c:marker val="1"/>
        <c:smooth val="0"/>
        <c:axId val="-963830736"/>
        <c:axId val="-963829104"/>
      </c:lineChart>
      <c:catAx>
        <c:axId val="-9638285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3830192"/>
        <c:crosses val="autoZero"/>
        <c:auto val="1"/>
        <c:lblAlgn val="ctr"/>
        <c:lblOffset val="100"/>
        <c:noMultiLvlLbl val="0"/>
      </c:catAx>
      <c:valAx>
        <c:axId val="-963830192"/>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3828560"/>
        <c:crosses val="autoZero"/>
        <c:crossBetween val="between"/>
      </c:valAx>
      <c:valAx>
        <c:axId val="-963829104"/>
        <c:scaling>
          <c:orientation val="minMax"/>
        </c:scaling>
        <c:delete val="0"/>
        <c:axPos val="r"/>
        <c:numFmt formatCode="&quot;$&quot;#,##0.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3830736"/>
        <c:crosses val="max"/>
        <c:crossBetween val="between"/>
      </c:valAx>
      <c:catAx>
        <c:axId val="-963830736"/>
        <c:scaling>
          <c:orientation val="minMax"/>
        </c:scaling>
        <c:delete val="1"/>
        <c:axPos val="b"/>
        <c:numFmt formatCode="General" sourceLinked="1"/>
        <c:majorTickMark val="out"/>
        <c:minorTickMark val="none"/>
        <c:tickLblPos val="nextTo"/>
        <c:crossAx val="-963829104"/>
        <c:crosses val="autoZero"/>
        <c:auto val="1"/>
        <c:lblAlgn val="ctr"/>
        <c:lblOffset val="100"/>
        <c:noMultiLvlLbl val="0"/>
      </c:cat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000" b="1"/>
              <a:t>Solvency Ratios of Home Depot</a:t>
            </a:r>
          </a:p>
        </c:rich>
      </c:tx>
      <c:overlay val="0"/>
      <c:spPr>
        <a:noFill/>
        <a:ln>
          <a:noFill/>
        </a:ln>
        <a:effectLst/>
      </c:spPr>
      <c:txPr>
        <a:bodyPr rot="0" spcFirstLastPara="1" vertOverflow="ellipsis" vert="horz" wrap="square" anchor="ctr" anchorCtr="1"/>
        <a:lstStyle/>
        <a:p>
          <a:pPr>
            <a:defRPr sz="10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col"/>
        <c:grouping val="clustered"/>
        <c:varyColors val="0"/>
        <c:ser>
          <c:idx val="0"/>
          <c:order val="0"/>
          <c:tx>
            <c:strRef>
              <c:f>'Solvency Ratios'!$B$4</c:f>
              <c:strCache>
                <c:ptCount val="1"/>
                <c:pt idx="0">
                  <c:v>Debt to equity</c:v>
                </c:pt>
              </c:strCache>
            </c:strRef>
          </c:tx>
          <c:spPr>
            <a:solidFill>
              <a:schemeClr val="accent1"/>
            </a:solidFill>
            <a:ln>
              <a:noFill/>
            </a:ln>
            <a:effectLst/>
          </c:spPr>
          <c:invertIfNegative val="0"/>
          <c:cat>
            <c:numRef>
              <c:f>'Solvency Ratios'!$D$3:$G$3</c:f>
              <c:numCache>
                <c:formatCode>General</c:formatCode>
                <c:ptCount val="4"/>
                <c:pt idx="0">
                  <c:v>2012</c:v>
                </c:pt>
                <c:pt idx="1">
                  <c:v>2013</c:v>
                </c:pt>
                <c:pt idx="2">
                  <c:v>2014</c:v>
                </c:pt>
                <c:pt idx="3">
                  <c:v>2015</c:v>
                </c:pt>
              </c:numCache>
            </c:numRef>
          </c:cat>
          <c:val>
            <c:numRef>
              <c:f>'Solvency Ratios'!$D$4:$G$4</c:f>
              <c:numCache>
                <c:formatCode>0.00</c:formatCode>
                <c:ptCount val="4"/>
                <c:pt idx="0">
                  <c:v>0.73997094647446637</c:v>
                </c:pt>
                <c:pt idx="1">
                  <c:v>0.66631040108004724</c:v>
                </c:pt>
                <c:pt idx="2">
                  <c:v>1.3773358888356493</c:v>
                </c:pt>
                <c:pt idx="3">
                  <c:v>2.0762711864406778</c:v>
                </c:pt>
              </c:numCache>
            </c:numRef>
          </c:val>
        </c:ser>
        <c:ser>
          <c:idx val="1"/>
          <c:order val="1"/>
          <c:tx>
            <c:strRef>
              <c:f>'Solvency Ratios'!$B$5</c:f>
              <c:strCache>
                <c:ptCount val="1"/>
                <c:pt idx="0">
                  <c:v>Debt Ratio</c:v>
                </c:pt>
              </c:strCache>
            </c:strRef>
          </c:tx>
          <c:spPr>
            <a:solidFill>
              <a:schemeClr val="accent2"/>
            </a:solidFill>
            <a:ln>
              <a:noFill/>
            </a:ln>
            <a:effectLst/>
          </c:spPr>
          <c:invertIfNegative val="0"/>
          <c:cat>
            <c:numRef>
              <c:f>'Solvency Ratios'!$D$3:$G$3</c:f>
              <c:numCache>
                <c:formatCode>General</c:formatCode>
                <c:ptCount val="4"/>
                <c:pt idx="0">
                  <c:v>2012</c:v>
                </c:pt>
                <c:pt idx="1">
                  <c:v>2013</c:v>
                </c:pt>
                <c:pt idx="2">
                  <c:v>2014</c:v>
                </c:pt>
                <c:pt idx="3">
                  <c:v>2015</c:v>
                </c:pt>
              </c:numCache>
            </c:numRef>
          </c:cat>
          <c:val>
            <c:numRef>
              <c:f>'Solvency Ratios'!$D$5:$G$5</c:f>
              <c:numCache>
                <c:formatCode>0.00</c:formatCode>
                <c:ptCount val="4"/>
                <c:pt idx="0">
                  <c:v>0.32686707142504567</c:v>
                </c:pt>
                <c:pt idx="1">
                  <c:v>0.28831175153344368</c:v>
                </c:pt>
                <c:pt idx="2">
                  <c:v>0.42566266844365469</c:v>
                </c:pt>
                <c:pt idx="3">
                  <c:v>0.48452911430431084</c:v>
                </c:pt>
              </c:numCache>
            </c:numRef>
          </c:val>
        </c:ser>
        <c:dLbls>
          <c:showLegendKey val="0"/>
          <c:showVal val="0"/>
          <c:showCatName val="0"/>
          <c:showSerName val="0"/>
          <c:showPercent val="0"/>
          <c:showBubbleSize val="0"/>
        </c:dLbls>
        <c:gapWidth val="150"/>
        <c:axId val="-963826384"/>
        <c:axId val="-963825840"/>
      </c:barChart>
      <c:catAx>
        <c:axId val="-963826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963825840"/>
        <c:crosses val="autoZero"/>
        <c:auto val="1"/>
        <c:lblAlgn val="ctr"/>
        <c:lblOffset val="100"/>
        <c:noMultiLvlLbl val="0"/>
      </c:catAx>
      <c:valAx>
        <c:axId val="-963825840"/>
        <c:scaling>
          <c:orientation val="minMax"/>
        </c:scaling>
        <c:delete val="0"/>
        <c:axPos val="l"/>
        <c:majorGridlines>
          <c:spPr>
            <a:ln w="9525" cap="flat" cmpd="sng" algn="ctr">
              <a:solidFill>
                <a:schemeClr val="tx1">
                  <a:lumMod val="15000"/>
                  <a:lumOff val="85000"/>
                </a:schemeClr>
              </a:solidFill>
              <a:round/>
            </a:ln>
            <a:effectLst/>
          </c:spPr>
        </c:majorGridlines>
        <c:title>
          <c:overlay val="0"/>
          <c:spPr>
            <a:noFill/>
            <a:ln>
              <a:noFill/>
            </a:ln>
            <a:effectLst/>
          </c:spPr>
          <c:txPr>
            <a:bodyPr rot="-54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963826384"/>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700">
          <a:latin typeface="Arial" panose="020B0604020202020204" pitchFamily="34" charset="0"/>
          <a:cs typeface="Arial" panose="020B0604020202020204" pitchFamily="34" charset="0"/>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000" b="1"/>
              <a:t>Market Performance Ratio of Home Depot</a:t>
            </a:r>
          </a:p>
        </c:rich>
      </c:tx>
      <c:overlay val="0"/>
      <c:spPr>
        <a:noFill/>
        <a:ln>
          <a:noFill/>
        </a:ln>
        <a:effectLst/>
      </c:spPr>
      <c:txPr>
        <a:bodyPr rot="0" spcFirstLastPara="1" vertOverflow="ellipsis" vert="horz" wrap="square" anchor="ctr" anchorCtr="1"/>
        <a:lstStyle/>
        <a:p>
          <a:pPr>
            <a:defRPr sz="10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col"/>
        <c:grouping val="clustered"/>
        <c:varyColors val="0"/>
        <c:ser>
          <c:idx val="2"/>
          <c:order val="1"/>
          <c:tx>
            <c:strRef>
              <c:f>'Market Performance Ratios'!$B$13</c:f>
              <c:strCache>
                <c:ptCount val="1"/>
                <c:pt idx="0">
                  <c:v>Dividends per share</c:v>
                </c:pt>
              </c:strCache>
            </c:strRef>
          </c:tx>
          <c:spPr>
            <a:solidFill>
              <a:schemeClr val="accent3"/>
            </a:solidFill>
            <a:ln>
              <a:noFill/>
            </a:ln>
            <a:effectLst/>
          </c:spPr>
          <c:invertIfNegative val="0"/>
          <c:cat>
            <c:numRef>
              <c:f>'Market Performance Ratios'!$D$2:$G$2</c:f>
              <c:numCache>
                <c:formatCode>General</c:formatCode>
                <c:ptCount val="4"/>
                <c:pt idx="0">
                  <c:v>2012</c:v>
                </c:pt>
                <c:pt idx="1">
                  <c:v>2013</c:v>
                </c:pt>
                <c:pt idx="2">
                  <c:v>2014</c:v>
                </c:pt>
                <c:pt idx="3">
                  <c:v>2015</c:v>
                </c:pt>
              </c:numCache>
            </c:numRef>
          </c:cat>
          <c:val>
            <c:numRef>
              <c:f>'Market Performance Ratios'!$D$13:$G$13</c:f>
              <c:numCache>
                <c:formatCode>"$"#,##0.00</c:formatCode>
                <c:ptCount val="4"/>
                <c:pt idx="0">
                  <c:v>1.04</c:v>
                </c:pt>
                <c:pt idx="1">
                  <c:v>1.1599999999999999</c:v>
                </c:pt>
                <c:pt idx="2">
                  <c:v>1.56</c:v>
                </c:pt>
                <c:pt idx="3">
                  <c:v>1.88</c:v>
                </c:pt>
              </c:numCache>
            </c:numRef>
          </c:val>
        </c:ser>
        <c:dLbls>
          <c:showLegendKey val="0"/>
          <c:showVal val="0"/>
          <c:showCatName val="0"/>
          <c:showSerName val="0"/>
          <c:showPercent val="0"/>
          <c:showBubbleSize val="0"/>
        </c:dLbls>
        <c:gapWidth val="150"/>
        <c:axId val="-1140224112"/>
        <c:axId val="-1140229552"/>
      </c:barChart>
      <c:lineChart>
        <c:grouping val="standard"/>
        <c:varyColors val="0"/>
        <c:ser>
          <c:idx val="3"/>
          <c:order val="2"/>
          <c:tx>
            <c:strRef>
              <c:f>'Market Performance Ratios'!$B$4</c:f>
              <c:strCache>
                <c:ptCount val="1"/>
                <c:pt idx="0">
                  <c:v>Earnings per share (basic)</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numRef>
              <c:f>'Market Performance Ratios'!$D$2:$G$2</c:f>
              <c:numCache>
                <c:formatCode>General</c:formatCode>
                <c:ptCount val="4"/>
                <c:pt idx="0">
                  <c:v>2012</c:v>
                </c:pt>
                <c:pt idx="1">
                  <c:v>2013</c:v>
                </c:pt>
                <c:pt idx="2">
                  <c:v>2014</c:v>
                </c:pt>
                <c:pt idx="3">
                  <c:v>2015</c:v>
                </c:pt>
              </c:numCache>
            </c:numRef>
          </c:cat>
          <c:val>
            <c:numRef>
              <c:f>'Market Performance Ratios'!$D$4:$G$4</c:f>
              <c:numCache>
                <c:formatCode>"$"#,##0.00</c:formatCode>
                <c:ptCount val="4"/>
                <c:pt idx="0">
                  <c:v>2.4900000000000002</c:v>
                </c:pt>
                <c:pt idx="1">
                  <c:v>3.03</c:v>
                </c:pt>
                <c:pt idx="2">
                  <c:v>3.78</c:v>
                </c:pt>
                <c:pt idx="3">
                  <c:v>4.74</c:v>
                </c:pt>
              </c:numCache>
            </c:numRef>
          </c:val>
          <c:smooth val="0"/>
        </c:ser>
        <c:dLbls>
          <c:showLegendKey val="0"/>
          <c:showVal val="0"/>
          <c:showCatName val="0"/>
          <c:showSerName val="0"/>
          <c:showPercent val="0"/>
          <c:showBubbleSize val="0"/>
        </c:dLbls>
        <c:marker val="1"/>
        <c:smooth val="0"/>
        <c:axId val="-1140224112"/>
        <c:axId val="-1140229552"/>
      </c:lineChart>
      <c:lineChart>
        <c:grouping val="standard"/>
        <c:varyColors val="0"/>
        <c:ser>
          <c:idx val="1"/>
          <c:order val="0"/>
          <c:tx>
            <c:strRef>
              <c:f>'Market Performance Ratios'!$B$12</c:f>
              <c:strCache>
                <c:ptCount val="1"/>
                <c:pt idx="0">
                  <c:v>Adjusted closing price</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'Market Performance Ratios'!$D$2:$G$2</c:f>
              <c:numCache>
                <c:formatCode>General</c:formatCode>
                <c:ptCount val="4"/>
                <c:pt idx="0">
                  <c:v>2012</c:v>
                </c:pt>
                <c:pt idx="1">
                  <c:v>2013</c:v>
                </c:pt>
                <c:pt idx="2">
                  <c:v>2014</c:v>
                </c:pt>
                <c:pt idx="3">
                  <c:v>2015</c:v>
                </c:pt>
              </c:numCache>
            </c:numRef>
          </c:cat>
          <c:val>
            <c:numRef>
              <c:f>'Market Performance Ratios'!$D$12:$G$12</c:f>
              <c:numCache>
                <c:formatCode>"$"#,##0.00</c:formatCode>
                <c:ptCount val="4"/>
                <c:pt idx="0">
                  <c:v>41.67</c:v>
                </c:pt>
                <c:pt idx="1">
                  <c:v>63.87</c:v>
                </c:pt>
                <c:pt idx="2">
                  <c:v>74.44</c:v>
                </c:pt>
                <c:pt idx="3">
                  <c:v>103.34</c:v>
                </c:pt>
              </c:numCache>
            </c:numRef>
          </c:val>
          <c:smooth val="0"/>
        </c:ser>
        <c:dLbls>
          <c:showLegendKey val="0"/>
          <c:showVal val="0"/>
          <c:showCatName val="0"/>
          <c:showSerName val="0"/>
          <c:showPercent val="0"/>
          <c:showBubbleSize val="0"/>
        </c:dLbls>
        <c:marker val="1"/>
        <c:smooth val="0"/>
        <c:axId val="-1140230640"/>
        <c:axId val="-1140232272"/>
      </c:lineChart>
      <c:catAx>
        <c:axId val="-1140224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140229552"/>
        <c:crosses val="autoZero"/>
        <c:auto val="1"/>
        <c:lblAlgn val="ctr"/>
        <c:lblOffset val="100"/>
        <c:noMultiLvlLbl val="0"/>
      </c:catAx>
      <c:valAx>
        <c:axId val="-1140229552"/>
        <c:scaling>
          <c:orientation val="minMax"/>
        </c:scaling>
        <c:delete val="0"/>
        <c:axPos val="l"/>
        <c:majorGridlines>
          <c:spPr>
            <a:ln w="9525" cap="flat" cmpd="sng" algn="ctr">
              <a:solidFill>
                <a:schemeClr val="tx1">
                  <a:lumMod val="15000"/>
                  <a:lumOff val="85000"/>
                </a:schemeClr>
              </a:solidFill>
              <a:round/>
            </a:ln>
            <a:effectLst/>
          </c:spPr>
        </c:majorGridlines>
        <c:numFmt formatCode="&quot;$&quot;#,##0.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140224112"/>
        <c:crosses val="autoZero"/>
        <c:crossBetween val="between"/>
      </c:valAx>
      <c:valAx>
        <c:axId val="-1140232272"/>
        <c:scaling>
          <c:orientation val="minMax"/>
        </c:scaling>
        <c:delete val="0"/>
        <c:axPos val="r"/>
        <c:numFmt formatCode="&quot;$&quot;#,##0.00"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140230640"/>
        <c:crosses val="max"/>
        <c:crossBetween val="between"/>
      </c:valAx>
      <c:catAx>
        <c:axId val="-1140230640"/>
        <c:scaling>
          <c:orientation val="minMax"/>
        </c:scaling>
        <c:delete val="1"/>
        <c:axPos val="b"/>
        <c:numFmt formatCode="General" sourceLinked="1"/>
        <c:majorTickMark val="out"/>
        <c:minorTickMark val="none"/>
        <c:tickLblPos val="nextTo"/>
        <c:crossAx val="-1140232272"/>
        <c:crosses val="autoZero"/>
        <c:auto val="1"/>
        <c:lblAlgn val="ctr"/>
        <c:lblOffset val="100"/>
        <c:noMultiLvlLbl val="0"/>
      </c:cat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800">
          <a:latin typeface="Arial" panose="020B0604020202020204" pitchFamily="34" charset="0"/>
          <a:cs typeface="Arial" panose="020B0604020202020204" pitchFamily="34" charset="0"/>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000" b="1"/>
              <a:t>Market Performance Ratio of Home Depot</a:t>
            </a:r>
          </a:p>
        </c:rich>
      </c:tx>
      <c:overlay val="0"/>
      <c:spPr>
        <a:noFill/>
        <a:ln>
          <a:noFill/>
        </a:ln>
        <a:effectLst/>
      </c:spPr>
      <c:txPr>
        <a:bodyPr rot="0" spcFirstLastPara="1" vertOverflow="ellipsis" vert="horz" wrap="square" anchor="ctr" anchorCtr="1"/>
        <a:lstStyle/>
        <a:p>
          <a:pPr>
            <a:defRPr sz="1000" b="1"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col"/>
        <c:grouping val="clustered"/>
        <c:varyColors val="0"/>
        <c:ser>
          <c:idx val="2"/>
          <c:order val="1"/>
          <c:tx>
            <c:strRef>
              <c:f>'Market Performance Ratios'!$B$6</c:f>
              <c:strCache>
                <c:ptCount val="1"/>
                <c:pt idx="0">
                  <c:v>Dividend yield</c:v>
                </c:pt>
              </c:strCache>
            </c:strRef>
          </c:tx>
          <c:spPr>
            <a:solidFill>
              <a:schemeClr val="accent3"/>
            </a:solidFill>
            <a:ln>
              <a:noFill/>
            </a:ln>
            <a:effectLst/>
          </c:spPr>
          <c:invertIfNegative val="0"/>
          <c:cat>
            <c:numRef>
              <c:f>'Market Performance Ratios'!$D$2:$G$2</c:f>
              <c:numCache>
                <c:formatCode>General</c:formatCode>
                <c:ptCount val="4"/>
                <c:pt idx="0">
                  <c:v>2012</c:v>
                </c:pt>
                <c:pt idx="1">
                  <c:v>2013</c:v>
                </c:pt>
                <c:pt idx="2">
                  <c:v>2014</c:v>
                </c:pt>
                <c:pt idx="3">
                  <c:v>2015</c:v>
                </c:pt>
              </c:numCache>
            </c:numRef>
          </c:cat>
          <c:val>
            <c:numRef>
              <c:f>'Market Performance Ratios'!$D$6:$G$6</c:f>
              <c:numCache>
                <c:formatCode>0.00%</c:formatCode>
                <c:ptCount val="4"/>
                <c:pt idx="0">
                  <c:v>2.495800335973122E-2</c:v>
                </c:pt>
                <c:pt idx="1">
                  <c:v>1.8161891341788007E-2</c:v>
                </c:pt>
                <c:pt idx="2">
                  <c:v>2.0956475013433638E-2</c:v>
                </c:pt>
                <c:pt idx="3">
                  <c:v>1.8192374685504161E-2</c:v>
                </c:pt>
              </c:numCache>
            </c:numRef>
          </c:val>
        </c:ser>
        <c:ser>
          <c:idx val="3"/>
          <c:order val="2"/>
          <c:tx>
            <c:strRef>
              <c:f>'Market Performance Ratios'!$B$7</c:f>
              <c:strCache>
                <c:ptCount val="1"/>
                <c:pt idx="0">
                  <c:v>Dividend payout</c:v>
                </c:pt>
              </c:strCache>
            </c:strRef>
          </c:tx>
          <c:spPr>
            <a:solidFill>
              <a:schemeClr val="accent4"/>
            </a:solidFill>
            <a:ln>
              <a:noFill/>
            </a:ln>
            <a:effectLst/>
          </c:spPr>
          <c:invertIfNegative val="0"/>
          <c:cat>
            <c:numRef>
              <c:f>'Market Performance Ratios'!$D$2:$G$2</c:f>
              <c:numCache>
                <c:formatCode>General</c:formatCode>
                <c:ptCount val="4"/>
                <c:pt idx="0">
                  <c:v>2012</c:v>
                </c:pt>
                <c:pt idx="1">
                  <c:v>2013</c:v>
                </c:pt>
                <c:pt idx="2">
                  <c:v>2014</c:v>
                </c:pt>
                <c:pt idx="3">
                  <c:v>2015</c:v>
                </c:pt>
              </c:numCache>
            </c:numRef>
          </c:cat>
          <c:val>
            <c:numRef>
              <c:f>'Market Performance Ratios'!$D$7:$G$7</c:f>
              <c:numCache>
                <c:formatCode>0.00%</c:formatCode>
                <c:ptCount val="4"/>
                <c:pt idx="0">
                  <c:v>0.41767068273092367</c:v>
                </c:pt>
                <c:pt idx="1">
                  <c:v>0.38283828382838286</c:v>
                </c:pt>
                <c:pt idx="2">
                  <c:v>0.41269841269841273</c:v>
                </c:pt>
                <c:pt idx="3">
                  <c:v>0.39662447257383965</c:v>
                </c:pt>
              </c:numCache>
            </c:numRef>
          </c:val>
        </c:ser>
        <c:dLbls>
          <c:showLegendKey val="0"/>
          <c:showVal val="0"/>
          <c:showCatName val="0"/>
          <c:showSerName val="0"/>
          <c:showPercent val="0"/>
          <c:showBubbleSize val="0"/>
        </c:dLbls>
        <c:gapWidth val="150"/>
        <c:axId val="-1140226832"/>
        <c:axId val="-1140223024"/>
      </c:barChart>
      <c:lineChart>
        <c:grouping val="standard"/>
        <c:varyColors val="0"/>
        <c:ser>
          <c:idx val="1"/>
          <c:order val="0"/>
          <c:tx>
            <c:strRef>
              <c:f>'Market Performance Ratios'!$B$5</c:f>
              <c:strCache>
                <c:ptCount val="1"/>
                <c:pt idx="0">
                  <c:v>P/E Ratio (Times)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numRef>
              <c:f>'Market Performance Ratios'!$D$2:$G$2</c:f>
              <c:numCache>
                <c:formatCode>General</c:formatCode>
                <c:ptCount val="4"/>
                <c:pt idx="0">
                  <c:v>2012</c:v>
                </c:pt>
                <c:pt idx="1">
                  <c:v>2013</c:v>
                </c:pt>
                <c:pt idx="2">
                  <c:v>2014</c:v>
                </c:pt>
                <c:pt idx="3">
                  <c:v>2015</c:v>
                </c:pt>
              </c:numCache>
            </c:numRef>
          </c:cat>
          <c:val>
            <c:numRef>
              <c:f>'Market Performance Ratios'!$D$5:$G$5</c:f>
              <c:numCache>
                <c:formatCode>0.00</c:formatCode>
                <c:ptCount val="4"/>
                <c:pt idx="0">
                  <c:v>16.734939759036145</c:v>
                </c:pt>
                <c:pt idx="1">
                  <c:v>21.079207920792079</c:v>
                </c:pt>
                <c:pt idx="2">
                  <c:v>19.693121693121693</c:v>
                </c:pt>
                <c:pt idx="3">
                  <c:v>21.80168776371308</c:v>
                </c:pt>
              </c:numCache>
            </c:numRef>
          </c:val>
          <c:smooth val="0"/>
        </c:ser>
        <c:dLbls>
          <c:showLegendKey val="0"/>
          <c:showVal val="0"/>
          <c:showCatName val="0"/>
          <c:showSerName val="0"/>
          <c:showPercent val="0"/>
          <c:showBubbleSize val="0"/>
        </c:dLbls>
        <c:marker val="1"/>
        <c:smooth val="0"/>
        <c:axId val="-1140236080"/>
        <c:axId val="-1140234992"/>
      </c:lineChart>
      <c:catAx>
        <c:axId val="-11402268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140223024"/>
        <c:crosses val="autoZero"/>
        <c:auto val="1"/>
        <c:lblAlgn val="ctr"/>
        <c:lblOffset val="100"/>
        <c:noMultiLvlLbl val="0"/>
      </c:catAx>
      <c:valAx>
        <c:axId val="-114022302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140226832"/>
        <c:crosses val="autoZero"/>
        <c:crossBetween val="between"/>
      </c:valAx>
      <c:valAx>
        <c:axId val="-1140234992"/>
        <c:scaling>
          <c:orientation val="minMax"/>
        </c:scaling>
        <c:delete val="0"/>
        <c:axPos val="r"/>
        <c:numFmt formatCode="0.00" sourceLinked="1"/>
        <c:majorTickMark val="out"/>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140236080"/>
        <c:crosses val="max"/>
        <c:crossBetween val="between"/>
      </c:valAx>
      <c:catAx>
        <c:axId val="-1140236080"/>
        <c:scaling>
          <c:orientation val="minMax"/>
        </c:scaling>
        <c:delete val="1"/>
        <c:axPos val="b"/>
        <c:numFmt formatCode="General" sourceLinked="1"/>
        <c:majorTickMark val="out"/>
        <c:minorTickMark val="none"/>
        <c:tickLblPos val="nextTo"/>
        <c:crossAx val="-1140234992"/>
        <c:crosses val="autoZero"/>
        <c:auto val="1"/>
        <c:lblAlgn val="ctr"/>
        <c:lblOffset val="100"/>
        <c:noMultiLvlLbl val="0"/>
      </c:cat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700">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Hom162</b:Tag>
    <b:SourceType>InternetSite</b:SourceType>
    <b:Guid>{B272AFF8-0C9D-471C-9280-FCD62A7A7B9F}</b:Guid>
    <b:Title>Home Depot</b:Title>
    <b:InternetSiteTitle>Home Depot: About Us</b:InternetSiteTitle>
    <b:Year>2016</b:Year>
    <b:URL>https://corporate.homedepot.com/about</b:URL>
    <b:YearAccessed>2016</b:YearAccessed>
    <b:MonthAccessed>October</b:MonthAccessed>
    <b:DayAccessed>22</b:DayAccessed>
    <b:RefOrder>4</b:RefOrder>
  </b:Source>
  <b:Source>
    <b:Tag>Blo163</b:Tag>
    <b:SourceType>InternetSite</b:SourceType>
    <b:Guid>{4E421923-80E0-43C3-801E-5F5A1C6BA9EA}</b:Guid>
    <b:Title>Bloomberg</b:Title>
    <b:InternetSiteTitle>Home Depot: Snapshot</b:InternetSiteTitle>
    <b:Year>2016</b:Year>
    <b:URL>http://www.bloomberg.com/research/stocks/snapshot/snapshot_article.asp?ticker=HD</b:URL>
    <b:YearAccessed>2016</b:YearAccessed>
    <b:MonthAccessed>October</b:MonthAccessed>
    <b:DayAccessed>22</b:DayAccessed>
    <b:RefOrder>5</b:RefOrder>
  </b:Source>
  <b:Source>
    <b:Tag>MyA14</b:Tag>
    <b:SourceType>InternetSite</b:SourceType>
    <b:Guid>{2FAFBACF-0D19-4E4D-8459-BDA7A3716694}</b:Guid>
    <b:Title>My Accounting Course</b:Title>
    <b:InternetSiteTitle>Financial Ratio Analysis</b:InternetSiteTitle>
    <b:Year>2014</b:Year>
    <b:URL>http://www.myaccountingcourse.com/financial-ratios/</b:URL>
    <b:YearAccessed>2016</b:YearAccessed>
    <b:MonthAccessed>October</b:MonthAccessed>
    <b:DayAccessed>22</b:DayAccessed>
    <b:RefOrder>2</b:RefOrder>
  </b:Source>
  <b:Source>
    <b:Tag>Pra14</b:Tag>
    <b:SourceType>Book</b:SourceType>
    <b:Guid>{CA862F91-4597-4C76-B500-674954E76680}</b:Guid>
    <b:Author>
      <b:Author>
        <b:NameList>
          <b:Person>
            <b:Last>Chandra</b:Last>
            <b:First>Prasanna</b:First>
          </b:Person>
        </b:NameList>
      </b:Author>
    </b:Author>
    <b:Title>FInancial Management: Theory and Practice </b:Title>
    <b:Year>2014</b:Year>
    <b:City>New York</b:City>
    <b:Publisher>CFM- McGraw- Hill Professional Series in Finance</b:Publisher>
    <b:RefOrder>1</b:RefOrder>
  </b:Source>
  <b:Source>
    <b:Tag>Kim05</b:Tag>
    <b:SourceType>Book</b:SourceType>
    <b:Guid>{7E37B8BA-ED73-4B51-A547-7F80D0B487D6}</b:Guid>
    <b:Author>
      <b:Author>
        <b:NameList>
          <b:Person>
            <b:Last>Langfield-Smith</b:Last>
            <b:First>Kim</b:First>
          </b:Person>
          <b:Person>
            <b:Last>Thorne</b:Last>
            <b:First>Helen</b:First>
          </b:Person>
        </b:NameList>
      </b:Author>
    </b:Author>
    <b:Title>Management Accounting: Information for Managing and Creating Value</b:Title>
    <b:Year>2012</b:Year>
    <b:City>New York</b:City>
    <b:Publisher>McGraw Hill Higher Education</b:Publisher>
    <b:RefOrder>3</b:RefOrder>
  </b:Source>
</b:Sources>
</file>

<file path=customXml/itemProps1.xml><?xml version="1.0" encoding="utf-8"?>
<ds:datastoreItem xmlns:ds="http://schemas.openxmlformats.org/officeDocument/2006/customXml" ds:itemID="{465050FC-4B9F-4E83-AEB5-32535CCBA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9</Pages>
  <Words>1466</Words>
  <Characters>8362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33</cp:revision>
  <dcterms:created xsi:type="dcterms:W3CDTF">2016-10-23T17:26:00Z</dcterms:created>
  <dcterms:modified xsi:type="dcterms:W3CDTF">2016-10-23T21:24:00Z</dcterms:modified>
</cp:coreProperties>
</file>