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4F23" w:rsidRDefault="00074F23"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074F23" w:rsidRDefault="00074F23"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074F23" w:rsidRDefault="00074F23"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074F23" w:rsidRDefault="00074F23"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074F23" w:rsidRDefault="00074F23"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074F23" w:rsidRDefault="00074F23"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074F23" w:rsidRDefault="00074F23"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074F23" w:rsidRDefault="00074F23"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074F23" w:rsidRDefault="00074F23"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074F23" w:rsidRPr="00074F23" w:rsidRDefault="00074F23" w:rsidP="0018240B">
      <w:pPr>
        <w:spacing w:before="100" w:beforeAutospacing="1" w:after="100" w:afterAutospacing="1" w:line="240" w:lineRule="auto"/>
        <w:rPr>
          <w:rFonts w:ascii="Times New Roman" w:eastAsia="Times New Roman" w:hAnsi="Times New Roman" w:cs="Times New Roman"/>
          <w:b/>
          <w:bCs/>
          <w:color w:val="000000"/>
          <w:sz w:val="36"/>
          <w:szCs w:val="36"/>
        </w:rPr>
      </w:pPr>
    </w:p>
    <w:p w:rsidR="0018240B" w:rsidRPr="00074F23" w:rsidRDefault="00074F23" w:rsidP="00074F23">
      <w:pPr>
        <w:spacing w:before="100" w:beforeAutospacing="1" w:after="100" w:afterAutospacing="1" w:line="240" w:lineRule="auto"/>
        <w:jc w:val="center"/>
        <w:rPr>
          <w:rFonts w:ascii="Times New Roman" w:eastAsia="Times New Roman" w:hAnsi="Times New Roman" w:cs="Times New Roman"/>
          <w:b/>
          <w:bCs/>
          <w:color w:val="000000"/>
          <w:sz w:val="36"/>
          <w:szCs w:val="36"/>
        </w:rPr>
      </w:pPr>
      <w:r w:rsidRPr="00074F23">
        <w:rPr>
          <w:rFonts w:ascii="Times New Roman" w:eastAsia="Times New Roman" w:hAnsi="Times New Roman" w:cs="Times New Roman"/>
          <w:b/>
          <w:bCs/>
          <w:color w:val="000000"/>
          <w:sz w:val="36"/>
          <w:szCs w:val="36"/>
        </w:rPr>
        <w:t xml:space="preserve">ASSIGNMENT TITLE: </w:t>
      </w:r>
      <w:r w:rsidR="0018240B" w:rsidRPr="00074F23">
        <w:rPr>
          <w:rFonts w:ascii="Times New Roman" w:eastAsia="Times New Roman" w:hAnsi="Times New Roman" w:cs="Times New Roman"/>
          <w:b/>
          <w:bCs/>
          <w:color w:val="000000"/>
          <w:sz w:val="36"/>
          <w:szCs w:val="36"/>
        </w:rPr>
        <w:t xml:space="preserve">FINANCIAL </w:t>
      </w:r>
      <w:r w:rsidRPr="00074F23">
        <w:rPr>
          <w:rFonts w:ascii="Times New Roman" w:eastAsia="Times New Roman" w:hAnsi="Times New Roman" w:cs="Times New Roman"/>
          <w:b/>
          <w:bCs/>
          <w:color w:val="000000"/>
          <w:sz w:val="36"/>
          <w:szCs w:val="36"/>
        </w:rPr>
        <w:t>PERFORMANCE ANALYSIS OF VERIZON COMMUNICATION</w:t>
      </w:r>
    </w:p>
    <w:p w:rsidR="005A04E7" w:rsidRDefault="005A04E7"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5A04E7" w:rsidRDefault="005A04E7"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5A04E7" w:rsidRDefault="005A04E7"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5A04E7" w:rsidRDefault="005A04E7"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5A04E7" w:rsidRDefault="005A04E7"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5A04E7" w:rsidRDefault="005A04E7"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5A04E7" w:rsidRDefault="005A04E7"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5A04E7" w:rsidRDefault="005A04E7"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35717E" w:rsidRDefault="0035717E"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5A04E7" w:rsidRDefault="005A04E7"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5A04E7" w:rsidRDefault="005A04E7" w:rsidP="0035717E">
      <w:pPr>
        <w:spacing w:before="100" w:beforeAutospacing="1" w:after="100" w:afterAutospacing="1" w:line="240" w:lineRule="auto"/>
        <w:jc w:val="center"/>
        <w:rPr>
          <w:rFonts w:ascii="Times New Roman" w:eastAsia="Times New Roman" w:hAnsi="Times New Roman" w:cs="Times New Roman"/>
          <w:b/>
          <w:bCs/>
          <w:color w:val="000000"/>
          <w:sz w:val="27"/>
          <w:szCs w:val="27"/>
        </w:rPr>
      </w:pPr>
      <w:r>
        <w:rPr>
          <w:rFonts w:ascii="Times New Roman" w:eastAsia="Times New Roman" w:hAnsi="Times New Roman" w:cs="Times New Roman"/>
          <w:b/>
          <w:bCs/>
          <w:color w:val="000000"/>
          <w:sz w:val="27"/>
          <w:szCs w:val="27"/>
        </w:rPr>
        <w:lastRenderedPageBreak/>
        <w:t>SUMMARY</w:t>
      </w:r>
    </w:p>
    <w:p w:rsidR="005A04E7" w:rsidRPr="0035717E" w:rsidRDefault="0035717E" w:rsidP="0035717E">
      <w:pPr>
        <w:spacing w:after="0" w:line="48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5A04E7" w:rsidRPr="0035717E">
        <w:rPr>
          <w:rFonts w:ascii="Times New Roman" w:eastAsia="Times New Roman" w:hAnsi="Times New Roman" w:cs="Times New Roman"/>
          <w:bCs/>
          <w:color w:val="000000"/>
          <w:sz w:val="24"/>
          <w:szCs w:val="24"/>
        </w:rPr>
        <w:t xml:space="preserve">This paper </w:t>
      </w:r>
      <w:r w:rsidR="00074F23" w:rsidRPr="0035717E">
        <w:rPr>
          <w:rFonts w:ascii="Times New Roman" w:eastAsia="Times New Roman" w:hAnsi="Times New Roman" w:cs="Times New Roman"/>
          <w:bCs/>
          <w:color w:val="000000"/>
          <w:sz w:val="24"/>
          <w:szCs w:val="24"/>
        </w:rPr>
        <w:t>aims at assessing the financial</w:t>
      </w:r>
      <w:r w:rsidR="005A04E7" w:rsidRPr="0035717E">
        <w:rPr>
          <w:rFonts w:ascii="Times New Roman" w:eastAsia="Times New Roman" w:hAnsi="Times New Roman" w:cs="Times New Roman"/>
          <w:bCs/>
          <w:color w:val="000000"/>
          <w:sz w:val="24"/>
          <w:szCs w:val="24"/>
        </w:rPr>
        <w:t xml:space="preserve"> performance of the Verizon Communication, and making recommendation with respect to the investment in the share of the </w:t>
      </w:r>
      <w:r w:rsidR="00074F23" w:rsidRPr="0035717E">
        <w:rPr>
          <w:rFonts w:ascii="Times New Roman" w:eastAsia="Times New Roman" w:hAnsi="Times New Roman" w:cs="Times New Roman"/>
          <w:bCs/>
          <w:color w:val="000000"/>
          <w:sz w:val="24"/>
          <w:szCs w:val="24"/>
        </w:rPr>
        <w:t>company</w:t>
      </w:r>
      <w:r w:rsidR="005A04E7" w:rsidRPr="0035717E">
        <w:rPr>
          <w:rFonts w:ascii="Times New Roman" w:eastAsia="Times New Roman" w:hAnsi="Times New Roman" w:cs="Times New Roman"/>
          <w:bCs/>
          <w:color w:val="000000"/>
          <w:sz w:val="24"/>
          <w:szCs w:val="24"/>
        </w:rPr>
        <w:t xml:space="preserve"> traded in NYSE. </w:t>
      </w:r>
    </w:p>
    <w:p w:rsidR="00074F23" w:rsidRPr="0035717E" w:rsidRDefault="0035717E" w:rsidP="0035717E">
      <w:pPr>
        <w:spacing w:after="0" w:line="48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F17DD2" w:rsidRPr="0035717E">
        <w:rPr>
          <w:rFonts w:ascii="Times New Roman" w:eastAsia="Times New Roman" w:hAnsi="Times New Roman" w:cs="Times New Roman"/>
          <w:bCs/>
          <w:color w:val="000000"/>
          <w:sz w:val="24"/>
          <w:szCs w:val="24"/>
        </w:rPr>
        <w:t xml:space="preserve">The financial </w:t>
      </w:r>
      <w:r w:rsidR="00074F23" w:rsidRPr="0035717E">
        <w:rPr>
          <w:rFonts w:ascii="Times New Roman" w:eastAsia="Times New Roman" w:hAnsi="Times New Roman" w:cs="Times New Roman"/>
          <w:bCs/>
          <w:color w:val="000000"/>
          <w:sz w:val="24"/>
          <w:szCs w:val="24"/>
        </w:rPr>
        <w:t>performance</w:t>
      </w:r>
      <w:r w:rsidR="00F17DD2" w:rsidRPr="0035717E">
        <w:rPr>
          <w:rFonts w:ascii="Times New Roman" w:eastAsia="Times New Roman" w:hAnsi="Times New Roman" w:cs="Times New Roman"/>
          <w:bCs/>
          <w:color w:val="000000"/>
          <w:sz w:val="24"/>
          <w:szCs w:val="24"/>
        </w:rPr>
        <w:t xml:space="preserve"> </w:t>
      </w:r>
      <w:r w:rsidR="00074F23" w:rsidRPr="0035717E">
        <w:rPr>
          <w:rFonts w:ascii="Times New Roman" w:eastAsia="Times New Roman" w:hAnsi="Times New Roman" w:cs="Times New Roman"/>
          <w:bCs/>
          <w:color w:val="000000"/>
          <w:sz w:val="24"/>
          <w:szCs w:val="24"/>
        </w:rPr>
        <w:t>analysis</w:t>
      </w:r>
      <w:r w:rsidR="00F17DD2" w:rsidRPr="0035717E">
        <w:rPr>
          <w:rFonts w:ascii="Times New Roman" w:eastAsia="Times New Roman" w:hAnsi="Times New Roman" w:cs="Times New Roman"/>
          <w:bCs/>
          <w:color w:val="000000"/>
          <w:sz w:val="24"/>
          <w:szCs w:val="24"/>
        </w:rPr>
        <w:t xml:space="preserve"> of the Verizon Communication reveals that the </w:t>
      </w:r>
      <w:r w:rsidR="00074F23" w:rsidRPr="0035717E">
        <w:rPr>
          <w:rFonts w:ascii="Times New Roman" w:eastAsia="Times New Roman" w:hAnsi="Times New Roman" w:cs="Times New Roman"/>
          <w:bCs/>
          <w:color w:val="000000"/>
          <w:sz w:val="24"/>
          <w:szCs w:val="24"/>
        </w:rPr>
        <w:t>financial</w:t>
      </w:r>
      <w:r w:rsidR="00F17DD2" w:rsidRPr="0035717E">
        <w:rPr>
          <w:rFonts w:ascii="Times New Roman" w:eastAsia="Times New Roman" w:hAnsi="Times New Roman" w:cs="Times New Roman"/>
          <w:bCs/>
          <w:color w:val="000000"/>
          <w:sz w:val="24"/>
          <w:szCs w:val="24"/>
        </w:rPr>
        <w:t xml:space="preserve"> performance of the </w:t>
      </w:r>
      <w:r w:rsidR="00074F23" w:rsidRPr="0035717E">
        <w:rPr>
          <w:rFonts w:ascii="Times New Roman" w:eastAsia="Times New Roman" w:hAnsi="Times New Roman" w:cs="Times New Roman"/>
          <w:bCs/>
          <w:color w:val="000000"/>
          <w:sz w:val="24"/>
          <w:szCs w:val="24"/>
        </w:rPr>
        <w:t>company</w:t>
      </w:r>
      <w:r w:rsidR="00F17DD2" w:rsidRPr="0035717E">
        <w:rPr>
          <w:rFonts w:ascii="Times New Roman" w:eastAsia="Times New Roman" w:hAnsi="Times New Roman" w:cs="Times New Roman"/>
          <w:bCs/>
          <w:color w:val="000000"/>
          <w:sz w:val="24"/>
          <w:szCs w:val="24"/>
        </w:rPr>
        <w:t xml:space="preserve"> has been improved over the last three years, and expected to </w:t>
      </w:r>
      <w:r w:rsidR="00074F23" w:rsidRPr="0035717E">
        <w:rPr>
          <w:rFonts w:ascii="Times New Roman" w:eastAsia="Times New Roman" w:hAnsi="Times New Roman" w:cs="Times New Roman"/>
          <w:bCs/>
          <w:color w:val="000000"/>
          <w:sz w:val="24"/>
          <w:szCs w:val="24"/>
        </w:rPr>
        <w:t>improve</w:t>
      </w:r>
      <w:r w:rsidR="00F17DD2" w:rsidRPr="0035717E">
        <w:rPr>
          <w:rFonts w:ascii="Times New Roman" w:eastAsia="Times New Roman" w:hAnsi="Times New Roman" w:cs="Times New Roman"/>
          <w:bCs/>
          <w:color w:val="000000"/>
          <w:sz w:val="24"/>
          <w:szCs w:val="24"/>
        </w:rPr>
        <w:t xml:space="preserve"> in future. </w:t>
      </w:r>
      <w:r w:rsidR="00796B5D" w:rsidRPr="0035717E">
        <w:rPr>
          <w:rFonts w:ascii="Times New Roman" w:eastAsia="Times New Roman" w:hAnsi="Times New Roman" w:cs="Times New Roman"/>
          <w:bCs/>
          <w:color w:val="000000"/>
          <w:sz w:val="24"/>
          <w:szCs w:val="24"/>
        </w:rPr>
        <w:t xml:space="preserve">Revenue, operating income, and net income of the </w:t>
      </w:r>
      <w:r w:rsidR="00074F23" w:rsidRPr="0035717E">
        <w:rPr>
          <w:rFonts w:ascii="Times New Roman" w:eastAsia="Times New Roman" w:hAnsi="Times New Roman" w:cs="Times New Roman"/>
          <w:bCs/>
          <w:color w:val="000000"/>
          <w:sz w:val="24"/>
          <w:szCs w:val="24"/>
        </w:rPr>
        <w:t>company</w:t>
      </w:r>
      <w:r w:rsidR="00796B5D" w:rsidRPr="0035717E">
        <w:rPr>
          <w:rFonts w:ascii="Times New Roman" w:eastAsia="Times New Roman" w:hAnsi="Times New Roman" w:cs="Times New Roman"/>
          <w:bCs/>
          <w:color w:val="000000"/>
          <w:sz w:val="24"/>
          <w:szCs w:val="24"/>
        </w:rPr>
        <w:t xml:space="preserve"> have been increased over the last three years. Assets and equity base of the company is very strong. </w:t>
      </w:r>
      <w:r w:rsidR="00074F23" w:rsidRPr="0035717E">
        <w:rPr>
          <w:rFonts w:ascii="Times New Roman" w:eastAsia="Times New Roman" w:hAnsi="Times New Roman" w:cs="Times New Roman"/>
          <w:bCs/>
          <w:color w:val="000000"/>
          <w:sz w:val="24"/>
          <w:szCs w:val="24"/>
        </w:rPr>
        <w:t xml:space="preserve">The liquidity, profitability, efficiency, solvency, and return generation &amp; distribution capacity of the company is better than those of average companies in the industry. The return of the company is of high quality and persistent. It has high credit rating and low beta. Over the last five years, the share price of the company has increased consentingly. </w:t>
      </w:r>
    </w:p>
    <w:p w:rsidR="00074F23" w:rsidRPr="0035717E" w:rsidRDefault="0035717E" w:rsidP="0035717E">
      <w:pPr>
        <w:spacing w:after="0" w:line="48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074F23" w:rsidRPr="0035717E">
        <w:rPr>
          <w:rFonts w:ascii="Times New Roman" w:eastAsia="Times New Roman" w:hAnsi="Times New Roman" w:cs="Times New Roman"/>
          <w:bCs/>
          <w:color w:val="000000"/>
          <w:sz w:val="24"/>
          <w:szCs w:val="24"/>
        </w:rPr>
        <w:t xml:space="preserve">Due to good financial performance of the company, the share of the Verizon Communication is recommended to purchase. </w:t>
      </w:r>
    </w:p>
    <w:p w:rsidR="0018240B" w:rsidRDefault="0018240B" w:rsidP="0035717E">
      <w:pPr>
        <w:spacing w:before="100" w:beforeAutospacing="1" w:after="100" w:afterAutospacing="1" w:line="240" w:lineRule="auto"/>
        <w:rPr>
          <w:rFonts w:ascii="Times New Roman" w:eastAsia="Times New Roman" w:hAnsi="Times New Roman" w:cs="Times New Roman"/>
          <w:color w:val="000000"/>
          <w:sz w:val="27"/>
          <w:szCs w:val="27"/>
        </w:rPr>
      </w:pPr>
    </w:p>
    <w:p w:rsidR="0035717E" w:rsidRDefault="0035717E" w:rsidP="0035717E">
      <w:pPr>
        <w:spacing w:before="100" w:beforeAutospacing="1" w:after="100" w:afterAutospacing="1" w:line="240" w:lineRule="auto"/>
        <w:rPr>
          <w:rFonts w:ascii="Times New Roman" w:eastAsia="Times New Roman" w:hAnsi="Times New Roman" w:cs="Times New Roman"/>
          <w:color w:val="000000"/>
          <w:sz w:val="27"/>
          <w:szCs w:val="27"/>
        </w:rPr>
      </w:pPr>
    </w:p>
    <w:p w:rsidR="0035717E" w:rsidRDefault="0035717E" w:rsidP="0035717E">
      <w:pPr>
        <w:spacing w:before="100" w:beforeAutospacing="1" w:after="100" w:afterAutospacing="1" w:line="240" w:lineRule="auto"/>
        <w:rPr>
          <w:rFonts w:ascii="Times New Roman" w:eastAsia="Times New Roman" w:hAnsi="Times New Roman" w:cs="Times New Roman"/>
          <w:color w:val="000000"/>
          <w:sz w:val="27"/>
          <w:szCs w:val="27"/>
        </w:rPr>
      </w:pPr>
    </w:p>
    <w:p w:rsidR="0035717E" w:rsidRDefault="0035717E" w:rsidP="0035717E">
      <w:pPr>
        <w:spacing w:before="100" w:beforeAutospacing="1" w:after="100" w:afterAutospacing="1" w:line="240" w:lineRule="auto"/>
        <w:rPr>
          <w:rFonts w:ascii="Times New Roman" w:eastAsia="Times New Roman" w:hAnsi="Times New Roman" w:cs="Times New Roman"/>
          <w:color w:val="000000"/>
          <w:sz w:val="27"/>
          <w:szCs w:val="27"/>
        </w:rPr>
      </w:pPr>
    </w:p>
    <w:p w:rsidR="0035717E" w:rsidRDefault="0035717E" w:rsidP="0035717E">
      <w:pPr>
        <w:spacing w:before="100" w:beforeAutospacing="1" w:after="100" w:afterAutospacing="1" w:line="240" w:lineRule="auto"/>
        <w:rPr>
          <w:rFonts w:ascii="Times New Roman" w:eastAsia="Times New Roman" w:hAnsi="Times New Roman" w:cs="Times New Roman"/>
          <w:color w:val="000000"/>
          <w:sz w:val="27"/>
          <w:szCs w:val="27"/>
        </w:rPr>
      </w:pPr>
    </w:p>
    <w:p w:rsidR="0035717E" w:rsidRDefault="0035717E" w:rsidP="0035717E">
      <w:pPr>
        <w:spacing w:before="100" w:beforeAutospacing="1" w:after="100" w:afterAutospacing="1" w:line="240" w:lineRule="auto"/>
        <w:rPr>
          <w:rFonts w:ascii="Times New Roman" w:eastAsia="Times New Roman" w:hAnsi="Times New Roman" w:cs="Times New Roman"/>
          <w:color w:val="000000"/>
          <w:sz w:val="27"/>
          <w:szCs w:val="27"/>
        </w:rPr>
      </w:pPr>
    </w:p>
    <w:p w:rsidR="0035717E" w:rsidRDefault="0035717E" w:rsidP="0035717E">
      <w:pPr>
        <w:spacing w:before="100" w:beforeAutospacing="1" w:after="100" w:afterAutospacing="1" w:line="240" w:lineRule="auto"/>
        <w:rPr>
          <w:rFonts w:ascii="Times New Roman" w:eastAsia="Times New Roman" w:hAnsi="Times New Roman" w:cs="Times New Roman"/>
          <w:color w:val="000000"/>
          <w:sz w:val="27"/>
          <w:szCs w:val="27"/>
        </w:rPr>
      </w:pPr>
    </w:p>
    <w:p w:rsidR="0035717E" w:rsidRDefault="0035717E" w:rsidP="0035717E">
      <w:pPr>
        <w:spacing w:before="100" w:beforeAutospacing="1" w:after="100" w:afterAutospacing="1" w:line="240" w:lineRule="auto"/>
        <w:rPr>
          <w:rFonts w:ascii="Times New Roman" w:eastAsia="Times New Roman" w:hAnsi="Times New Roman" w:cs="Times New Roman"/>
          <w:color w:val="000000"/>
          <w:sz w:val="27"/>
          <w:szCs w:val="27"/>
        </w:rPr>
      </w:pPr>
    </w:p>
    <w:p w:rsidR="0035717E" w:rsidRPr="0035717E" w:rsidRDefault="0035717E" w:rsidP="0035717E">
      <w:pPr>
        <w:spacing w:before="100" w:beforeAutospacing="1" w:after="100" w:afterAutospacing="1" w:line="240" w:lineRule="auto"/>
        <w:jc w:val="center"/>
        <w:rPr>
          <w:rFonts w:ascii="Times New Roman" w:eastAsia="Times New Roman" w:hAnsi="Times New Roman" w:cs="Times New Roman"/>
          <w:b/>
          <w:color w:val="000000"/>
          <w:sz w:val="27"/>
          <w:szCs w:val="27"/>
          <w:u w:val="single"/>
        </w:rPr>
      </w:pPr>
      <w:r w:rsidRPr="0035717E">
        <w:rPr>
          <w:rFonts w:ascii="Times New Roman" w:eastAsia="Times New Roman" w:hAnsi="Times New Roman" w:cs="Times New Roman"/>
          <w:b/>
          <w:color w:val="000000"/>
          <w:sz w:val="27"/>
          <w:szCs w:val="27"/>
          <w:u w:val="single"/>
        </w:rPr>
        <w:lastRenderedPageBreak/>
        <w:t>Introduction</w:t>
      </w:r>
    </w:p>
    <w:p w:rsidR="00DC1065" w:rsidRPr="0035717E" w:rsidRDefault="0035717E" w:rsidP="0035717E">
      <w:pPr>
        <w:spacing w:after="0" w:line="48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9A3090" w:rsidRPr="0035717E">
        <w:rPr>
          <w:rFonts w:ascii="Times New Roman" w:eastAsia="Times New Roman" w:hAnsi="Times New Roman" w:cs="Times New Roman"/>
          <w:bCs/>
          <w:color w:val="000000"/>
          <w:sz w:val="24"/>
          <w:szCs w:val="24"/>
        </w:rPr>
        <w:t xml:space="preserve">Before making </w:t>
      </w:r>
      <w:r w:rsidRPr="0035717E">
        <w:rPr>
          <w:rFonts w:ascii="Times New Roman" w:eastAsia="Times New Roman" w:hAnsi="Times New Roman" w:cs="Times New Roman"/>
          <w:bCs/>
          <w:color w:val="000000"/>
          <w:sz w:val="24"/>
          <w:szCs w:val="24"/>
        </w:rPr>
        <w:t>investment in the share of a co</w:t>
      </w:r>
      <w:r w:rsidR="009A3090" w:rsidRPr="0035717E">
        <w:rPr>
          <w:rFonts w:ascii="Times New Roman" w:eastAsia="Times New Roman" w:hAnsi="Times New Roman" w:cs="Times New Roman"/>
          <w:bCs/>
          <w:color w:val="000000"/>
          <w:sz w:val="24"/>
          <w:szCs w:val="24"/>
        </w:rPr>
        <w:t>mp</w:t>
      </w:r>
      <w:r w:rsidRPr="0035717E">
        <w:rPr>
          <w:rFonts w:ascii="Times New Roman" w:eastAsia="Times New Roman" w:hAnsi="Times New Roman" w:cs="Times New Roman"/>
          <w:bCs/>
          <w:color w:val="000000"/>
          <w:sz w:val="24"/>
          <w:szCs w:val="24"/>
        </w:rPr>
        <w:t>an</w:t>
      </w:r>
      <w:r w:rsidR="009A3090" w:rsidRPr="0035717E">
        <w:rPr>
          <w:rFonts w:ascii="Times New Roman" w:eastAsia="Times New Roman" w:hAnsi="Times New Roman" w:cs="Times New Roman"/>
          <w:bCs/>
          <w:color w:val="000000"/>
          <w:sz w:val="24"/>
          <w:szCs w:val="24"/>
        </w:rPr>
        <w:t>y</w:t>
      </w:r>
      <w:r w:rsidRPr="0035717E">
        <w:rPr>
          <w:rFonts w:ascii="Times New Roman" w:eastAsia="Times New Roman" w:hAnsi="Times New Roman" w:cs="Times New Roman"/>
          <w:bCs/>
          <w:color w:val="000000"/>
          <w:sz w:val="24"/>
          <w:szCs w:val="24"/>
        </w:rPr>
        <w:t>,</w:t>
      </w:r>
      <w:r w:rsidR="009A3090" w:rsidRPr="0035717E">
        <w:rPr>
          <w:rFonts w:ascii="Times New Roman" w:eastAsia="Times New Roman" w:hAnsi="Times New Roman" w:cs="Times New Roman"/>
          <w:bCs/>
          <w:color w:val="000000"/>
          <w:sz w:val="24"/>
          <w:szCs w:val="24"/>
        </w:rPr>
        <w:t xml:space="preserve"> it is </w:t>
      </w:r>
      <w:r w:rsidRPr="0035717E">
        <w:rPr>
          <w:rFonts w:ascii="Times New Roman" w:eastAsia="Times New Roman" w:hAnsi="Times New Roman" w:cs="Times New Roman"/>
          <w:bCs/>
          <w:color w:val="000000"/>
          <w:sz w:val="24"/>
          <w:szCs w:val="24"/>
        </w:rPr>
        <w:t>beneficial</w:t>
      </w:r>
      <w:r w:rsidR="009A3090" w:rsidRPr="0035717E">
        <w:rPr>
          <w:rFonts w:ascii="Times New Roman" w:eastAsia="Times New Roman" w:hAnsi="Times New Roman" w:cs="Times New Roman"/>
          <w:bCs/>
          <w:color w:val="000000"/>
          <w:sz w:val="24"/>
          <w:szCs w:val="24"/>
        </w:rPr>
        <w:t xml:space="preserve"> to review the financial </w:t>
      </w:r>
      <w:r w:rsidRPr="0035717E">
        <w:rPr>
          <w:rFonts w:ascii="Times New Roman" w:eastAsia="Times New Roman" w:hAnsi="Times New Roman" w:cs="Times New Roman"/>
          <w:bCs/>
          <w:color w:val="000000"/>
          <w:sz w:val="24"/>
          <w:szCs w:val="24"/>
        </w:rPr>
        <w:t>performance</w:t>
      </w:r>
      <w:r w:rsidR="009A3090" w:rsidRPr="0035717E">
        <w:rPr>
          <w:rFonts w:ascii="Times New Roman" w:eastAsia="Times New Roman" w:hAnsi="Times New Roman" w:cs="Times New Roman"/>
          <w:bCs/>
          <w:color w:val="000000"/>
          <w:sz w:val="24"/>
          <w:szCs w:val="24"/>
        </w:rPr>
        <w:t xml:space="preserve"> of the company. Financial performance analysis helps to assess the attractiveness and feasibility of the investment. </w:t>
      </w:r>
      <w:r w:rsidR="005A49DC" w:rsidRPr="0035717E">
        <w:rPr>
          <w:rFonts w:ascii="Times New Roman" w:eastAsia="Times New Roman" w:hAnsi="Times New Roman" w:cs="Times New Roman"/>
          <w:bCs/>
          <w:color w:val="000000"/>
          <w:sz w:val="24"/>
          <w:szCs w:val="24"/>
        </w:rPr>
        <w:t xml:space="preserve">The annual </w:t>
      </w:r>
      <w:r w:rsidRPr="0035717E">
        <w:rPr>
          <w:rFonts w:ascii="Times New Roman" w:eastAsia="Times New Roman" w:hAnsi="Times New Roman" w:cs="Times New Roman"/>
          <w:bCs/>
          <w:color w:val="000000"/>
          <w:sz w:val="24"/>
          <w:szCs w:val="24"/>
        </w:rPr>
        <w:t>balance</w:t>
      </w:r>
      <w:r w:rsidR="005A49DC" w:rsidRPr="0035717E">
        <w:rPr>
          <w:rFonts w:ascii="Times New Roman" w:eastAsia="Times New Roman" w:hAnsi="Times New Roman" w:cs="Times New Roman"/>
          <w:bCs/>
          <w:color w:val="000000"/>
          <w:sz w:val="24"/>
          <w:szCs w:val="24"/>
        </w:rPr>
        <w:t xml:space="preserve"> sheet, income statement, annual report, </w:t>
      </w:r>
      <w:r w:rsidRPr="0035717E">
        <w:rPr>
          <w:rFonts w:ascii="Times New Roman" w:eastAsia="Times New Roman" w:hAnsi="Times New Roman" w:cs="Times New Roman"/>
          <w:bCs/>
          <w:color w:val="000000"/>
          <w:sz w:val="24"/>
          <w:szCs w:val="24"/>
        </w:rPr>
        <w:t>analyst’s</w:t>
      </w:r>
      <w:r w:rsidR="005A49DC" w:rsidRPr="0035717E">
        <w:rPr>
          <w:rFonts w:ascii="Times New Roman" w:eastAsia="Times New Roman" w:hAnsi="Times New Roman" w:cs="Times New Roman"/>
          <w:bCs/>
          <w:color w:val="000000"/>
          <w:sz w:val="24"/>
          <w:szCs w:val="24"/>
        </w:rPr>
        <w:t xml:space="preserve"> report, industry news, press release news provide information to assess th</w:t>
      </w:r>
      <w:r w:rsidRPr="0035717E">
        <w:rPr>
          <w:rFonts w:ascii="Times New Roman" w:eastAsia="Times New Roman" w:hAnsi="Times New Roman" w:cs="Times New Roman"/>
          <w:bCs/>
          <w:color w:val="000000"/>
          <w:sz w:val="24"/>
          <w:szCs w:val="24"/>
        </w:rPr>
        <w:t>e financial performance of a co</w:t>
      </w:r>
      <w:r w:rsidR="005A49DC" w:rsidRPr="0035717E">
        <w:rPr>
          <w:rFonts w:ascii="Times New Roman" w:eastAsia="Times New Roman" w:hAnsi="Times New Roman" w:cs="Times New Roman"/>
          <w:bCs/>
          <w:color w:val="000000"/>
          <w:sz w:val="24"/>
          <w:szCs w:val="24"/>
        </w:rPr>
        <w:t>mp</w:t>
      </w:r>
      <w:r w:rsidRPr="0035717E">
        <w:rPr>
          <w:rFonts w:ascii="Times New Roman" w:eastAsia="Times New Roman" w:hAnsi="Times New Roman" w:cs="Times New Roman"/>
          <w:bCs/>
          <w:color w:val="000000"/>
          <w:sz w:val="24"/>
          <w:szCs w:val="24"/>
        </w:rPr>
        <w:t>a</w:t>
      </w:r>
      <w:r w:rsidR="005A49DC" w:rsidRPr="0035717E">
        <w:rPr>
          <w:rFonts w:ascii="Times New Roman" w:eastAsia="Times New Roman" w:hAnsi="Times New Roman" w:cs="Times New Roman"/>
          <w:bCs/>
          <w:color w:val="000000"/>
          <w:sz w:val="24"/>
          <w:szCs w:val="24"/>
        </w:rPr>
        <w:t>n</w:t>
      </w:r>
      <w:r w:rsidRPr="0035717E">
        <w:rPr>
          <w:rFonts w:ascii="Times New Roman" w:eastAsia="Times New Roman" w:hAnsi="Times New Roman" w:cs="Times New Roman"/>
          <w:bCs/>
          <w:color w:val="000000"/>
          <w:sz w:val="24"/>
          <w:szCs w:val="24"/>
        </w:rPr>
        <w:t>y</w:t>
      </w:r>
      <w:r w:rsidR="005A49DC" w:rsidRPr="0035717E">
        <w:rPr>
          <w:rFonts w:ascii="Times New Roman" w:eastAsia="Times New Roman" w:hAnsi="Times New Roman" w:cs="Times New Roman"/>
          <w:bCs/>
          <w:color w:val="000000"/>
          <w:sz w:val="24"/>
          <w:szCs w:val="24"/>
        </w:rPr>
        <w:t xml:space="preserve">. </w:t>
      </w:r>
      <w:r w:rsidR="0022663F" w:rsidRPr="0035717E">
        <w:rPr>
          <w:rFonts w:ascii="Times New Roman" w:eastAsia="Times New Roman" w:hAnsi="Times New Roman" w:cs="Times New Roman"/>
          <w:bCs/>
          <w:color w:val="000000"/>
          <w:sz w:val="24"/>
          <w:szCs w:val="24"/>
        </w:rPr>
        <w:t xml:space="preserve">This paper aims at assessing the </w:t>
      </w:r>
      <w:r w:rsidRPr="0035717E">
        <w:rPr>
          <w:rFonts w:ascii="Times New Roman" w:eastAsia="Times New Roman" w:hAnsi="Times New Roman" w:cs="Times New Roman"/>
          <w:bCs/>
          <w:color w:val="000000"/>
          <w:sz w:val="24"/>
          <w:szCs w:val="24"/>
        </w:rPr>
        <w:t>financial</w:t>
      </w:r>
      <w:r w:rsidR="0022663F" w:rsidRPr="0035717E">
        <w:rPr>
          <w:rFonts w:ascii="Times New Roman" w:eastAsia="Times New Roman" w:hAnsi="Times New Roman" w:cs="Times New Roman"/>
          <w:bCs/>
          <w:color w:val="000000"/>
          <w:sz w:val="24"/>
          <w:szCs w:val="24"/>
        </w:rPr>
        <w:t xml:space="preserve"> </w:t>
      </w:r>
      <w:r w:rsidRPr="0035717E">
        <w:rPr>
          <w:rFonts w:ascii="Times New Roman" w:eastAsia="Times New Roman" w:hAnsi="Times New Roman" w:cs="Times New Roman"/>
          <w:bCs/>
          <w:color w:val="000000"/>
          <w:sz w:val="24"/>
          <w:szCs w:val="24"/>
        </w:rPr>
        <w:t>performance</w:t>
      </w:r>
      <w:r w:rsidR="0022663F" w:rsidRPr="0035717E">
        <w:rPr>
          <w:rFonts w:ascii="Times New Roman" w:eastAsia="Times New Roman" w:hAnsi="Times New Roman" w:cs="Times New Roman"/>
          <w:bCs/>
          <w:color w:val="000000"/>
          <w:sz w:val="24"/>
          <w:szCs w:val="24"/>
        </w:rPr>
        <w:t xml:space="preserve"> and making recommendation on the investment of Verizon Communication. </w:t>
      </w:r>
      <w:r w:rsidR="00095784" w:rsidRPr="0035717E">
        <w:rPr>
          <w:rFonts w:ascii="Times New Roman" w:eastAsia="Times New Roman" w:hAnsi="Times New Roman" w:cs="Times New Roman"/>
          <w:bCs/>
          <w:color w:val="000000"/>
          <w:sz w:val="24"/>
          <w:szCs w:val="24"/>
        </w:rPr>
        <w:t xml:space="preserve">For financial performance analysis of the Verizon Communication, AT&amp;T has been </w:t>
      </w:r>
      <w:r w:rsidRPr="0035717E">
        <w:rPr>
          <w:rFonts w:ascii="Times New Roman" w:eastAsia="Times New Roman" w:hAnsi="Times New Roman" w:cs="Times New Roman"/>
          <w:bCs/>
          <w:color w:val="000000"/>
          <w:sz w:val="24"/>
          <w:szCs w:val="24"/>
        </w:rPr>
        <w:t>chosen</w:t>
      </w:r>
      <w:r w:rsidR="00095784" w:rsidRPr="0035717E">
        <w:rPr>
          <w:rFonts w:ascii="Times New Roman" w:eastAsia="Times New Roman" w:hAnsi="Times New Roman" w:cs="Times New Roman"/>
          <w:bCs/>
          <w:color w:val="000000"/>
          <w:sz w:val="24"/>
          <w:szCs w:val="24"/>
        </w:rPr>
        <w:t xml:space="preserve"> as comparative company. </w:t>
      </w:r>
    </w:p>
    <w:p w:rsidR="0018240B" w:rsidRPr="0035717E" w:rsidRDefault="0035717E" w:rsidP="0035717E">
      <w:pPr>
        <w:spacing w:after="0" w:line="48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CF450C" w:rsidRPr="0035717E">
        <w:rPr>
          <w:rFonts w:ascii="Times New Roman" w:eastAsia="Times New Roman" w:hAnsi="Times New Roman" w:cs="Times New Roman"/>
          <w:bCs/>
          <w:color w:val="000000"/>
          <w:sz w:val="24"/>
          <w:szCs w:val="24"/>
        </w:rPr>
        <w:t xml:space="preserve">Total size of telecommunication industry of USA </w:t>
      </w:r>
      <w:r w:rsidR="0006579E" w:rsidRPr="0035717E">
        <w:rPr>
          <w:rFonts w:ascii="Times New Roman" w:eastAsia="Times New Roman" w:hAnsi="Times New Roman" w:cs="Times New Roman"/>
          <w:bCs/>
          <w:color w:val="000000"/>
          <w:sz w:val="24"/>
          <w:szCs w:val="24"/>
        </w:rPr>
        <w:t xml:space="preserve">was $3.49 trillion </w:t>
      </w:r>
      <w:sdt>
        <w:sdtPr>
          <w:rPr>
            <w:rFonts w:ascii="Times New Roman" w:eastAsia="Times New Roman" w:hAnsi="Times New Roman" w:cs="Times New Roman"/>
            <w:bCs/>
            <w:color w:val="000000"/>
            <w:sz w:val="24"/>
            <w:szCs w:val="24"/>
          </w:rPr>
          <w:id w:val="-1236552885"/>
          <w:citation/>
        </w:sdtPr>
        <w:sdtContent>
          <w:r w:rsidR="0006579E" w:rsidRPr="0035717E">
            <w:rPr>
              <w:rFonts w:ascii="Times New Roman" w:eastAsia="Times New Roman" w:hAnsi="Times New Roman" w:cs="Times New Roman"/>
              <w:bCs/>
              <w:color w:val="000000"/>
              <w:sz w:val="24"/>
              <w:szCs w:val="24"/>
            </w:rPr>
            <w:fldChar w:fldCharType="begin"/>
          </w:r>
          <w:r w:rsidR="0006579E" w:rsidRPr="0035717E">
            <w:rPr>
              <w:rFonts w:ascii="Times New Roman" w:eastAsia="Times New Roman" w:hAnsi="Times New Roman" w:cs="Times New Roman"/>
              <w:bCs/>
              <w:color w:val="000000"/>
              <w:sz w:val="24"/>
              <w:szCs w:val="24"/>
            </w:rPr>
            <w:instrText xml:space="preserve"> CITATION She15 \l 1033 </w:instrText>
          </w:r>
          <w:r w:rsidR="0006579E" w:rsidRPr="0035717E">
            <w:rPr>
              <w:rFonts w:ascii="Times New Roman" w:eastAsia="Times New Roman" w:hAnsi="Times New Roman" w:cs="Times New Roman"/>
              <w:bCs/>
              <w:color w:val="000000"/>
              <w:sz w:val="24"/>
              <w:szCs w:val="24"/>
            </w:rPr>
            <w:fldChar w:fldCharType="separate"/>
          </w:r>
          <w:r w:rsidR="0006579E" w:rsidRPr="0035717E">
            <w:rPr>
              <w:rFonts w:ascii="Times New Roman" w:eastAsia="Times New Roman" w:hAnsi="Times New Roman" w:cs="Times New Roman"/>
              <w:noProof/>
              <w:color w:val="000000"/>
              <w:sz w:val="24"/>
              <w:szCs w:val="24"/>
            </w:rPr>
            <w:t>(Sheffer, 2015)</w:t>
          </w:r>
          <w:r w:rsidR="0006579E" w:rsidRPr="0035717E">
            <w:rPr>
              <w:rFonts w:ascii="Times New Roman" w:eastAsia="Times New Roman" w:hAnsi="Times New Roman" w:cs="Times New Roman"/>
              <w:bCs/>
              <w:color w:val="000000"/>
              <w:sz w:val="24"/>
              <w:szCs w:val="24"/>
            </w:rPr>
            <w:fldChar w:fldCharType="end"/>
          </w:r>
        </w:sdtContent>
      </w:sdt>
      <w:r w:rsidR="0006579E" w:rsidRPr="0035717E">
        <w:rPr>
          <w:rFonts w:ascii="Times New Roman" w:eastAsia="Times New Roman" w:hAnsi="Times New Roman" w:cs="Times New Roman"/>
          <w:bCs/>
          <w:color w:val="000000"/>
          <w:sz w:val="24"/>
          <w:szCs w:val="24"/>
        </w:rPr>
        <w:t xml:space="preserve">. </w:t>
      </w:r>
      <w:r w:rsidR="00B71779" w:rsidRPr="0035717E">
        <w:rPr>
          <w:rFonts w:ascii="Times New Roman" w:eastAsia="Times New Roman" w:hAnsi="Times New Roman" w:cs="Times New Roman"/>
          <w:bCs/>
          <w:color w:val="000000"/>
          <w:sz w:val="24"/>
          <w:szCs w:val="24"/>
        </w:rPr>
        <w:t xml:space="preserve">At the end of 2018, total </w:t>
      </w:r>
      <w:r w:rsidRPr="0035717E">
        <w:rPr>
          <w:rFonts w:ascii="Times New Roman" w:eastAsia="Times New Roman" w:hAnsi="Times New Roman" w:cs="Times New Roman"/>
          <w:bCs/>
          <w:color w:val="000000"/>
          <w:sz w:val="24"/>
          <w:szCs w:val="24"/>
        </w:rPr>
        <w:t>market</w:t>
      </w:r>
      <w:r w:rsidR="00B71779" w:rsidRPr="0035717E">
        <w:rPr>
          <w:rFonts w:ascii="Times New Roman" w:eastAsia="Times New Roman" w:hAnsi="Times New Roman" w:cs="Times New Roman"/>
          <w:bCs/>
          <w:color w:val="000000"/>
          <w:sz w:val="24"/>
          <w:szCs w:val="24"/>
        </w:rPr>
        <w:t xml:space="preserve"> size is expected to be </w:t>
      </w:r>
      <w:r w:rsidR="00B71779" w:rsidRPr="0035717E">
        <w:rPr>
          <w:rFonts w:ascii="Times New Roman" w:hAnsi="Times New Roman" w:cs="Times New Roman"/>
          <w:sz w:val="24"/>
          <w:szCs w:val="24"/>
        </w:rPr>
        <w:t xml:space="preserve">about $6.5 trillion </w:t>
      </w:r>
      <w:sdt>
        <w:sdtPr>
          <w:rPr>
            <w:rFonts w:ascii="Times New Roman" w:hAnsi="Times New Roman" w:cs="Times New Roman"/>
            <w:sz w:val="24"/>
            <w:szCs w:val="24"/>
          </w:rPr>
          <w:id w:val="924761256"/>
          <w:citation/>
        </w:sdtPr>
        <w:sdtContent>
          <w:r w:rsidR="00B71779" w:rsidRPr="0035717E">
            <w:rPr>
              <w:rFonts w:ascii="Times New Roman" w:hAnsi="Times New Roman" w:cs="Times New Roman"/>
              <w:sz w:val="24"/>
              <w:szCs w:val="24"/>
            </w:rPr>
            <w:fldChar w:fldCharType="begin"/>
          </w:r>
          <w:r w:rsidR="00B71779" w:rsidRPr="0035717E">
            <w:rPr>
              <w:rFonts w:ascii="Times New Roman" w:hAnsi="Times New Roman" w:cs="Times New Roman"/>
              <w:sz w:val="24"/>
              <w:szCs w:val="24"/>
            </w:rPr>
            <w:instrText xml:space="preserve"> CITATION Plu16 \l 1033 </w:instrText>
          </w:r>
          <w:r w:rsidR="00B71779" w:rsidRPr="0035717E">
            <w:rPr>
              <w:rFonts w:ascii="Times New Roman" w:hAnsi="Times New Roman" w:cs="Times New Roman"/>
              <w:sz w:val="24"/>
              <w:szCs w:val="24"/>
            </w:rPr>
            <w:fldChar w:fldCharType="separate"/>
          </w:r>
          <w:r w:rsidR="00B71779" w:rsidRPr="0035717E">
            <w:rPr>
              <w:rFonts w:ascii="Times New Roman" w:hAnsi="Times New Roman" w:cs="Times New Roman"/>
              <w:noProof/>
              <w:sz w:val="24"/>
              <w:szCs w:val="24"/>
            </w:rPr>
            <w:t>(Plunkett Research Ltd, 2016)</w:t>
          </w:r>
          <w:r w:rsidR="00B71779" w:rsidRPr="0035717E">
            <w:rPr>
              <w:rFonts w:ascii="Times New Roman" w:hAnsi="Times New Roman" w:cs="Times New Roman"/>
              <w:sz w:val="24"/>
              <w:szCs w:val="24"/>
            </w:rPr>
            <w:fldChar w:fldCharType="end"/>
          </w:r>
        </w:sdtContent>
      </w:sdt>
      <w:r w:rsidR="00B71779" w:rsidRPr="0035717E">
        <w:rPr>
          <w:rFonts w:ascii="Times New Roman" w:hAnsi="Times New Roman" w:cs="Times New Roman"/>
          <w:sz w:val="24"/>
          <w:szCs w:val="24"/>
        </w:rPr>
        <w:t>.</w:t>
      </w:r>
      <w:r w:rsidR="00B71779" w:rsidRPr="0035717E">
        <w:rPr>
          <w:rFonts w:ascii="Times New Roman" w:eastAsia="Times New Roman" w:hAnsi="Times New Roman" w:cs="Times New Roman"/>
          <w:bCs/>
          <w:color w:val="000000"/>
          <w:sz w:val="24"/>
          <w:szCs w:val="24"/>
        </w:rPr>
        <w:t xml:space="preserve"> </w:t>
      </w:r>
      <w:r w:rsidRPr="0035717E">
        <w:rPr>
          <w:rFonts w:ascii="Times New Roman" w:eastAsia="Times New Roman" w:hAnsi="Times New Roman" w:cs="Times New Roman"/>
          <w:bCs/>
          <w:color w:val="000000"/>
          <w:sz w:val="24"/>
          <w:szCs w:val="24"/>
        </w:rPr>
        <w:t>The</w:t>
      </w:r>
      <w:r w:rsidR="00DC1065" w:rsidRPr="0035717E">
        <w:rPr>
          <w:rFonts w:ascii="Times New Roman" w:eastAsia="Times New Roman" w:hAnsi="Times New Roman" w:cs="Times New Roman"/>
          <w:bCs/>
          <w:color w:val="000000"/>
          <w:sz w:val="24"/>
          <w:szCs w:val="24"/>
        </w:rPr>
        <w:t xml:space="preserve"> telecommunication </w:t>
      </w:r>
      <w:r w:rsidRPr="0035717E">
        <w:rPr>
          <w:rFonts w:ascii="Times New Roman" w:eastAsia="Times New Roman" w:hAnsi="Times New Roman" w:cs="Times New Roman"/>
          <w:bCs/>
          <w:color w:val="000000"/>
          <w:sz w:val="24"/>
          <w:szCs w:val="24"/>
        </w:rPr>
        <w:t>industry</w:t>
      </w:r>
      <w:r w:rsidR="00DC1065" w:rsidRPr="0035717E">
        <w:rPr>
          <w:rFonts w:ascii="Times New Roman" w:eastAsia="Times New Roman" w:hAnsi="Times New Roman" w:cs="Times New Roman"/>
          <w:bCs/>
          <w:color w:val="000000"/>
          <w:sz w:val="24"/>
          <w:szCs w:val="24"/>
        </w:rPr>
        <w:t xml:space="preserve"> of USA is oligopolistic industry in nature. The market is </w:t>
      </w:r>
      <w:r w:rsidRPr="0035717E">
        <w:rPr>
          <w:rFonts w:ascii="Times New Roman" w:eastAsia="Times New Roman" w:hAnsi="Times New Roman" w:cs="Times New Roman"/>
          <w:bCs/>
          <w:color w:val="000000"/>
          <w:sz w:val="24"/>
          <w:szCs w:val="24"/>
        </w:rPr>
        <w:t>dominated</w:t>
      </w:r>
      <w:r w:rsidR="00DC1065" w:rsidRPr="0035717E">
        <w:rPr>
          <w:rFonts w:ascii="Times New Roman" w:eastAsia="Times New Roman" w:hAnsi="Times New Roman" w:cs="Times New Roman"/>
          <w:bCs/>
          <w:color w:val="000000"/>
          <w:sz w:val="24"/>
          <w:szCs w:val="24"/>
        </w:rPr>
        <w:t xml:space="preserve"> by some major players including AT&amp;T, Verizon Communication, Vodafone, Telefonica, </w:t>
      </w:r>
      <w:proofErr w:type="spellStart"/>
      <w:r w:rsidR="00DC1065" w:rsidRPr="0035717E">
        <w:rPr>
          <w:rFonts w:ascii="Times New Roman" w:eastAsia="Times New Roman" w:hAnsi="Times New Roman" w:cs="Times New Roman"/>
          <w:bCs/>
          <w:color w:val="000000"/>
          <w:sz w:val="24"/>
          <w:szCs w:val="24"/>
        </w:rPr>
        <w:t>Telstr</w:t>
      </w:r>
      <w:proofErr w:type="spellEnd"/>
      <w:r w:rsidR="00DC1065" w:rsidRPr="0035717E">
        <w:rPr>
          <w:rFonts w:ascii="Times New Roman" w:eastAsia="Times New Roman" w:hAnsi="Times New Roman" w:cs="Times New Roman"/>
          <w:bCs/>
          <w:color w:val="000000"/>
          <w:sz w:val="24"/>
          <w:szCs w:val="24"/>
        </w:rPr>
        <w:t xml:space="preserve">, America </w:t>
      </w:r>
      <w:proofErr w:type="spellStart"/>
      <w:r w:rsidR="00DC1065" w:rsidRPr="0035717E">
        <w:rPr>
          <w:rFonts w:ascii="Times New Roman" w:eastAsia="Times New Roman" w:hAnsi="Times New Roman" w:cs="Times New Roman"/>
          <w:bCs/>
          <w:color w:val="000000"/>
          <w:sz w:val="24"/>
          <w:szCs w:val="24"/>
        </w:rPr>
        <w:t>Movil</w:t>
      </w:r>
      <w:proofErr w:type="spellEnd"/>
      <w:r w:rsidR="00DC1065" w:rsidRPr="0035717E">
        <w:rPr>
          <w:rFonts w:ascii="Times New Roman" w:eastAsia="Times New Roman" w:hAnsi="Times New Roman" w:cs="Times New Roman"/>
          <w:bCs/>
          <w:color w:val="000000"/>
          <w:sz w:val="24"/>
          <w:szCs w:val="24"/>
        </w:rPr>
        <w:t>, Nippon Telegraph &amp; Telecommunication, Deutsche Telekom, and Softbank. AT&amp;T is major competitors of the Verizon in the market. AT&amp;T is market leader is terms of total revenue followed by Verizon</w:t>
      </w:r>
      <w:r w:rsidR="00CF450C" w:rsidRPr="0035717E">
        <w:rPr>
          <w:rFonts w:ascii="Times New Roman" w:eastAsia="Times New Roman" w:hAnsi="Times New Roman" w:cs="Times New Roman"/>
          <w:bCs/>
          <w:color w:val="000000"/>
          <w:sz w:val="24"/>
          <w:szCs w:val="24"/>
        </w:rPr>
        <w:t xml:space="preserve"> Communication</w:t>
      </w:r>
      <w:r w:rsidR="00DC1065" w:rsidRPr="0035717E">
        <w:rPr>
          <w:rFonts w:ascii="Times New Roman" w:eastAsia="Times New Roman" w:hAnsi="Times New Roman" w:cs="Times New Roman"/>
          <w:bCs/>
          <w:color w:val="000000"/>
          <w:sz w:val="24"/>
          <w:szCs w:val="24"/>
        </w:rPr>
        <w:t xml:space="preserve">. </w:t>
      </w:r>
    </w:p>
    <w:p w:rsidR="00DC1065" w:rsidRPr="0018240B" w:rsidRDefault="00DC1065" w:rsidP="0018240B">
      <w:pPr>
        <w:spacing w:before="100" w:beforeAutospacing="1" w:after="100" w:afterAutospacing="1" w:line="240" w:lineRule="auto"/>
        <w:rPr>
          <w:rFonts w:ascii="Times New Roman" w:eastAsia="Times New Roman" w:hAnsi="Times New Roman" w:cs="Times New Roman"/>
          <w:color w:val="000000"/>
          <w:sz w:val="27"/>
          <w:szCs w:val="27"/>
        </w:rPr>
      </w:pPr>
    </w:p>
    <w:p w:rsidR="00095784" w:rsidRDefault="00095784" w:rsidP="00095784">
      <w:pPr>
        <w:spacing w:before="100" w:beforeAutospacing="1" w:after="100" w:afterAutospacing="1" w:line="240" w:lineRule="auto"/>
        <w:rPr>
          <w:rFonts w:ascii="Times New Roman" w:eastAsia="Times New Roman" w:hAnsi="Times New Roman" w:cs="Times New Roman"/>
          <w:color w:val="000000"/>
          <w:sz w:val="27"/>
          <w:szCs w:val="27"/>
        </w:rPr>
      </w:pPr>
    </w:p>
    <w:p w:rsidR="00E27ABF" w:rsidRDefault="00E27ABF" w:rsidP="00095784">
      <w:pPr>
        <w:spacing w:before="100" w:beforeAutospacing="1" w:after="100" w:afterAutospacing="1" w:line="240" w:lineRule="auto"/>
        <w:rPr>
          <w:rFonts w:ascii="Times New Roman" w:eastAsia="Times New Roman" w:hAnsi="Times New Roman" w:cs="Times New Roman"/>
          <w:color w:val="000000"/>
          <w:sz w:val="27"/>
          <w:szCs w:val="27"/>
        </w:rPr>
      </w:pPr>
    </w:p>
    <w:p w:rsidR="00E27ABF" w:rsidRPr="0018240B" w:rsidRDefault="00E27ABF" w:rsidP="00095784">
      <w:pPr>
        <w:spacing w:before="100" w:beforeAutospacing="1" w:after="100" w:afterAutospacing="1" w:line="240" w:lineRule="auto"/>
        <w:rPr>
          <w:rFonts w:ascii="Times New Roman" w:eastAsia="Times New Roman" w:hAnsi="Times New Roman" w:cs="Times New Roman"/>
          <w:color w:val="000000"/>
          <w:sz w:val="27"/>
          <w:szCs w:val="27"/>
        </w:rPr>
      </w:pPr>
    </w:p>
    <w:p w:rsidR="00E27ABF" w:rsidRDefault="00E27ABF"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35717E" w:rsidRDefault="0035717E" w:rsidP="0018240B">
      <w:pPr>
        <w:spacing w:before="100" w:beforeAutospacing="1" w:after="100" w:afterAutospacing="1" w:line="240" w:lineRule="auto"/>
        <w:rPr>
          <w:rFonts w:ascii="Times New Roman" w:eastAsia="Times New Roman" w:hAnsi="Times New Roman" w:cs="Times New Roman"/>
          <w:b/>
          <w:bCs/>
          <w:color w:val="000000"/>
          <w:sz w:val="27"/>
          <w:szCs w:val="27"/>
        </w:rPr>
      </w:pPr>
    </w:p>
    <w:p w:rsidR="0035717E" w:rsidRPr="0035717E" w:rsidRDefault="0035717E" w:rsidP="0035717E">
      <w:pPr>
        <w:spacing w:before="100" w:beforeAutospacing="1" w:after="100" w:afterAutospacing="1" w:line="240" w:lineRule="auto"/>
        <w:jc w:val="center"/>
        <w:rPr>
          <w:rFonts w:ascii="Times New Roman" w:eastAsia="Times New Roman" w:hAnsi="Times New Roman" w:cs="Times New Roman"/>
          <w:color w:val="000000"/>
          <w:sz w:val="24"/>
          <w:szCs w:val="24"/>
          <w:u w:val="single"/>
        </w:rPr>
      </w:pPr>
      <w:r w:rsidRPr="0035717E">
        <w:rPr>
          <w:rFonts w:ascii="Times New Roman" w:eastAsia="Times New Roman" w:hAnsi="Times New Roman" w:cs="Times New Roman"/>
          <w:b/>
          <w:bCs/>
          <w:color w:val="000000"/>
          <w:sz w:val="24"/>
          <w:szCs w:val="24"/>
          <w:u w:val="single"/>
        </w:rPr>
        <w:lastRenderedPageBreak/>
        <w:t>Analysis of Financial Performance of Verizon Communication</w:t>
      </w:r>
    </w:p>
    <w:p w:rsidR="00221408" w:rsidRPr="00221408" w:rsidRDefault="00221408" w:rsidP="00221408">
      <w:pPr>
        <w:spacing w:before="100" w:beforeAutospacing="1" w:after="100" w:afterAutospacing="1" w:line="240" w:lineRule="auto"/>
        <w:rPr>
          <w:rFonts w:ascii="Times New Roman" w:eastAsia="Times New Roman" w:hAnsi="Times New Roman" w:cs="Times New Roman"/>
          <w:b/>
          <w:color w:val="000000"/>
          <w:sz w:val="24"/>
          <w:szCs w:val="24"/>
        </w:rPr>
      </w:pPr>
      <w:r w:rsidRPr="00221408">
        <w:rPr>
          <w:rFonts w:ascii="Times New Roman" w:eastAsia="Times New Roman" w:hAnsi="Times New Roman" w:cs="Times New Roman"/>
          <w:b/>
          <w:color w:val="000000"/>
          <w:sz w:val="24"/>
          <w:szCs w:val="24"/>
        </w:rPr>
        <w:t>Review of revenue, operating income, net income, total assets total equity, cash flow from operation</w:t>
      </w:r>
    </w:p>
    <w:p w:rsidR="00221408" w:rsidRPr="00221408" w:rsidRDefault="00221408" w:rsidP="00221408">
      <w:pPr>
        <w:spacing w:after="0" w:line="480" w:lineRule="auto"/>
        <w:rPr>
          <w:rFonts w:ascii="Times New Roman" w:eastAsia="Times New Roman" w:hAnsi="Times New Roman" w:cs="Times New Roman"/>
          <w:color w:val="000000"/>
          <w:sz w:val="24"/>
          <w:szCs w:val="24"/>
        </w:rPr>
      </w:pPr>
      <w:r w:rsidRPr="00221408">
        <w:rPr>
          <w:rFonts w:ascii="Times New Roman" w:eastAsia="Times New Roman" w:hAnsi="Times New Roman" w:cs="Times New Roman"/>
          <w:color w:val="000000"/>
          <w:sz w:val="24"/>
          <w:szCs w:val="24"/>
        </w:rPr>
        <w:t xml:space="preserve">            The financial performance of a company can be understood from the observation of the trend of some financial figures including revenue, operating income, net income, total assets total equity, cash flow from operation etc. </w:t>
      </w:r>
    </w:p>
    <w:p w:rsidR="00221408" w:rsidRPr="00221408" w:rsidRDefault="00221408" w:rsidP="00221408">
      <w:pPr>
        <w:spacing w:after="0" w:line="480" w:lineRule="auto"/>
        <w:rPr>
          <w:rFonts w:ascii="Times New Roman" w:eastAsia="Times New Roman" w:hAnsi="Times New Roman" w:cs="Times New Roman"/>
          <w:color w:val="000000"/>
          <w:sz w:val="24"/>
          <w:szCs w:val="24"/>
        </w:rPr>
      </w:pPr>
      <w:r w:rsidRPr="00221408">
        <w:rPr>
          <w:rFonts w:ascii="Times New Roman" w:eastAsia="Times New Roman" w:hAnsi="Times New Roman" w:cs="Times New Roman"/>
          <w:color w:val="000000"/>
          <w:sz w:val="24"/>
          <w:szCs w:val="24"/>
        </w:rPr>
        <w:t xml:space="preserve">The revenue of the company has consistently increased over the last three years (Figure 1). In 2015, total revenue of the company was $33060 million as compared to the revenue of AT&amp;T of $146801 million. Even though the operating income, and net income of the company has decreased in 2014, in 2015 the company has successfully come back (Figure 1). In 2015 where the operating profit and net income of AT&amp;T was $24785 million and $13345 million respectively, the operating profit and net income of Verizon was $33060 million and $17879 million respectively. As compared to AT&amp;T, Verizon was more successful in managing of its operating expenses, and interest burden. </w:t>
      </w:r>
    </w:p>
    <w:p w:rsidR="00221408" w:rsidRDefault="00221408" w:rsidP="00221408">
      <w:pPr>
        <w:spacing w:before="100" w:beforeAutospacing="1" w:after="100" w:afterAutospacing="1" w:line="240" w:lineRule="auto"/>
        <w:jc w:val="center"/>
        <w:rPr>
          <w:rFonts w:ascii="Times New Roman" w:eastAsia="Times New Roman" w:hAnsi="Times New Roman" w:cs="Times New Roman"/>
          <w:color w:val="000000"/>
          <w:sz w:val="27"/>
          <w:szCs w:val="27"/>
        </w:rPr>
      </w:pPr>
      <w:r>
        <w:rPr>
          <w:noProof/>
        </w:rPr>
        <w:drawing>
          <wp:inline distT="0" distB="0" distL="0" distR="0" wp14:anchorId="2DA414CD" wp14:editId="0ABEB738">
            <wp:extent cx="5114925" cy="2419350"/>
            <wp:effectExtent l="0" t="0" r="9525"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221408" w:rsidRPr="00221408" w:rsidRDefault="00221408" w:rsidP="00221408">
      <w:pPr>
        <w:tabs>
          <w:tab w:val="left" w:pos="3240"/>
        </w:tabs>
        <w:jc w:val="center"/>
        <w:rPr>
          <w:rFonts w:ascii="Times New Roman" w:hAnsi="Times New Roman" w:cs="Times New Roman"/>
          <w:sz w:val="24"/>
          <w:szCs w:val="24"/>
        </w:rPr>
      </w:pPr>
      <w:r w:rsidRPr="00221408">
        <w:rPr>
          <w:rFonts w:ascii="Times New Roman" w:eastAsia="Times New Roman" w:hAnsi="Times New Roman" w:cs="Times New Roman"/>
          <w:sz w:val="24"/>
          <w:szCs w:val="24"/>
        </w:rPr>
        <w:t>Figure 1: Revenue, Operating Income, and Net Income of Verizon</w:t>
      </w:r>
    </w:p>
    <w:p w:rsidR="00221408" w:rsidRDefault="00221408" w:rsidP="00221408">
      <w:pPr>
        <w:tabs>
          <w:tab w:val="left" w:pos="3240"/>
        </w:tabs>
        <w:rPr>
          <w:rFonts w:ascii="Times New Roman" w:eastAsia="Times New Roman" w:hAnsi="Times New Roman" w:cs="Times New Roman"/>
          <w:sz w:val="27"/>
          <w:szCs w:val="27"/>
        </w:rPr>
      </w:pPr>
    </w:p>
    <w:p w:rsidR="00221408" w:rsidRPr="00221408" w:rsidRDefault="00221408" w:rsidP="00221408">
      <w:pPr>
        <w:tabs>
          <w:tab w:val="left" w:pos="3240"/>
        </w:tabs>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Pr="00221408">
        <w:rPr>
          <w:rFonts w:ascii="Times New Roman" w:eastAsia="Times New Roman" w:hAnsi="Times New Roman" w:cs="Times New Roman"/>
          <w:sz w:val="24"/>
          <w:szCs w:val="24"/>
        </w:rPr>
        <w:t xml:space="preserve">Total assets size of the Verizon has increased over the last three years (Figure 2). This increase of assets base is the reflection of the improved financial performance of the company. At the end of 2015, whereas total assets of the Verizon was $282708 million, total assets size of AT&amp;T was $292829 million. Over the time period, Verizon is approaching towards the market leadership in term of assets size. Total equity of the Verizon has been decreased in 2015 due to high stock repurchase. This means that the management of the company is perceiving high growth of the company, and the company is providing high cash to the investors in the form of stock repurchase. As compared to AT&amp;T, the equity size of Verizon is lower. Whereas at the end of 2015, total equity size of AT&amp;T was $86370 million, the equity size of Verizon was $12298 million.   </w:t>
      </w:r>
    </w:p>
    <w:p w:rsidR="00221408" w:rsidRDefault="00221408" w:rsidP="00221408">
      <w:pPr>
        <w:spacing w:before="100" w:beforeAutospacing="1" w:after="100" w:afterAutospacing="1" w:line="240" w:lineRule="auto"/>
        <w:jc w:val="center"/>
        <w:rPr>
          <w:rFonts w:ascii="Times New Roman" w:eastAsia="Times New Roman" w:hAnsi="Times New Roman" w:cs="Times New Roman"/>
          <w:color w:val="000000"/>
          <w:sz w:val="27"/>
          <w:szCs w:val="27"/>
        </w:rPr>
      </w:pPr>
      <w:r>
        <w:rPr>
          <w:noProof/>
        </w:rPr>
        <w:drawing>
          <wp:inline distT="0" distB="0" distL="0" distR="0" wp14:anchorId="5187A267" wp14:editId="5B6E390F">
            <wp:extent cx="5438775" cy="2495550"/>
            <wp:effectExtent l="0" t="0" r="9525"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221408" w:rsidRPr="00221408" w:rsidRDefault="00221408" w:rsidP="00221408">
      <w:pPr>
        <w:spacing w:before="100" w:beforeAutospacing="1" w:after="100" w:afterAutospacing="1"/>
        <w:jc w:val="center"/>
        <w:rPr>
          <w:rFonts w:ascii="Times New Roman" w:hAnsi="Times New Roman" w:cs="Times New Roman"/>
          <w:color w:val="000000"/>
          <w:sz w:val="24"/>
          <w:szCs w:val="24"/>
        </w:rPr>
      </w:pPr>
      <w:r w:rsidRPr="00221408">
        <w:rPr>
          <w:rFonts w:ascii="Times New Roman" w:eastAsia="Times New Roman" w:hAnsi="Times New Roman" w:cs="Times New Roman"/>
          <w:color w:val="000000"/>
          <w:sz w:val="24"/>
          <w:szCs w:val="24"/>
        </w:rPr>
        <w:t>Figure 2: Total Assets and Total Equity of Verizon</w:t>
      </w:r>
    </w:p>
    <w:p w:rsidR="00221408" w:rsidRDefault="00221408" w:rsidP="00221408">
      <w:pPr>
        <w:spacing w:after="0" w:line="48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           As compared to the last year, Verizon has generated high cash flow from operation in 2015 (Figure 3). Also, as compared to AT&amp;T, Verizon has generated more cash flows from the operation. In 2015, total cash flow from operation of </w:t>
      </w:r>
      <w:r>
        <w:rPr>
          <w:rFonts w:ascii="Times New Roman" w:eastAsia="Times New Roman" w:hAnsi="Times New Roman" w:cs="Times New Roman"/>
          <w:color w:val="000000"/>
          <w:sz w:val="27"/>
          <w:szCs w:val="27"/>
        </w:rPr>
        <w:lastRenderedPageBreak/>
        <w:t xml:space="preserve">Verizon was $38930 million as compared to the cash flow from operation of AT&amp;T of 35880 million. </w:t>
      </w:r>
    </w:p>
    <w:p w:rsidR="00221408" w:rsidRDefault="00221408" w:rsidP="00221408">
      <w:pPr>
        <w:spacing w:before="100" w:beforeAutospacing="1" w:after="100" w:afterAutospacing="1" w:line="240" w:lineRule="auto"/>
        <w:jc w:val="center"/>
        <w:rPr>
          <w:rFonts w:ascii="Times New Roman" w:eastAsia="Times New Roman" w:hAnsi="Times New Roman" w:cs="Times New Roman"/>
          <w:color w:val="000000"/>
          <w:sz w:val="27"/>
          <w:szCs w:val="27"/>
        </w:rPr>
      </w:pPr>
      <w:r>
        <w:rPr>
          <w:noProof/>
        </w:rPr>
        <w:drawing>
          <wp:inline distT="0" distB="0" distL="0" distR="0" wp14:anchorId="2E8FE704" wp14:editId="619E53E0">
            <wp:extent cx="5686425" cy="2600325"/>
            <wp:effectExtent l="0" t="0" r="9525"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21408" w:rsidRPr="00221408" w:rsidRDefault="00221408" w:rsidP="00221408">
      <w:pPr>
        <w:spacing w:before="100" w:beforeAutospacing="1" w:after="100" w:afterAutospacing="1"/>
        <w:jc w:val="center"/>
        <w:rPr>
          <w:rFonts w:ascii="Times New Roman" w:hAnsi="Times New Roman" w:cs="Times New Roman"/>
          <w:color w:val="000000"/>
          <w:sz w:val="24"/>
          <w:szCs w:val="24"/>
        </w:rPr>
      </w:pPr>
      <w:r w:rsidRPr="00221408">
        <w:rPr>
          <w:rFonts w:ascii="Times New Roman" w:eastAsia="Times New Roman" w:hAnsi="Times New Roman" w:cs="Times New Roman"/>
          <w:color w:val="000000"/>
          <w:sz w:val="24"/>
          <w:szCs w:val="24"/>
        </w:rPr>
        <w:t xml:space="preserve">Figure 3: Cash Flow </w:t>
      </w:r>
      <w:r w:rsidR="004D4ABE" w:rsidRPr="00221408">
        <w:rPr>
          <w:rFonts w:ascii="Times New Roman" w:eastAsia="Times New Roman" w:hAnsi="Times New Roman" w:cs="Times New Roman"/>
          <w:color w:val="000000"/>
          <w:sz w:val="24"/>
          <w:szCs w:val="24"/>
        </w:rPr>
        <w:t>from</w:t>
      </w:r>
      <w:r w:rsidRPr="00221408">
        <w:rPr>
          <w:rFonts w:ascii="Times New Roman" w:eastAsia="Times New Roman" w:hAnsi="Times New Roman" w:cs="Times New Roman"/>
          <w:color w:val="000000"/>
          <w:sz w:val="24"/>
          <w:szCs w:val="24"/>
        </w:rPr>
        <w:t xml:space="preserve"> Operation of Verizon</w:t>
      </w:r>
    </w:p>
    <w:p w:rsidR="00E27ABF" w:rsidRPr="004D4ABE" w:rsidRDefault="004D4ABE" w:rsidP="0018240B">
      <w:pPr>
        <w:spacing w:before="100" w:beforeAutospacing="1" w:after="100" w:afterAutospacing="1" w:line="240" w:lineRule="auto"/>
        <w:rPr>
          <w:rFonts w:ascii="Times New Roman" w:eastAsia="Times New Roman" w:hAnsi="Times New Roman" w:cs="Times New Roman"/>
          <w:b/>
          <w:color w:val="000000"/>
          <w:sz w:val="24"/>
          <w:szCs w:val="24"/>
        </w:rPr>
      </w:pPr>
      <w:r w:rsidRPr="004D4ABE">
        <w:rPr>
          <w:rFonts w:ascii="Times New Roman" w:eastAsia="Times New Roman" w:hAnsi="Times New Roman" w:cs="Times New Roman"/>
          <w:b/>
          <w:color w:val="000000"/>
          <w:sz w:val="24"/>
          <w:szCs w:val="24"/>
        </w:rPr>
        <w:t>L</w:t>
      </w:r>
      <w:r w:rsidRPr="004D4ABE">
        <w:rPr>
          <w:rFonts w:ascii="Times New Roman" w:eastAsia="Times New Roman" w:hAnsi="Times New Roman" w:cs="Times New Roman"/>
          <w:b/>
          <w:color w:val="000000"/>
          <w:sz w:val="24"/>
          <w:szCs w:val="24"/>
        </w:rPr>
        <w:t>iquidity, profitability, solvency, assets management or efficiency, and earnings &amp; distribution performance analysis</w:t>
      </w:r>
    </w:p>
    <w:p w:rsidR="004D4ABE" w:rsidRDefault="004D4ABE" w:rsidP="004D4ABE">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D51A4E" w:rsidRPr="004D4ABE">
        <w:rPr>
          <w:rFonts w:ascii="Times New Roman" w:eastAsia="Times New Roman" w:hAnsi="Times New Roman" w:cs="Times New Roman"/>
          <w:color w:val="000000"/>
          <w:sz w:val="24"/>
          <w:szCs w:val="24"/>
        </w:rPr>
        <w:t xml:space="preserve">Ratio </w:t>
      </w:r>
      <w:r w:rsidR="00221408" w:rsidRPr="004D4ABE">
        <w:rPr>
          <w:rFonts w:ascii="Times New Roman" w:eastAsia="Times New Roman" w:hAnsi="Times New Roman" w:cs="Times New Roman"/>
          <w:color w:val="000000"/>
          <w:sz w:val="24"/>
          <w:szCs w:val="24"/>
        </w:rPr>
        <w:t>analysis</w:t>
      </w:r>
      <w:r w:rsidR="00D51A4E" w:rsidRPr="004D4ABE">
        <w:rPr>
          <w:rFonts w:ascii="Times New Roman" w:eastAsia="Times New Roman" w:hAnsi="Times New Roman" w:cs="Times New Roman"/>
          <w:color w:val="000000"/>
          <w:sz w:val="24"/>
          <w:szCs w:val="24"/>
        </w:rPr>
        <w:t xml:space="preserve"> is an important fi</w:t>
      </w:r>
      <w:r w:rsidR="00221408" w:rsidRPr="004D4ABE">
        <w:rPr>
          <w:rFonts w:ascii="Times New Roman" w:eastAsia="Times New Roman" w:hAnsi="Times New Roman" w:cs="Times New Roman"/>
          <w:color w:val="000000"/>
          <w:sz w:val="24"/>
          <w:szCs w:val="24"/>
        </w:rPr>
        <w:t>nancial tool assess the financial</w:t>
      </w:r>
      <w:r w:rsidR="00D51A4E" w:rsidRPr="004D4ABE">
        <w:rPr>
          <w:rFonts w:ascii="Times New Roman" w:eastAsia="Times New Roman" w:hAnsi="Times New Roman" w:cs="Times New Roman"/>
          <w:color w:val="000000"/>
          <w:sz w:val="24"/>
          <w:szCs w:val="24"/>
        </w:rPr>
        <w:t xml:space="preserve"> </w:t>
      </w:r>
      <w:r w:rsidR="00221408" w:rsidRPr="004D4ABE">
        <w:rPr>
          <w:rFonts w:ascii="Times New Roman" w:eastAsia="Times New Roman" w:hAnsi="Times New Roman" w:cs="Times New Roman"/>
          <w:color w:val="000000"/>
          <w:sz w:val="24"/>
          <w:szCs w:val="24"/>
        </w:rPr>
        <w:t>performance and position of com</w:t>
      </w:r>
      <w:r w:rsidR="00D51A4E" w:rsidRPr="004D4ABE">
        <w:rPr>
          <w:rFonts w:ascii="Times New Roman" w:eastAsia="Times New Roman" w:hAnsi="Times New Roman" w:cs="Times New Roman"/>
          <w:color w:val="000000"/>
          <w:sz w:val="24"/>
          <w:szCs w:val="24"/>
        </w:rPr>
        <w:t>p</w:t>
      </w:r>
      <w:r w:rsidR="00221408" w:rsidRPr="004D4ABE">
        <w:rPr>
          <w:rFonts w:ascii="Times New Roman" w:eastAsia="Times New Roman" w:hAnsi="Times New Roman" w:cs="Times New Roman"/>
          <w:color w:val="000000"/>
          <w:sz w:val="24"/>
          <w:szCs w:val="24"/>
        </w:rPr>
        <w:t>any</w:t>
      </w:r>
      <w:r>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272092015"/>
          <w:citation/>
        </w:sdtPr>
        <w:sdtContent>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 xml:space="preserve"> CITATION Pet15 \l 1033 </w:instrText>
          </w:r>
          <w:r>
            <w:rPr>
              <w:rFonts w:ascii="Times New Roman" w:eastAsia="Times New Roman" w:hAnsi="Times New Roman" w:cs="Times New Roman"/>
              <w:color w:val="000000"/>
              <w:sz w:val="24"/>
              <w:szCs w:val="24"/>
            </w:rPr>
            <w:fldChar w:fldCharType="separate"/>
          </w:r>
          <w:r w:rsidRPr="004D4ABE">
            <w:rPr>
              <w:rFonts w:ascii="Times New Roman" w:eastAsia="Times New Roman" w:hAnsi="Times New Roman" w:cs="Times New Roman"/>
              <w:noProof/>
              <w:color w:val="000000"/>
              <w:sz w:val="24"/>
              <w:szCs w:val="24"/>
            </w:rPr>
            <w:t>(Petty, Titman, Keown, &amp; Martin, 2015)</w:t>
          </w:r>
          <w:r>
            <w:rPr>
              <w:rFonts w:ascii="Times New Roman" w:eastAsia="Times New Roman" w:hAnsi="Times New Roman" w:cs="Times New Roman"/>
              <w:color w:val="000000"/>
              <w:sz w:val="24"/>
              <w:szCs w:val="24"/>
            </w:rPr>
            <w:fldChar w:fldCharType="end"/>
          </w:r>
        </w:sdtContent>
      </w:sdt>
      <w:r w:rsidR="00D51A4E" w:rsidRPr="004D4ABE">
        <w:rPr>
          <w:rFonts w:ascii="Times New Roman" w:eastAsia="Times New Roman" w:hAnsi="Times New Roman" w:cs="Times New Roman"/>
          <w:color w:val="000000"/>
          <w:sz w:val="24"/>
          <w:szCs w:val="24"/>
        </w:rPr>
        <w:t>. I</w:t>
      </w:r>
      <w:r w:rsidR="00221408" w:rsidRPr="004D4ABE">
        <w:rPr>
          <w:rFonts w:ascii="Times New Roman" w:eastAsia="Times New Roman" w:hAnsi="Times New Roman" w:cs="Times New Roman"/>
          <w:color w:val="000000"/>
          <w:sz w:val="24"/>
          <w:szCs w:val="24"/>
        </w:rPr>
        <w:t>n ratio analysis the overall fi</w:t>
      </w:r>
      <w:r w:rsidR="00D51A4E" w:rsidRPr="004D4ABE">
        <w:rPr>
          <w:rFonts w:ascii="Times New Roman" w:eastAsia="Times New Roman" w:hAnsi="Times New Roman" w:cs="Times New Roman"/>
          <w:color w:val="000000"/>
          <w:sz w:val="24"/>
          <w:szCs w:val="24"/>
        </w:rPr>
        <w:t>n</w:t>
      </w:r>
      <w:r w:rsidR="00221408" w:rsidRPr="004D4ABE">
        <w:rPr>
          <w:rFonts w:ascii="Times New Roman" w:eastAsia="Times New Roman" w:hAnsi="Times New Roman" w:cs="Times New Roman"/>
          <w:color w:val="000000"/>
          <w:sz w:val="24"/>
          <w:szCs w:val="24"/>
        </w:rPr>
        <w:t>a</w:t>
      </w:r>
      <w:r w:rsidR="00D51A4E" w:rsidRPr="004D4ABE">
        <w:rPr>
          <w:rFonts w:ascii="Times New Roman" w:eastAsia="Times New Roman" w:hAnsi="Times New Roman" w:cs="Times New Roman"/>
          <w:color w:val="000000"/>
          <w:sz w:val="24"/>
          <w:szCs w:val="24"/>
        </w:rPr>
        <w:t>n</w:t>
      </w:r>
      <w:r w:rsidR="00221408" w:rsidRPr="004D4ABE">
        <w:rPr>
          <w:rFonts w:ascii="Times New Roman" w:eastAsia="Times New Roman" w:hAnsi="Times New Roman" w:cs="Times New Roman"/>
          <w:color w:val="000000"/>
          <w:sz w:val="24"/>
          <w:szCs w:val="24"/>
        </w:rPr>
        <w:t>c</w:t>
      </w:r>
      <w:r w:rsidR="00D51A4E" w:rsidRPr="004D4ABE">
        <w:rPr>
          <w:rFonts w:ascii="Times New Roman" w:eastAsia="Times New Roman" w:hAnsi="Times New Roman" w:cs="Times New Roman"/>
          <w:color w:val="000000"/>
          <w:sz w:val="24"/>
          <w:szCs w:val="24"/>
        </w:rPr>
        <w:t>i</w:t>
      </w:r>
      <w:r w:rsidR="00221408" w:rsidRPr="004D4ABE">
        <w:rPr>
          <w:rFonts w:ascii="Times New Roman" w:eastAsia="Times New Roman" w:hAnsi="Times New Roman" w:cs="Times New Roman"/>
          <w:color w:val="000000"/>
          <w:sz w:val="24"/>
          <w:szCs w:val="24"/>
        </w:rPr>
        <w:t>a</w:t>
      </w:r>
      <w:r w:rsidR="00D51A4E" w:rsidRPr="004D4ABE">
        <w:rPr>
          <w:rFonts w:ascii="Times New Roman" w:eastAsia="Times New Roman" w:hAnsi="Times New Roman" w:cs="Times New Roman"/>
          <w:color w:val="000000"/>
          <w:sz w:val="24"/>
          <w:szCs w:val="24"/>
        </w:rPr>
        <w:t xml:space="preserve">l </w:t>
      </w:r>
      <w:r w:rsidR="00221408" w:rsidRPr="004D4ABE">
        <w:rPr>
          <w:rFonts w:ascii="Times New Roman" w:eastAsia="Times New Roman" w:hAnsi="Times New Roman" w:cs="Times New Roman"/>
          <w:color w:val="000000"/>
          <w:sz w:val="24"/>
          <w:szCs w:val="24"/>
        </w:rPr>
        <w:t>performance</w:t>
      </w:r>
      <w:r w:rsidR="00D51A4E" w:rsidRPr="004D4ABE">
        <w:rPr>
          <w:rFonts w:ascii="Times New Roman" w:eastAsia="Times New Roman" w:hAnsi="Times New Roman" w:cs="Times New Roman"/>
          <w:color w:val="000000"/>
          <w:sz w:val="24"/>
          <w:szCs w:val="24"/>
        </w:rPr>
        <w:t xml:space="preserve"> and </w:t>
      </w:r>
      <w:r w:rsidR="00221408" w:rsidRPr="004D4ABE">
        <w:rPr>
          <w:rFonts w:ascii="Times New Roman" w:eastAsia="Times New Roman" w:hAnsi="Times New Roman" w:cs="Times New Roman"/>
          <w:color w:val="000000"/>
          <w:sz w:val="24"/>
          <w:szCs w:val="24"/>
        </w:rPr>
        <w:t>position</w:t>
      </w:r>
      <w:r w:rsidR="00D51A4E" w:rsidRPr="004D4ABE">
        <w:rPr>
          <w:rFonts w:ascii="Times New Roman" w:eastAsia="Times New Roman" w:hAnsi="Times New Roman" w:cs="Times New Roman"/>
          <w:color w:val="000000"/>
          <w:sz w:val="24"/>
          <w:szCs w:val="24"/>
        </w:rPr>
        <w:t xml:space="preserve"> of a company is assessed based </w:t>
      </w:r>
      <w:r w:rsidR="00221408" w:rsidRPr="004D4ABE">
        <w:rPr>
          <w:rFonts w:ascii="Times New Roman" w:eastAsia="Times New Roman" w:hAnsi="Times New Roman" w:cs="Times New Roman"/>
          <w:color w:val="000000"/>
          <w:sz w:val="24"/>
          <w:szCs w:val="24"/>
        </w:rPr>
        <w:t>on t</w:t>
      </w:r>
      <w:r w:rsidR="00D51A4E" w:rsidRPr="004D4ABE">
        <w:rPr>
          <w:rFonts w:ascii="Times New Roman" w:eastAsia="Times New Roman" w:hAnsi="Times New Roman" w:cs="Times New Roman"/>
          <w:color w:val="000000"/>
          <w:sz w:val="24"/>
          <w:szCs w:val="24"/>
        </w:rPr>
        <w:t>h</w:t>
      </w:r>
      <w:r w:rsidR="00221408" w:rsidRPr="004D4ABE">
        <w:rPr>
          <w:rFonts w:ascii="Times New Roman" w:eastAsia="Times New Roman" w:hAnsi="Times New Roman" w:cs="Times New Roman"/>
          <w:color w:val="000000"/>
          <w:sz w:val="24"/>
          <w:szCs w:val="24"/>
        </w:rPr>
        <w:t>e</w:t>
      </w:r>
      <w:r w:rsidR="00D51A4E" w:rsidRPr="004D4ABE">
        <w:rPr>
          <w:rFonts w:ascii="Times New Roman" w:eastAsia="Times New Roman" w:hAnsi="Times New Roman" w:cs="Times New Roman"/>
          <w:color w:val="000000"/>
          <w:sz w:val="24"/>
          <w:szCs w:val="24"/>
        </w:rPr>
        <w:t xml:space="preserve"> </w:t>
      </w:r>
      <w:r w:rsidR="00221408" w:rsidRPr="004D4ABE">
        <w:rPr>
          <w:rFonts w:ascii="Times New Roman" w:eastAsia="Times New Roman" w:hAnsi="Times New Roman" w:cs="Times New Roman"/>
          <w:color w:val="000000"/>
          <w:sz w:val="24"/>
          <w:szCs w:val="24"/>
        </w:rPr>
        <w:t>liquidity</w:t>
      </w:r>
      <w:r w:rsidR="00D51A4E" w:rsidRPr="004D4ABE">
        <w:rPr>
          <w:rFonts w:ascii="Times New Roman" w:eastAsia="Times New Roman" w:hAnsi="Times New Roman" w:cs="Times New Roman"/>
          <w:color w:val="000000"/>
          <w:sz w:val="24"/>
          <w:szCs w:val="24"/>
        </w:rPr>
        <w:t xml:space="preserve">, profitability, solvency, assets </w:t>
      </w:r>
      <w:r w:rsidR="00221408" w:rsidRPr="004D4ABE">
        <w:rPr>
          <w:rFonts w:ascii="Times New Roman" w:eastAsia="Times New Roman" w:hAnsi="Times New Roman" w:cs="Times New Roman"/>
          <w:color w:val="000000"/>
          <w:sz w:val="24"/>
          <w:szCs w:val="24"/>
        </w:rPr>
        <w:t>management</w:t>
      </w:r>
      <w:r w:rsidR="00D51A4E" w:rsidRPr="004D4ABE">
        <w:rPr>
          <w:rFonts w:ascii="Times New Roman" w:eastAsia="Times New Roman" w:hAnsi="Times New Roman" w:cs="Times New Roman"/>
          <w:color w:val="000000"/>
          <w:sz w:val="24"/>
          <w:szCs w:val="24"/>
        </w:rPr>
        <w:t xml:space="preserve"> or efficiency, and earnings &amp; distribution performance analysis</w:t>
      </w:r>
      <w:r>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1645884747"/>
          <w:citation/>
        </w:sdtPr>
        <w:sdtContent>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 xml:space="preserve"> CITATION Pra14 \l 1033 </w:instrText>
          </w:r>
          <w:r>
            <w:rPr>
              <w:rFonts w:ascii="Times New Roman" w:eastAsia="Times New Roman" w:hAnsi="Times New Roman" w:cs="Times New Roman"/>
              <w:color w:val="000000"/>
              <w:sz w:val="24"/>
              <w:szCs w:val="24"/>
            </w:rPr>
            <w:fldChar w:fldCharType="separate"/>
          </w:r>
          <w:r w:rsidRPr="004D4ABE">
            <w:rPr>
              <w:rFonts w:ascii="Times New Roman" w:eastAsia="Times New Roman" w:hAnsi="Times New Roman" w:cs="Times New Roman"/>
              <w:noProof/>
              <w:color w:val="000000"/>
              <w:sz w:val="24"/>
              <w:szCs w:val="24"/>
            </w:rPr>
            <w:t>(Chandra, 2014)</w:t>
          </w:r>
          <w:r>
            <w:rPr>
              <w:rFonts w:ascii="Times New Roman" w:eastAsia="Times New Roman" w:hAnsi="Times New Roman" w:cs="Times New Roman"/>
              <w:color w:val="000000"/>
              <w:sz w:val="24"/>
              <w:szCs w:val="24"/>
            </w:rPr>
            <w:fldChar w:fldCharType="end"/>
          </w:r>
        </w:sdtContent>
      </w:sdt>
      <w:r w:rsidR="00D51A4E" w:rsidRPr="004D4ABE">
        <w:rPr>
          <w:rFonts w:ascii="Times New Roman" w:eastAsia="Times New Roman" w:hAnsi="Times New Roman" w:cs="Times New Roman"/>
          <w:color w:val="000000"/>
          <w:sz w:val="24"/>
          <w:szCs w:val="24"/>
        </w:rPr>
        <w:t xml:space="preserve">. </w:t>
      </w:r>
    </w:p>
    <w:p w:rsidR="00D51A4E" w:rsidRPr="004D4ABE" w:rsidRDefault="004D4ABE" w:rsidP="004D4ABE">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D51A4E" w:rsidRPr="004D4ABE">
        <w:rPr>
          <w:rFonts w:ascii="Times New Roman" w:eastAsia="Times New Roman" w:hAnsi="Times New Roman" w:cs="Times New Roman"/>
          <w:color w:val="000000"/>
          <w:sz w:val="24"/>
          <w:szCs w:val="24"/>
        </w:rPr>
        <w:t xml:space="preserve">The liquidity as well as the ability of the company to repay its short term debts &amp; obligations when they become due with its current and liquid assets of the Verizon is better than average other company in the industry as implied from the higher current ratio &amp; acid test ratio of the Verizon than </w:t>
      </w:r>
      <w:r w:rsidR="00AB553F" w:rsidRPr="004D4ABE">
        <w:rPr>
          <w:rFonts w:ascii="Times New Roman" w:eastAsia="Times New Roman" w:hAnsi="Times New Roman" w:cs="Times New Roman"/>
          <w:color w:val="000000"/>
          <w:sz w:val="24"/>
          <w:szCs w:val="24"/>
        </w:rPr>
        <w:t xml:space="preserve">those of the </w:t>
      </w:r>
      <w:r w:rsidR="00D51A4E" w:rsidRPr="004D4ABE">
        <w:rPr>
          <w:rFonts w:ascii="Times New Roman" w:eastAsia="Times New Roman" w:hAnsi="Times New Roman" w:cs="Times New Roman"/>
          <w:color w:val="000000"/>
          <w:sz w:val="24"/>
          <w:szCs w:val="24"/>
        </w:rPr>
        <w:t>overall industry average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(Figure 4)</w:t>
      </w:r>
      <w:r w:rsidR="00D51A4E" w:rsidRPr="004D4ABE">
        <w:rPr>
          <w:rFonts w:ascii="Times New Roman" w:eastAsia="Times New Roman" w:hAnsi="Times New Roman" w:cs="Times New Roman"/>
          <w:color w:val="000000"/>
          <w:sz w:val="24"/>
          <w:szCs w:val="24"/>
        </w:rPr>
        <w:t xml:space="preserve">. </w:t>
      </w:r>
    </w:p>
    <w:p w:rsidR="00E27ABF" w:rsidRPr="004D4ABE" w:rsidRDefault="004D4ABE" w:rsidP="004D4ABE">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w:t>
      </w:r>
      <w:r w:rsidR="00624BB0" w:rsidRPr="004D4ABE">
        <w:rPr>
          <w:rFonts w:ascii="Times New Roman" w:eastAsia="Times New Roman" w:hAnsi="Times New Roman" w:cs="Times New Roman"/>
          <w:color w:val="000000"/>
          <w:sz w:val="24"/>
          <w:szCs w:val="24"/>
        </w:rPr>
        <w:t>The</w:t>
      </w:r>
      <w:r w:rsidR="00D51A4E" w:rsidRPr="004D4ABE">
        <w:rPr>
          <w:rFonts w:ascii="Times New Roman" w:eastAsia="Times New Roman" w:hAnsi="Times New Roman" w:cs="Times New Roman"/>
          <w:color w:val="000000"/>
          <w:sz w:val="24"/>
          <w:szCs w:val="24"/>
        </w:rPr>
        <w:t xml:space="preserve"> profitability as well as profit generating capacity of the Verizon is better than average other company in the industry as implied from the higher net profit margin, and return on assets (ROA) of the Verizon than </w:t>
      </w:r>
      <w:r w:rsidR="00AB553F" w:rsidRPr="004D4ABE">
        <w:rPr>
          <w:rFonts w:ascii="Times New Roman" w:eastAsia="Times New Roman" w:hAnsi="Times New Roman" w:cs="Times New Roman"/>
          <w:color w:val="000000"/>
          <w:sz w:val="24"/>
          <w:szCs w:val="24"/>
        </w:rPr>
        <w:t xml:space="preserve">those of the </w:t>
      </w:r>
      <w:r w:rsidR="00D51A4E" w:rsidRPr="004D4ABE">
        <w:rPr>
          <w:rFonts w:ascii="Times New Roman" w:eastAsia="Times New Roman" w:hAnsi="Times New Roman" w:cs="Times New Roman"/>
          <w:color w:val="000000"/>
          <w:sz w:val="24"/>
          <w:szCs w:val="24"/>
        </w:rPr>
        <w:t>overall industry average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(Figure 4)</w:t>
      </w:r>
      <w:r w:rsidR="00D51A4E" w:rsidRPr="004D4ABE">
        <w:rPr>
          <w:rFonts w:ascii="Times New Roman" w:eastAsia="Times New Roman" w:hAnsi="Times New Roman" w:cs="Times New Roman"/>
          <w:color w:val="000000"/>
          <w:sz w:val="24"/>
          <w:szCs w:val="24"/>
        </w:rPr>
        <w:t>. A</w:t>
      </w:r>
      <w:r>
        <w:rPr>
          <w:rFonts w:ascii="Times New Roman" w:eastAsia="Times New Roman" w:hAnsi="Times New Roman" w:cs="Times New Roman"/>
          <w:color w:val="000000"/>
          <w:sz w:val="24"/>
          <w:szCs w:val="24"/>
        </w:rPr>
        <w:t>s</w:t>
      </w:r>
      <w:r w:rsidR="00D51A4E" w:rsidRPr="004D4ABE">
        <w:rPr>
          <w:rFonts w:ascii="Times New Roman" w:eastAsia="Times New Roman" w:hAnsi="Times New Roman" w:cs="Times New Roman"/>
          <w:color w:val="000000"/>
          <w:sz w:val="24"/>
          <w:szCs w:val="24"/>
        </w:rPr>
        <w:t xml:space="preserve"> compared to other companies in the industry Verizon is more efficient in managing of its sales, and assets to generate more </w:t>
      </w:r>
      <w:r w:rsidR="00624BB0" w:rsidRPr="004D4ABE">
        <w:rPr>
          <w:rFonts w:ascii="Times New Roman" w:eastAsia="Times New Roman" w:hAnsi="Times New Roman" w:cs="Times New Roman"/>
          <w:color w:val="000000"/>
          <w:sz w:val="24"/>
          <w:szCs w:val="24"/>
        </w:rPr>
        <w:t>rerun</w:t>
      </w:r>
      <w:r w:rsidR="00D51A4E" w:rsidRPr="004D4ABE">
        <w:rPr>
          <w:rFonts w:ascii="Times New Roman" w:eastAsia="Times New Roman" w:hAnsi="Times New Roman" w:cs="Times New Roman"/>
          <w:color w:val="000000"/>
          <w:sz w:val="24"/>
          <w:szCs w:val="24"/>
        </w:rPr>
        <w:t xml:space="preserve">. </w:t>
      </w:r>
    </w:p>
    <w:p w:rsidR="00624BB0" w:rsidRPr="004D4ABE" w:rsidRDefault="004D4ABE" w:rsidP="004D4ABE">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AB553F" w:rsidRPr="004D4ABE">
        <w:rPr>
          <w:rFonts w:ascii="Times New Roman" w:eastAsia="Times New Roman" w:hAnsi="Times New Roman" w:cs="Times New Roman"/>
          <w:color w:val="000000"/>
          <w:sz w:val="24"/>
          <w:szCs w:val="24"/>
        </w:rPr>
        <w:t xml:space="preserve">As compared to other company in the industry, Verizon is more </w:t>
      </w:r>
      <w:r w:rsidR="007151C2" w:rsidRPr="004D4ABE">
        <w:rPr>
          <w:rFonts w:ascii="Times New Roman" w:eastAsia="Times New Roman" w:hAnsi="Times New Roman" w:cs="Times New Roman"/>
          <w:color w:val="000000"/>
          <w:sz w:val="24"/>
          <w:szCs w:val="24"/>
        </w:rPr>
        <w:t>leveraged</w:t>
      </w:r>
      <w:r w:rsidR="00AB553F" w:rsidRPr="004D4ABE">
        <w:rPr>
          <w:rFonts w:ascii="Times New Roman" w:eastAsia="Times New Roman" w:hAnsi="Times New Roman" w:cs="Times New Roman"/>
          <w:color w:val="000000"/>
          <w:sz w:val="24"/>
          <w:szCs w:val="24"/>
        </w:rPr>
        <w:t xml:space="preserve"> as implied from the higher Leverage Ratio, and Debt to Equity Ratio of </w:t>
      </w:r>
      <w:r w:rsidR="00813072" w:rsidRPr="004D4ABE">
        <w:rPr>
          <w:rFonts w:ascii="Times New Roman" w:eastAsia="Times New Roman" w:hAnsi="Times New Roman" w:cs="Times New Roman"/>
          <w:color w:val="000000"/>
          <w:sz w:val="24"/>
          <w:szCs w:val="24"/>
        </w:rPr>
        <w:t>it</w:t>
      </w:r>
      <w:r w:rsidR="00AB553F" w:rsidRPr="004D4ABE">
        <w:rPr>
          <w:rFonts w:ascii="Times New Roman" w:eastAsia="Times New Roman" w:hAnsi="Times New Roman" w:cs="Times New Roman"/>
          <w:color w:val="000000"/>
          <w:sz w:val="24"/>
          <w:szCs w:val="24"/>
        </w:rPr>
        <w:t xml:space="preserve"> than those of the industry average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(Figure 4)</w:t>
      </w:r>
      <w:r w:rsidR="00AB553F" w:rsidRPr="004D4ABE">
        <w:rPr>
          <w:rFonts w:ascii="Times New Roman" w:eastAsia="Times New Roman" w:hAnsi="Times New Roman" w:cs="Times New Roman"/>
          <w:color w:val="000000"/>
          <w:sz w:val="24"/>
          <w:szCs w:val="24"/>
        </w:rPr>
        <w:t xml:space="preserve">. </w:t>
      </w:r>
      <w:r w:rsidR="007151C2" w:rsidRPr="004D4ABE">
        <w:rPr>
          <w:rFonts w:ascii="Times New Roman" w:eastAsia="Times New Roman" w:hAnsi="Times New Roman" w:cs="Times New Roman"/>
          <w:color w:val="000000"/>
          <w:sz w:val="24"/>
          <w:szCs w:val="24"/>
        </w:rPr>
        <w:t xml:space="preserve">But high this high leverage is mainly due to decrease of equity base attributed by high stock repurchase. The company is mainly utilizing the high leverage to gear up the return of the general shareholders. </w:t>
      </w:r>
    </w:p>
    <w:p w:rsidR="00813072" w:rsidRPr="004D4ABE" w:rsidRDefault="004D4ABE" w:rsidP="004D4ABE">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95228" w:rsidRPr="004D4ABE">
        <w:rPr>
          <w:rFonts w:ascii="Times New Roman" w:eastAsia="Times New Roman" w:hAnsi="Times New Roman" w:cs="Times New Roman"/>
          <w:color w:val="000000"/>
          <w:sz w:val="24"/>
          <w:szCs w:val="24"/>
        </w:rPr>
        <w:t>Overall assets management, inventory management, and accounts receivable management capacity of the Verizon is better than that of the other companies in the industry as implied form the higher asset turnover ratio, but lower Inventory Processing Period &amp; A/R Collection Period of it than those of the industry</w:t>
      </w:r>
      <w:r>
        <w:rPr>
          <w:rFonts w:ascii="Times New Roman" w:eastAsia="Times New Roman" w:hAnsi="Times New Roman" w:cs="Times New Roman"/>
          <w:color w:val="000000"/>
          <w:sz w:val="24"/>
          <w:szCs w:val="24"/>
        </w:rPr>
        <w:t xml:space="preserve"> (Figure 4)</w:t>
      </w:r>
      <w:r w:rsidR="00795228" w:rsidRPr="004D4ABE">
        <w:rPr>
          <w:rFonts w:ascii="Times New Roman" w:eastAsia="Times New Roman" w:hAnsi="Times New Roman" w:cs="Times New Roman"/>
          <w:color w:val="000000"/>
          <w:sz w:val="24"/>
          <w:szCs w:val="24"/>
        </w:rPr>
        <w:t xml:space="preserve">. </w:t>
      </w:r>
    </w:p>
    <w:p w:rsidR="007F2822" w:rsidRPr="004D4ABE" w:rsidRDefault="007F2822" w:rsidP="004D4ABE">
      <w:pPr>
        <w:spacing w:after="0" w:line="480" w:lineRule="auto"/>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 xml:space="preserve">As compared to other companies in the industry, Verizon is generating and distributing more return to the shareholders in the market as implied from the higher value of EPS, and DPS of the company than those of overall industry. </w:t>
      </w:r>
    </w:p>
    <w:tbl>
      <w:tblPr>
        <w:tblW w:w="9823" w:type="dxa"/>
        <w:tblLook w:val="04A0" w:firstRow="1" w:lastRow="0" w:firstColumn="1" w:lastColumn="0" w:noHBand="0" w:noVBand="1"/>
      </w:tblPr>
      <w:tblGrid>
        <w:gridCol w:w="6883"/>
        <w:gridCol w:w="271"/>
        <w:gridCol w:w="1360"/>
        <w:gridCol w:w="1309"/>
      </w:tblGrid>
      <w:tr w:rsidR="00E27ABF" w:rsidRPr="00E27ABF" w:rsidTr="00D51A4E">
        <w:trPr>
          <w:trHeight w:val="300"/>
        </w:trPr>
        <w:tc>
          <w:tcPr>
            <w:tcW w:w="9823" w:type="dxa"/>
            <w:gridSpan w:val="4"/>
            <w:tcBorders>
              <w:top w:val="single" w:sz="4" w:space="0" w:color="auto"/>
              <w:left w:val="single" w:sz="4" w:space="0" w:color="auto"/>
              <w:bottom w:val="single" w:sz="4" w:space="0" w:color="auto"/>
              <w:right w:val="nil"/>
            </w:tcBorders>
            <w:shd w:val="clear" w:color="000000" w:fill="F4B084"/>
            <w:noWrap/>
            <w:vAlign w:val="bottom"/>
            <w:hideMark/>
          </w:tcPr>
          <w:p w:rsidR="00E27ABF" w:rsidRPr="00E27ABF" w:rsidRDefault="00E27ABF" w:rsidP="00E27ABF">
            <w:pPr>
              <w:spacing w:after="0" w:line="240" w:lineRule="auto"/>
              <w:jc w:val="center"/>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t>Financial Ratios of Verizon Communication and Telecommunication Industry for 2015</w:t>
            </w:r>
          </w:p>
        </w:tc>
      </w:tr>
      <w:tr w:rsidR="00E27ABF" w:rsidRPr="00E27ABF" w:rsidTr="00D51A4E">
        <w:trPr>
          <w:trHeight w:val="300"/>
        </w:trPr>
        <w:tc>
          <w:tcPr>
            <w:tcW w:w="6883" w:type="dxa"/>
            <w:tcBorders>
              <w:top w:val="nil"/>
              <w:left w:val="single" w:sz="4" w:space="0" w:color="auto"/>
              <w:bottom w:val="single" w:sz="4" w:space="0" w:color="auto"/>
              <w:right w:val="nil"/>
            </w:tcBorders>
            <w:shd w:val="clear" w:color="000000" w:fill="F8CBAD"/>
            <w:noWrap/>
            <w:vAlign w:val="bottom"/>
            <w:hideMark/>
          </w:tcPr>
          <w:p w:rsidR="00E27ABF" w:rsidRPr="00E27ABF" w:rsidRDefault="00E27ABF" w:rsidP="00E27ABF">
            <w:pPr>
              <w:spacing w:after="0" w:line="240" w:lineRule="auto"/>
              <w:jc w:val="center"/>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t>Ratios</w:t>
            </w:r>
          </w:p>
        </w:tc>
        <w:tc>
          <w:tcPr>
            <w:tcW w:w="271" w:type="dxa"/>
            <w:tcBorders>
              <w:top w:val="nil"/>
              <w:left w:val="nil"/>
              <w:bottom w:val="single" w:sz="4" w:space="0" w:color="auto"/>
              <w:right w:val="nil"/>
            </w:tcBorders>
            <w:shd w:val="clear" w:color="000000" w:fill="F8CBAD"/>
            <w:noWrap/>
            <w:vAlign w:val="bottom"/>
            <w:hideMark/>
          </w:tcPr>
          <w:p w:rsidR="00E27ABF" w:rsidRPr="00E27ABF" w:rsidRDefault="00E27ABF" w:rsidP="00E27ABF">
            <w:pPr>
              <w:spacing w:after="0" w:line="240" w:lineRule="auto"/>
              <w:jc w:val="center"/>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t> </w:t>
            </w:r>
          </w:p>
        </w:tc>
        <w:tc>
          <w:tcPr>
            <w:tcW w:w="1360" w:type="dxa"/>
            <w:tcBorders>
              <w:top w:val="nil"/>
              <w:left w:val="nil"/>
              <w:bottom w:val="single" w:sz="4" w:space="0" w:color="auto"/>
              <w:right w:val="nil"/>
            </w:tcBorders>
            <w:shd w:val="clear" w:color="000000" w:fill="F8CBAD"/>
            <w:noWrap/>
            <w:vAlign w:val="bottom"/>
            <w:hideMark/>
          </w:tcPr>
          <w:p w:rsidR="00E27ABF" w:rsidRPr="00E27ABF" w:rsidRDefault="00E27ABF" w:rsidP="00E27ABF">
            <w:pPr>
              <w:spacing w:after="0" w:line="240" w:lineRule="auto"/>
              <w:jc w:val="center"/>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t>Verizon</w:t>
            </w:r>
          </w:p>
        </w:tc>
        <w:tc>
          <w:tcPr>
            <w:tcW w:w="1309" w:type="dxa"/>
            <w:tcBorders>
              <w:top w:val="nil"/>
              <w:left w:val="nil"/>
              <w:bottom w:val="single" w:sz="4" w:space="0" w:color="auto"/>
              <w:right w:val="single" w:sz="4" w:space="0" w:color="auto"/>
            </w:tcBorders>
            <w:shd w:val="clear" w:color="000000" w:fill="F8CBAD"/>
            <w:noWrap/>
            <w:vAlign w:val="bottom"/>
            <w:hideMark/>
          </w:tcPr>
          <w:p w:rsidR="00E27ABF" w:rsidRPr="00E27ABF" w:rsidRDefault="00E27ABF" w:rsidP="00E27ABF">
            <w:pPr>
              <w:spacing w:after="0" w:line="240" w:lineRule="auto"/>
              <w:jc w:val="center"/>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t>Industry</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t>Liquidity Ratios</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b/>
                <w:bCs/>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sz w:val="20"/>
                <w:szCs w:val="20"/>
              </w:rPr>
            </w:pP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 </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rPr>
            </w:pPr>
            <w:r w:rsidRPr="00E27ABF">
              <w:rPr>
                <w:rFonts w:ascii="Times New Roman" w:eastAsia="Times New Roman" w:hAnsi="Times New Roman" w:cs="Times New Roman"/>
              </w:rPr>
              <w:t>Current Ratio</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rPr>
            </w:pPr>
          </w:p>
        </w:tc>
        <w:tc>
          <w:tcPr>
            <w:tcW w:w="1360" w:type="dxa"/>
            <w:tcBorders>
              <w:top w:val="nil"/>
              <w:left w:val="nil"/>
              <w:bottom w:val="nil"/>
              <w:right w:val="nil"/>
            </w:tcBorders>
            <w:shd w:val="clear" w:color="auto" w:fill="auto"/>
            <w:vAlign w:val="center"/>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0.64</w:t>
            </w:r>
          </w:p>
        </w:tc>
        <w:tc>
          <w:tcPr>
            <w:tcW w:w="1309" w:type="dxa"/>
            <w:tcBorders>
              <w:top w:val="nil"/>
              <w:left w:val="nil"/>
              <w:bottom w:val="nil"/>
              <w:right w:val="single" w:sz="4" w:space="0" w:color="auto"/>
            </w:tcBorders>
            <w:shd w:val="clear" w:color="auto" w:fill="auto"/>
            <w:vAlign w:val="center"/>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0.56</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rPr>
            </w:pPr>
            <w:r w:rsidRPr="00E27ABF">
              <w:rPr>
                <w:rFonts w:ascii="Times New Roman" w:eastAsia="Times New Roman" w:hAnsi="Times New Roman" w:cs="Times New Roman"/>
              </w:rPr>
              <w:t>Acid-test ratio</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0.52</w:t>
            </w: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0.45</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D51A4E" w:rsidP="00E27ABF">
            <w:pPr>
              <w:spacing w:after="0" w:line="240" w:lineRule="auto"/>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t>Profitability</w:t>
            </w:r>
            <w:r w:rsidR="00E27ABF" w:rsidRPr="00E27ABF">
              <w:rPr>
                <w:rFonts w:ascii="Times New Roman" w:eastAsia="Times New Roman" w:hAnsi="Times New Roman" w:cs="Times New Roman"/>
                <w:b/>
                <w:bCs/>
                <w:color w:val="000000"/>
              </w:rPr>
              <w:t xml:space="preserve"> Ratios</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b/>
                <w:bCs/>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sz w:val="20"/>
                <w:szCs w:val="20"/>
              </w:rPr>
            </w:pP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 </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Net Profit Margin</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13.58%</w:t>
            </w: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11.45%</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rPr>
            </w:pPr>
            <w:r w:rsidRPr="00E27ABF">
              <w:rPr>
                <w:rFonts w:ascii="Times New Roman" w:eastAsia="Times New Roman" w:hAnsi="Times New Roman" w:cs="Times New Roman"/>
              </w:rPr>
              <w:t>Return on assets (ROA)</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7.49%</w:t>
            </w: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5.64%</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t>Solvency Ratios</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b/>
                <w:bCs/>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sz w:val="20"/>
                <w:szCs w:val="20"/>
              </w:rPr>
            </w:pP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 </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Leverage Ratio</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14.89</w:t>
            </w: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10.44</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AB553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Debt to Equity Ratio</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6.31</w:t>
            </w: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5.78</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lastRenderedPageBreak/>
              <w:t>Assets Management Ratios</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b/>
                <w:bCs/>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sz w:val="20"/>
                <w:szCs w:val="20"/>
              </w:rPr>
            </w:pP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 </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Assets Turnover (Times)</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p>
        </w:tc>
        <w:tc>
          <w:tcPr>
            <w:tcW w:w="1360" w:type="dxa"/>
            <w:tcBorders>
              <w:top w:val="nil"/>
              <w:left w:val="nil"/>
              <w:bottom w:val="nil"/>
              <w:right w:val="nil"/>
            </w:tcBorders>
            <w:shd w:val="clear" w:color="auto" w:fill="auto"/>
            <w:vAlign w:val="center"/>
            <w:hideMark/>
          </w:tcPr>
          <w:p w:rsidR="00E27ABF" w:rsidRPr="00E27ABF" w:rsidRDefault="00E27ABF" w:rsidP="003820E9">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0.</w:t>
            </w:r>
            <w:r w:rsidR="003820E9">
              <w:rPr>
                <w:rFonts w:ascii="Times New Roman" w:eastAsia="Times New Roman" w:hAnsi="Times New Roman" w:cs="Times New Roman"/>
                <w:color w:val="000000"/>
              </w:rPr>
              <w:t>46</w:t>
            </w:r>
          </w:p>
        </w:tc>
        <w:tc>
          <w:tcPr>
            <w:tcW w:w="1309" w:type="dxa"/>
            <w:tcBorders>
              <w:top w:val="nil"/>
              <w:left w:val="nil"/>
              <w:bottom w:val="nil"/>
              <w:right w:val="single" w:sz="4" w:space="0" w:color="auto"/>
            </w:tcBorders>
            <w:shd w:val="clear" w:color="auto" w:fill="auto"/>
            <w:vAlign w:val="center"/>
            <w:hideMark/>
          </w:tcPr>
          <w:p w:rsidR="00E27ABF" w:rsidRPr="00E27ABF" w:rsidRDefault="003820E9" w:rsidP="00E27ABF">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0.40</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Inventory Processing Period (Days)</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8.35</w:t>
            </w:r>
          </w:p>
        </w:tc>
        <w:tc>
          <w:tcPr>
            <w:tcW w:w="1309" w:type="dxa"/>
            <w:tcBorders>
              <w:top w:val="nil"/>
              <w:left w:val="nil"/>
              <w:bottom w:val="nil"/>
              <w:right w:val="single" w:sz="4" w:space="0" w:color="auto"/>
            </w:tcBorders>
            <w:shd w:val="clear" w:color="auto" w:fill="auto"/>
            <w:noWrap/>
            <w:vAlign w:val="bottom"/>
            <w:hideMark/>
          </w:tcPr>
          <w:p w:rsidR="00E27ABF" w:rsidRPr="00E27ABF" w:rsidRDefault="00D51A4E" w:rsidP="00E27ABF">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12</w:t>
            </w:r>
            <w:r w:rsidR="00E27ABF" w:rsidRPr="00E27ABF">
              <w:rPr>
                <w:rFonts w:ascii="Times New Roman" w:eastAsia="Times New Roman" w:hAnsi="Times New Roman" w:cs="Times New Roman"/>
                <w:color w:val="000000"/>
              </w:rPr>
              <w:t>.78</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A/R Collection Period (Days)</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38.06</w:t>
            </w: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40.23</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b/>
                <w:bCs/>
                <w:color w:val="000000"/>
              </w:rPr>
            </w:pPr>
            <w:r w:rsidRPr="00E27ABF">
              <w:rPr>
                <w:rFonts w:ascii="Times New Roman" w:eastAsia="Times New Roman" w:hAnsi="Times New Roman" w:cs="Times New Roman"/>
                <w:b/>
                <w:bCs/>
                <w:color w:val="000000"/>
              </w:rPr>
              <w:t xml:space="preserve">Earnings and Distribution </w:t>
            </w:r>
            <w:r w:rsidR="00AB553F" w:rsidRPr="00E27ABF">
              <w:rPr>
                <w:rFonts w:ascii="Times New Roman" w:eastAsia="Times New Roman" w:hAnsi="Times New Roman" w:cs="Times New Roman"/>
                <w:b/>
                <w:bCs/>
                <w:color w:val="000000"/>
              </w:rPr>
              <w:t>Performance</w:t>
            </w:r>
            <w:r w:rsidRPr="00E27ABF">
              <w:rPr>
                <w:rFonts w:ascii="Times New Roman" w:eastAsia="Times New Roman" w:hAnsi="Times New Roman" w:cs="Times New Roman"/>
                <w:b/>
                <w:bCs/>
                <w:color w:val="000000"/>
              </w:rPr>
              <w:t xml:space="preserve"> Ratios</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b/>
                <w:bCs/>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sz w:val="20"/>
                <w:szCs w:val="20"/>
              </w:rPr>
            </w:pP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 </w:t>
            </w:r>
          </w:p>
        </w:tc>
      </w:tr>
      <w:tr w:rsidR="00E27ABF" w:rsidRPr="00E27ABF" w:rsidTr="00D51A4E">
        <w:trPr>
          <w:trHeight w:val="300"/>
        </w:trPr>
        <w:tc>
          <w:tcPr>
            <w:tcW w:w="6883" w:type="dxa"/>
            <w:tcBorders>
              <w:top w:val="nil"/>
              <w:left w:val="single" w:sz="4" w:space="0" w:color="auto"/>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Earnings Per Share (EPS)</w:t>
            </w:r>
          </w:p>
        </w:tc>
        <w:tc>
          <w:tcPr>
            <w:tcW w:w="271"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p>
        </w:tc>
        <w:tc>
          <w:tcPr>
            <w:tcW w:w="1360" w:type="dxa"/>
            <w:tcBorders>
              <w:top w:val="nil"/>
              <w:left w:val="nil"/>
              <w:bottom w:val="nil"/>
              <w:right w:val="nil"/>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4.90</w:t>
            </w:r>
          </w:p>
        </w:tc>
        <w:tc>
          <w:tcPr>
            <w:tcW w:w="1309" w:type="dxa"/>
            <w:tcBorders>
              <w:top w:val="nil"/>
              <w:left w:val="nil"/>
              <w:bottom w:val="nil"/>
              <w:right w:val="single" w:sz="4" w:space="0" w:color="auto"/>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3.45</w:t>
            </w:r>
          </w:p>
        </w:tc>
      </w:tr>
      <w:tr w:rsidR="00E27ABF" w:rsidRPr="00E27ABF" w:rsidTr="00D51A4E">
        <w:trPr>
          <w:trHeight w:val="300"/>
        </w:trPr>
        <w:tc>
          <w:tcPr>
            <w:tcW w:w="6883" w:type="dxa"/>
            <w:tcBorders>
              <w:top w:val="nil"/>
              <w:left w:val="single" w:sz="4" w:space="0" w:color="auto"/>
              <w:bottom w:val="single" w:sz="4" w:space="0" w:color="auto"/>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Dividends Per Share (DPS)</w:t>
            </w:r>
          </w:p>
        </w:tc>
        <w:tc>
          <w:tcPr>
            <w:tcW w:w="271" w:type="dxa"/>
            <w:tcBorders>
              <w:top w:val="nil"/>
              <w:left w:val="nil"/>
              <w:bottom w:val="single" w:sz="4" w:space="0" w:color="auto"/>
              <w:right w:val="nil"/>
            </w:tcBorders>
            <w:shd w:val="clear" w:color="auto" w:fill="auto"/>
            <w:noWrap/>
            <w:vAlign w:val="bottom"/>
            <w:hideMark/>
          </w:tcPr>
          <w:p w:rsidR="00E27ABF" w:rsidRPr="00E27ABF" w:rsidRDefault="00E27ABF" w:rsidP="00E27ABF">
            <w:pPr>
              <w:spacing w:after="0" w:line="240" w:lineRule="auto"/>
              <w:rPr>
                <w:rFonts w:ascii="Times New Roman" w:eastAsia="Times New Roman" w:hAnsi="Times New Roman" w:cs="Times New Roman"/>
                <w:color w:val="000000"/>
              </w:rPr>
            </w:pPr>
            <w:r w:rsidRPr="00E27ABF">
              <w:rPr>
                <w:rFonts w:ascii="Times New Roman" w:eastAsia="Times New Roman" w:hAnsi="Times New Roman" w:cs="Times New Roman"/>
                <w:color w:val="000000"/>
              </w:rPr>
              <w:t> </w:t>
            </w:r>
          </w:p>
        </w:tc>
        <w:tc>
          <w:tcPr>
            <w:tcW w:w="1360" w:type="dxa"/>
            <w:tcBorders>
              <w:top w:val="nil"/>
              <w:left w:val="nil"/>
              <w:bottom w:val="single" w:sz="4" w:space="0" w:color="auto"/>
              <w:right w:val="nil"/>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2.20</w:t>
            </w:r>
          </w:p>
        </w:tc>
        <w:tc>
          <w:tcPr>
            <w:tcW w:w="1309" w:type="dxa"/>
            <w:tcBorders>
              <w:top w:val="nil"/>
              <w:left w:val="nil"/>
              <w:bottom w:val="single" w:sz="4" w:space="0" w:color="auto"/>
              <w:right w:val="single" w:sz="4" w:space="0" w:color="auto"/>
            </w:tcBorders>
            <w:shd w:val="clear" w:color="auto" w:fill="auto"/>
            <w:noWrap/>
            <w:vAlign w:val="bottom"/>
            <w:hideMark/>
          </w:tcPr>
          <w:p w:rsidR="00E27ABF" w:rsidRPr="00E27ABF" w:rsidRDefault="00E27ABF" w:rsidP="00E27ABF">
            <w:pPr>
              <w:spacing w:after="0" w:line="240" w:lineRule="auto"/>
              <w:jc w:val="right"/>
              <w:rPr>
                <w:rFonts w:ascii="Times New Roman" w:eastAsia="Times New Roman" w:hAnsi="Times New Roman" w:cs="Times New Roman"/>
                <w:color w:val="000000"/>
              </w:rPr>
            </w:pPr>
            <w:r w:rsidRPr="00E27ABF">
              <w:rPr>
                <w:rFonts w:ascii="Times New Roman" w:eastAsia="Times New Roman" w:hAnsi="Times New Roman" w:cs="Times New Roman"/>
                <w:color w:val="000000"/>
              </w:rPr>
              <w:t>1.68</w:t>
            </w:r>
          </w:p>
        </w:tc>
      </w:tr>
    </w:tbl>
    <w:p w:rsidR="003820E9" w:rsidRPr="004D4ABE" w:rsidRDefault="004D4ABE" w:rsidP="004D4ABE">
      <w:pPr>
        <w:tabs>
          <w:tab w:val="left" w:pos="8385"/>
        </w:tabs>
        <w:spacing w:before="100" w:beforeAutospacing="1" w:after="100" w:afterAutospacing="1"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 xml:space="preserve">Figure 4: Financial Ratios of </w:t>
      </w:r>
      <w:r w:rsidRPr="004D4ABE">
        <w:rPr>
          <w:rFonts w:ascii="Times New Roman" w:eastAsia="Times New Roman" w:hAnsi="Times New Roman" w:cs="Times New Roman"/>
          <w:bCs/>
          <w:color w:val="000000"/>
          <w:sz w:val="24"/>
          <w:szCs w:val="24"/>
        </w:rPr>
        <w:t>Verizon Communication and Telecommunication Industry for 2015</w:t>
      </w:r>
    </w:p>
    <w:p w:rsidR="004D4ABE" w:rsidRPr="004D4ABE" w:rsidRDefault="004D4ABE" w:rsidP="003820E9">
      <w:pPr>
        <w:tabs>
          <w:tab w:val="left" w:pos="8385"/>
        </w:tabs>
        <w:spacing w:before="100" w:beforeAutospacing="1" w:after="100" w:afterAutospacing="1" w:line="240" w:lineRule="auto"/>
        <w:rPr>
          <w:rFonts w:ascii="Times New Roman" w:eastAsia="Times New Roman" w:hAnsi="Times New Roman" w:cs="Times New Roman"/>
          <w:b/>
          <w:color w:val="000000"/>
          <w:sz w:val="24"/>
          <w:szCs w:val="24"/>
        </w:rPr>
      </w:pPr>
      <w:r w:rsidRPr="004D4ABE">
        <w:rPr>
          <w:rFonts w:ascii="Times New Roman" w:eastAsia="Times New Roman" w:hAnsi="Times New Roman" w:cs="Times New Roman"/>
          <w:b/>
          <w:color w:val="000000"/>
          <w:sz w:val="24"/>
          <w:szCs w:val="24"/>
        </w:rPr>
        <w:t>E</w:t>
      </w:r>
      <w:r w:rsidRPr="004D4ABE">
        <w:rPr>
          <w:rFonts w:ascii="Times New Roman" w:eastAsia="Times New Roman" w:hAnsi="Times New Roman" w:cs="Times New Roman"/>
          <w:b/>
          <w:color w:val="000000"/>
          <w:sz w:val="24"/>
          <w:szCs w:val="24"/>
        </w:rPr>
        <w:t>arnings quality and persistency</w:t>
      </w:r>
      <w:r w:rsidRPr="004D4ABE">
        <w:rPr>
          <w:rFonts w:ascii="Times New Roman" w:eastAsia="Times New Roman" w:hAnsi="Times New Roman" w:cs="Times New Roman"/>
          <w:b/>
          <w:color w:val="000000"/>
          <w:sz w:val="24"/>
          <w:szCs w:val="24"/>
        </w:rPr>
        <w:t xml:space="preserve"> Assessment</w:t>
      </w:r>
    </w:p>
    <w:p w:rsidR="003820E9" w:rsidRPr="004D4ABE" w:rsidRDefault="004D4ABE" w:rsidP="004D4ABE">
      <w:pPr>
        <w:tabs>
          <w:tab w:val="left" w:pos="8385"/>
        </w:tabs>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A26A52" w:rsidRPr="004D4ABE">
        <w:rPr>
          <w:rFonts w:ascii="Times New Roman" w:eastAsia="Times New Roman" w:hAnsi="Times New Roman" w:cs="Times New Roman"/>
          <w:color w:val="000000"/>
          <w:sz w:val="24"/>
          <w:szCs w:val="24"/>
        </w:rPr>
        <w:t xml:space="preserve">The earnings quality and </w:t>
      </w:r>
      <w:r w:rsidR="00E96EF1" w:rsidRPr="004D4ABE">
        <w:rPr>
          <w:rFonts w:ascii="Times New Roman" w:eastAsia="Times New Roman" w:hAnsi="Times New Roman" w:cs="Times New Roman"/>
          <w:color w:val="000000"/>
          <w:sz w:val="24"/>
          <w:szCs w:val="24"/>
        </w:rPr>
        <w:t>persistency</w:t>
      </w:r>
      <w:r w:rsidR="00A26A52" w:rsidRPr="004D4ABE">
        <w:rPr>
          <w:rFonts w:ascii="Times New Roman" w:eastAsia="Times New Roman" w:hAnsi="Times New Roman" w:cs="Times New Roman"/>
          <w:color w:val="000000"/>
          <w:sz w:val="24"/>
          <w:szCs w:val="24"/>
        </w:rPr>
        <w:t xml:space="preserve"> of a </w:t>
      </w:r>
      <w:r w:rsidR="00E96EF1" w:rsidRPr="004D4ABE">
        <w:rPr>
          <w:rFonts w:ascii="Times New Roman" w:eastAsia="Times New Roman" w:hAnsi="Times New Roman" w:cs="Times New Roman"/>
          <w:color w:val="000000"/>
          <w:sz w:val="24"/>
          <w:szCs w:val="24"/>
        </w:rPr>
        <w:t>company</w:t>
      </w:r>
      <w:r w:rsidR="00A26A52" w:rsidRPr="004D4ABE">
        <w:rPr>
          <w:rFonts w:ascii="Times New Roman" w:eastAsia="Times New Roman" w:hAnsi="Times New Roman" w:cs="Times New Roman"/>
          <w:color w:val="000000"/>
          <w:sz w:val="24"/>
          <w:szCs w:val="24"/>
        </w:rPr>
        <w:t xml:space="preserve"> can be assessed based on the Du-Pont analysis where </w:t>
      </w:r>
      <w:r w:rsidR="00E96EF1" w:rsidRPr="004D4ABE">
        <w:rPr>
          <w:rFonts w:ascii="Times New Roman" w:eastAsia="Times New Roman" w:hAnsi="Times New Roman" w:cs="Times New Roman"/>
          <w:color w:val="000000"/>
          <w:sz w:val="24"/>
          <w:szCs w:val="24"/>
        </w:rPr>
        <w:t>components</w:t>
      </w:r>
      <w:r w:rsidR="00A26A52" w:rsidRPr="004D4ABE">
        <w:rPr>
          <w:rFonts w:ascii="Times New Roman" w:eastAsia="Times New Roman" w:hAnsi="Times New Roman" w:cs="Times New Roman"/>
          <w:color w:val="000000"/>
          <w:sz w:val="24"/>
          <w:szCs w:val="24"/>
        </w:rPr>
        <w:t xml:space="preserve"> of the ROE is </w:t>
      </w:r>
      <w:r w:rsidR="00E96EF1" w:rsidRPr="004D4ABE">
        <w:rPr>
          <w:rFonts w:ascii="Times New Roman" w:eastAsia="Times New Roman" w:hAnsi="Times New Roman" w:cs="Times New Roman"/>
          <w:color w:val="000000"/>
          <w:sz w:val="24"/>
          <w:szCs w:val="24"/>
        </w:rPr>
        <w:t xml:space="preserve">decomposed to understand their impact on the ROE. </w:t>
      </w:r>
      <w:r w:rsidR="003820E9" w:rsidRPr="004D4ABE">
        <w:rPr>
          <w:rFonts w:ascii="Times New Roman" w:eastAsia="Times New Roman" w:hAnsi="Times New Roman" w:cs="Times New Roman"/>
          <w:color w:val="000000"/>
          <w:sz w:val="24"/>
          <w:szCs w:val="24"/>
        </w:rPr>
        <w:t xml:space="preserve">Even though 2014, the </w:t>
      </w:r>
      <w:r w:rsidR="001132CE" w:rsidRPr="004D4ABE">
        <w:rPr>
          <w:rFonts w:ascii="Times New Roman" w:eastAsia="Times New Roman" w:hAnsi="Times New Roman" w:cs="Times New Roman"/>
          <w:color w:val="000000"/>
          <w:sz w:val="24"/>
          <w:szCs w:val="24"/>
        </w:rPr>
        <w:t>Return</w:t>
      </w:r>
      <w:r w:rsidR="003820E9" w:rsidRPr="004D4ABE">
        <w:rPr>
          <w:rFonts w:ascii="Times New Roman" w:eastAsia="Times New Roman" w:hAnsi="Times New Roman" w:cs="Times New Roman"/>
          <w:color w:val="000000"/>
          <w:sz w:val="24"/>
          <w:szCs w:val="24"/>
        </w:rPr>
        <w:t xml:space="preserve"> on Equity (ROE) of Verizon has </w:t>
      </w:r>
      <w:r w:rsidR="001132CE" w:rsidRPr="004D4ABE">
        <w:rPr>
          <w:rFonts w:ascii="Times New Roman" w:eastAsia="Times New Roman" w:hAnsi="Times New Roman" w:cs="Times New Roman"/>
          <w:color w:val="000000"/>
          <w:sz w:val="24"/>
          <w:szCs w:val="24"/>
        </w:rPr>
        <w:t>decreased</w:t>
      </w:r>
      <w:r w:rsidR="003820E9" w:rsidRPr="004D4ABE">
        <w:rPr>
          <w:rFonts w:ascii="Times New Roman" w:eastAsia="Times New Roman" w:hAnsi="Times New Roman" w:cs="Times New Roman"/>
          <w:color w:val="000000"/>
          <w:sz w:val="24"/>
          <w:szCs w:val="24"/>
        </w:rPr>
        <w:t xml:space="preserve">, in 2015 ROE of the </w:t>
      </w:r>
      <w:r w:rsidR="001132CE" w:rsidRPr="004D4ABE">
        <w:rPr>
          <w:rFonts w:ascii="Times New Roman" w:eastAsia="Times New Roman" w:hAnsi="Times New Roman" w:cs="Times New Roman"/>
          <w:color w:val="000000"/>
          <w:sz w:val="24"/>
          <w:szCs w:val="24"/>
        </w:rPr>
        <w:t>company</w:t>
      </w:r>
      <w:r w:rsidR="003820E9" w:rsidRPr="004D4ABE">
        <w:rPr>
          <w:rFonts w:ascii="Times New Roman" w:eastAsia="Times New Roman" w:hAnsi="Times New Roman" w:cs="Times New Roman"/>
          <w:color w:val="000000"/>
          <w:sz w:val="24"/>
          <w:szCs w:val="24"/>
        </w:rPr>
        <w:t xml:space="preserve"> increased. </w:t>
      </w:r>
      <w:r w:rsidR="001132CE" w:rsidRPr="004D4ABE">
        <w:rPr>
          <w:rFonts w:ascii="Times New Roman" w:eastAsia="Times New Roman" w:hAnsi="Times New Roman" w:cs="Times New Roman"/>
          <w:color w:val="000000"/>
          <w:sz w:val="24"/>
          <w:szCs w:val="24"/>
        </w:rPr>
        <w:t xml:space="preserve">This increase in ROE in 2015 is mainly attributed by the high return on sales, and high gearing effect. The </w:t>
      </w:r>
      <w:r w:rsidR="00A26A52" w:rsidRPr="004D4ABE">
        <w:rPr>
          <w:rFonts w:ascii="Times New Roman" w:eastAsia="Times New Roman" w:hAnsi="Times New Roman" w:cs="Times New Roman"/>
          <w:color w:val="000000"/>
          <w:sz w:val="24"/>
          <w:szCs w:val="24"/>
        </w:rPr>
        <w:t>efficiency</w:t>
      </w:r>
      <w:r w:rsidR="001132CE" w:rsidRPr="004D4ABE">
        <w:rPr>
          <w:rFonts w:ascii="Times New Roman" w:eastAsia="Times New Roman" w:hAnsi="Times New Roman" w:cs="Times New Roman"/>
          <w:color w:val="000000"/>
          <w:sz w:val="24"/>
          <w:szCs w:val="24"/>
        </w:rPr>
        <w:t xml:space="preserve"> of the company in </w:t>
      </w:r>
      <w:r w:rsidR="00A26A52" w:rsidRPr="004D4ABE">
        <w:rPr>
          <w:rFonts w:ascii="Times New Roman" w:eastAsia="Times New Roman" w:hAnsi="Times New Roman" w:cs="Times New Roman"/>
          <w:color w:val="000000"/>
          <w:sz w:val="24"/>
          <w:szCs w:val="24"/>
        </w:rPr>
        <w:t>managing</w:t>
      </w:r>
      <w:r w:rsidR="001132CE" w:rsidRPr="004D4ABE">
        <w:rPr>
          <w:rFonts w:ascii="Times New Roman" w:eastAsia="Times New Roman" w:hAnsi="Times New Roman" w:cs="Times New Roman"/>
          <w:color w:val="000000"/>
          <w:sz w:val="24"/>
          <w:szCs w:val="24"/>
        </w:rPr>
        <w:t xml:space="preserve"> of its sales </w:t>
      </w:r>
      <w:r w:rsidR="00A26A52" w:rsidRPr="004D4ABE">
        <w:rPr>
          <w:rFonts w:ascii="Times New Roman" w:eastAsia="Times New Roman" w:hAnsi="Times New Roman" w:cs="Times New Roman"/>
          <w:color w:val="000000"/>
          <w:sz w:val="24"/>
          <w:szCs w:val="24"/>
        </w:rPr>
        <w:t>return</w:t>
      </w:r>
      <w:r w:rsidR="001132CE" w:rsidRPr="004D4ABE">
        <w:rPr>
          <w:rFonts w:ascii="Times New Roman" w:eastAsia="Times New Roman" w:hAnsi="Times New Roman" w:cs="Times New Roman"/>
          <w:color w:val="000000"/>
          <w:sz w:val="24"/>
          <w:szCs w:val="24"/>
        </w:rPr>
        <w:t xml:space="preserve"> and leverage has been improved. AS compared to AT&amp;T, the earning quality of the Verizon Communication is persistent as </w:t>
      </w:r>
      <w:r w:rsidR="00A26A52" w:rsidRPr="004D4ABE">
        <w:rPr>
          <w:rFonts w:ascii="Times New Roman" w:eastAsia="Times New Roman" w:hAnsi="Times New Roman" w:cs="Times New Roman"/>
          <w:color w:val="000000"/>
          <w:sz w:val="24"/>
          <w:szCs w:val="24"/>
        </w:rPr>
        <w:t>implied</w:t>
      </w:r>
      <w:r w:rsidR="001132CE" w:rsidRPr="004D4ABE">
        <w:rPr>
          <w:rFonts w:ascii="Times New Roman" w:eastAsia="Times New Roman" w:hAnsi="Times New Roman" w:cs="Times New Roman"/>
          <w:color w:val="000000"/>
          <w:sz w:val="24"/>
          <w:szCs w:val="24"/>
        </w:rPr>
        <w:t xml:space="preserve"> from the </w:t>
      </w:r>
      <w:r w:rsidR="00A26A52" w:rsidRPr="004D4ABE">
        <w:rPr>
          <w:rFonts w:ascii="Times New Roman" w:eastAsia="Times New Roman" w:hAnsi="Times New Roman" w:cs="Times New Roman"/>
          <w:color w:val="000000"/>
          <w:sz w:val="24"/>
          <w:szCs w:val="24"/>
        </w:rPr>
        <w:t>attributors of the ROE of both companies for 2015</w:t>
      </w:r>
      <w:r>
        <w:rPr>
          <w:rFonts w:ascii="Times New Roman" w:eastAsia="Times New Roman" w:hAnsi="Times New Roman" w:cs="Times New Roman"/>
          <w:color w:val="000000"/>
          <w:sz w:val="24"/>
          <w:szCs w:val="24"/>
        </w:rPr>
        <w:t xml:space="preserve"> (Figure 5)</w:t>
      </w:r>
      <w:r w:rsidR="00A26A52" w:rsidRPr="004D4ABE">
        <w:rPr>
          <w:rFonts w:ascii="Times New Roman" w:eastAsia="Times New Roman" w:hAnsi="Times New Roman" w:cs="Times New Roman"/>
          <w:color w:val="000000"/>
          <w:sz w:val="24"/>
          <w:szCs w:val="24"/>
        </w:rPr>
        <w:t xml:space="preserve">. </w:t>
      </w:r>
      <w:r w:rsidR="00E96EF1" w:rsidRPr="004D4ABE">
        <w:rPr>
          <w:rFonts w:ascii="Times New Roman" w:eastAsia="Times New Roman" w:hAnsi="Times New Roman" w:cs="Times New Roman"/>
          <w:color w:val="000000"/>
          <w:sz w:val="24"/>
          <w:szCs w:val="24"/>
        </w:rPr>
        <w:t xml:space="preserve">The ROE of Verizon is attributable by high return on revenue and better utilization of leverage as compared to that of AT&amp;T. </w:t>
      </w:r>
    </w:p>
    <w:tbl>
      <w:tblPr>
        <w:tblW w:w="9760" w:type="dxa"/>
        <w:tblLook w:val="04A0" w:firstRow="1" w:lastRow="0" w:firstColumn="1" w:lastColumn="0" w:noHBand="0" w:noVBand="1"/>
      </w:tblPr>
      <w:tblGrid>
        <w:gridCol w:w="1217"/>
        <w:gridCol w:w="1076"/>
        <w:gridCol w:w="2547"/>
        <w:gridCol w:w="2265"/>
        <w:gridCol w:w="2745"/>
      </w:tblGrid>
      <w:tr w:rsidR="003820E9" w:rsidRPr="004D4ABE" w:rsidTr="00A26A52">
        <w:trPr>
          <w:trHeight w:val="254"/>
        </w:trPr>
        <w:tc>
          <w:tcPr>
            <w:tcW w:w="9700" w:type="dxa"/>
            <w:gridSpan w:val="5"/>
            <w:tcBorders>
              <w:top w:val="single" w:sz="4" w:space="0" w:color="auto"/>
              <w:left w:val="single" w:sz="4" w:space="0" w:color="auto"/>
              <w:bottom w:val="single" w:sz="4" w:space="0" w:color="auto"/>
              <w:right w:val="single" w:sz="4" w:space="0" w:color="000000"/>
            </w:tcBorders>
            <w:shd w:val="clear" w:color="000000" w:fill="F8CBAD"/>
            <w:noWrap/>
            <w:vAlign w:val="bottom"/>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 xml:space="preserve">Du-Pont </w:t>
            </w:r>
            <w:r w:rsidR="001132CE" w:rsidRPr="004D4ABE">
              <w:rPr>
                <w:rFonts w:ascii="Times New Roman" w:eastAsia="Times New Roman" w:hAnsi="Times New Roman" w:cs="Times New Roman"/>
                <w:b/>
                <w:bCs/>
                <w:color w:val="000000"/>
                <w:sz w:val="24"/>
                <w:szCs w:val="24"/>
              </w:rPr>
              <w:t>Analysis</w:t>
            </w:r>
            <w:r w:rsidRPr="004D4ABE">
              <w:rPr>
                <w:rFonts w:ascii="Times New Roman" w:eastAsia="Times New Roman" w:hAnsi="Times New Roman" w:cs="Times New Roman"/>
                <w:b/>
                <w:bCs/>
                <w:color w:val="000000"/>
                <w:sz w:val="24"/>
                <w:szCs w:val="24"/>
              </w:rPr>
              <w:t xml:space="preserve"> for AT&amp;T and Verizon </w:t>
            </w:r>
            <w:r w:rsidR="001132CE" w:rsidRPr="004D4ABE">
              <w:rPr>
                <w:rFonts w:ascii="Times New Roman" w:eastAsia="Times New Roman" w:hAnsi="Times New Roman" w:cs="Times New Roman"/>
                <w:b/>
                <w:bCs/>
                <w:color w:val="000000"/>
                <w:sz w:val="24"/>
                <w:szCs w:val="24"/>
              </w:rPr>
              <w:t>Communication</w:t>
            </w:r>
            <w:r w:rsidRPr="004D4ABE">
              <w:rPr>
                <w:rFonts w:ascii="Times New Roman" w:eastAsia="Times New Roman" w:hAnsi="Times New Roman" w:cs="Times New Roman"/>
                <w:b/>
                <w:bCs/>
                <w:color w:val="000000"/>
                <w:sz w:val="24"/>
                <w:szCs w:val="24"/>
              </w:rPr>
              <w:t xml:space="preserve"> (2015)</w:t>
            </w:r>
          </w:p>
        </w:tc>
      </w:tr>
      <w:tr w:rsidR="003820E9" w:rsidRPr="004D4ABE" w:rsidTr="00A26A52">
        <w:trPr>
          <w:trHeight w:val="254"/>
        </w:trPr>
        <w:tc>
          <w:tcPr>
            <w:tcW w:w="113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 xml:space="preserve">Company </w:t>
            </w:r>
          </w:p>
        </w:tc>
        <w:tc>
          <w:tcPr>
            <w:tcW w:w="101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ROE</w:t>
            </w:r>
          </w:p>
        </w:tc>
        <w:tc>
          <w:tcPr>
            <w:tcW w:w="7557" w:type="dxa"/>
            <w:gridSpan w:val="3"/>
            <w:tcBorders>
              <w:top w:val="single" w:sz="4" w:space="0" w:color="auto"/>
              <w:left w:val="nil"/>
              <w:bottom w:val="single" w:sz="4" w:space="0" w:color="auto"/>
              <w:right w:val="single" w:sz="4" w:space="0" w:color="auto"/>
            </w:tcBorders>
            <w:shd w:val="clear" w:color="auto" w:fill="auto"/>
            <w:noWrap/>
            <w:vAlign w:val="bottom"/>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Components</w:t>
            </w:r>
          </w:p>
        </w:tc>
      </w:tr>
      <w:tr w:rsidR="003820E9" w:rsidRPr="004D4ABE" w:rsidTr="00A26A52">
        <w:trPr>
          <w:trHeight w:val="254"/>
        </w:trPr>
        <w:tc>
          <w:tcPr>
            <w:tcW w:w="1130" w:type="dxa"/>
            <w:vMerge/>
            <w:tcBorders>
              <w:top w:val="nil"/>
              <w:left w:val="single" w:sz="4" w:space="0" w:color="auto"/>
              <w:bottom w:val="single" w:sz="4" w:space="0" w:color="000000"/>
              <w:right w:val="single" w:sz="4" w:space="0" w:color="auto"/>
            </w:tcBorders>
            <w:vAlign w:val="center"/>
            <w:hideMark/>
          </w:tcPr>
          <w:p w:rsidR="003820E9" w:rsidRPr="004D4ABE" w:rsidRDefault="003820E9" w:rsidP="003820E9">
            <w:pPr>
              <w:spacing w:after="0" w:line="240" w:lineRule="auto"/>
              <w:rPr>
                <w:rFonts w:ascii="Times New Roman" w:eastAsia="Times New Roman" w:hAnsi="Times New Roman" w:cs="Times New Roman"/>
                <w:b/>
                <w:bCs/>
                <w:color w:val="000000"/>
                <w:sz w:val="24"/>
                <w:szCs w:val="24"/>
              </w:rPr>
            </w:pPr>
          </w:p>
        </w:tc>
        <w:tc>
          <w:tcPr>
            <w:tcW w:w="1013" w:type="dxa"/>
            <w:vMerge/>
            <w:tcBorders>
              <w:top w:val="nil"/>
              <w:left w:val="single" w:sz="4" w:space="0" w:color="auto"/>
              <w:bottom w:val="single" w:sz="4" w:space="0" w:color="auto"/>
              <w:right w:val="single" w:sz="4" w:space="0" w:color="auto"/>
            </w:tcBorders>
            <w:vAlign w:val="center"/>
            <w:hideMark/>
          </w:tcPr>
          <w:p w:rsidR="003820E9" w:rsidRPr="004D4ABE" w:rsidRDefault="003820E9" w:rsidP="003820E9">
            <w:pPr>
              <w:spacing w:after="0" w:line="240" w:lineRule="auto"/>
              <w:rPr>
                <w:rFonts w:ascii="Times New Roman" w:eastAsia="Times New Roman" w:hAnsi="Times New Roman" w:cs="Times New Roman"/>
                <w:b/>
                <w:bCs/>
                <w:color w:val="000000"/>
                <w:sz w:val="24"/>
                <w:szCs w:val="24"/>
              </w:rPr>
            </w:pPr>
          </w:p>
        </w:tc>
        <w:tc>
          <w:tcPr>
            <w:tcW w:w="2547" w:type="dxa"/>
            <w:tcBorders>
              <w:top w:val="nil"/>
              <w:left w:val="nil"/>
              <w:bottom w:val="single" w:sz="4" w:space="0" w:color="auto"/>
              <w:right w:val="single" w:sz="4" w:space="0" w:color="auto"/>
            </w:tcBorders>
            <w:shd w:val="clear" w:color="auto" w:fill="auto"/>
            <w:vAlign w:val="center"/>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Profit Margin</w:t>
            </w:r>
          </w:p>
        </w:tc>
        <w:tc>
          <w:tcPr>
            <w:tcW w:w="2265" w:type="dxa"/>
            <w:tcBorders>
              <w:top w:val="nil"/>
              <w:left w:val="nil"/>
              <w:bottom w:val="single" w:sz="4" w:space="0" w:color="auto"/>
              <w:right w:val="single" w:sz="4" w:space="0" w:color="auto"/>
            </w:tcBorders>
            <w:shd w:val="clear" w:color="auto" w:fill="auto"/>
            <w:vAlign w:val="center"/>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Total Assets Turnover</w:t>
            </w:r>
          </w:p>
        </w:tc>
        <w:tc>
          <w:tcPr>
            <w:tcW w:w="2745" w:type="dxa"/>
            <w:tcBorders>
              <w:top w:val="nil"/>
              <w:left w:val="nil"/>
              <w:bottom w:val="single" w:sz="4" w:space="0" w:color="auto"/>
              <w:right w:val="single" w:sz="4" w:space="0" w:color="auto"/>
            </w:tcBorders>
            <w:shd w:val="clear" w:color="auto" w:fill="auto"/>
            <w:vAlign w:val="center"/>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Equity Multiplier</w:t>
            </w:r>
          </w:p>
        </w:tc>
      </w:tr>
      <w:tr w:rsidR="003820E9" w:rsidRPr="004D4ABE" w:rsidTr="00A26A52">
        <w:trPr>
          <w:trHeight w:val="293"/>
        </w:trPr>
        <w:tc>
          <w:tcPr>
            <w:tcW w:w="1130" w:type="dxa"/>
            <w:tcBorders>
              <w:top w:val="nil"/>
              <w:left w:val="single" w:sz="4" w:space="0" w:color="auto"/>
              <w:bottom w:val="single" w:sz="4" w:space="0" w:color="auto"/>
              <w:right w:val="nil"/>
            </w:tcBorders>
            <w:shd w:val="clear" w:color="auto" w:fill="auto"/>
            <w:noWrap/>
            <w:vAlign w:val="bottom"/>
            <w:hideMark/>
          </w:tcPr>
          <w:p w:rsidR="003820E9" w:rsidRPr="004D4ABE" w:rsidRDefault="003820E9" w:rsidP="003820E9">
            <w:pPr>
              <w:spacing w:after="0" w:line="240" w:lineRule="auto"/>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 </w:t>
            </w:r>
          </w:p>
        </w:tc>
        <w:tc>
          <w:tcPr>
            <w:tcW w:w="1013" w:type="dxa"/>
            <w:tcBorders>
              <w:top w:val="nil"/>
              <w:left w:val="nil"/>
              <w:bottom w:val="single" w:sz="4" w:space="0" w:color="auto"/>
              <w:right w:val="nil"/>
            </w:tcBorders>
            <w:shd w:val="clear" w:color="auto" w:fill="auto"/>
            <w:noWrap/>
            <w:vAlign w:val="center"/>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 </w:t>
            </w:r>
          </w:p>
        </w:tc>
        <w:tc>
          <w:tcPr>
            <w:tcW w:w="2547" w:type="dxa"/>
            <w:tcBorders>
              <w:top w:val="nil"/>
              <w:left w:val="single" w:sz="4" w:space="0" w:color="auto"/>
              <w:bottom w:val="single" w:sz="4" w:space="0" w:color="auto"/>
              <w:right w:val="single" w:sz="4" w:space="0" w:color="auto"/>
            </w:tcBorders>
            <w:shd w:val="clear" w:color="auto" w:fill="auto"/>
            <w:vAlign w:val="center"/>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(Net Income/Revenue)</w:t>
            </w:r>
          </w:p>
        </w:tc>
        <w:tc>
          <w:tcPr>
            <w:tcW w:w="2265" w:type="dxa"/>
            <w:tcBorders>
              <w:top w:val="nil"/>
              <w:left w:val="nil"/>
              <w:bottom w:val="single" w:sz="4" w:space="0" w:color="auto"/>
              <w:right w:val="single" w:sz="4" w:space="0" w:color="auto"/>
            </w:tcBorders>
            <w:shd w:val="clear" w:color="auto" w:fill="auto"/>
            <w:vAlign w:val="center"/>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(Revenue/ Total Assets)</w:t>
            </w:r>
          </w:p>
        </w:tc>
        <w:tc>
          <w:tcPr>
            <w:tcW w:w="2745" w:type="dxa"/>
            <w:tcBorders>
              <w:top w:val="nil"/>
              <w:left w:val="nil"/>
              <w:bottom w:val="single" w:sz="4" w:space="0" w:color="auto"/>
              <w:right w:val="single" w:sz="4" w:space="0" w:color="auto"/>
            </w:tcBorders>
            <w:shd w:val="clear" w:color="auto" w:fill="auto"/>
            <w:vAlign w:val="center"/>
            <w:hideMark/>
          </w:tcPr>
          <w:p w:rsidR="003820E9" w:rsidRPr="004D4ABE" w:rsidRDefault="003820E9" w:rsidP="003820E9">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(Total Assets/Total Equity)</w:t>
            </w:r>
          </w:p>
        </w:tc>
      </w:tr>
      <w:tr w:rsidR="003820E9" w:rsidRPr="004D4ABE" w:rsidTr="00A26A52">
        <w:trPr>
          <w:trHeight w:val="254"/>
        </w:trPr>
        <w:tc>
          <w:tcPr>
            <w:tcW w:w="1130" w:type="dxa"/>
            <w:tcBorders>
              <w:top w:val="nil"/>
              <w:left w:val="single" w:sz="4" w:space="0" w:color="auto"/>
              <w:bottom w:val="single" w:sz="4" w:space="0" w:color="auto"/>
              <w:right w:val="single" w:sz="4" w:space="0" w:color="auto"/>
            </w:tcBorders>
            <w:shd w:val="clear" w:color="auto" w:fill="auto"/>
            <w:noWrap/>
            <w:vAlign w:val="bottom"/>
            <w:hideMark/>
          </w:tcPr>
          <w:p w:rsidR="003820E9" w:rsidRPr="004D4ABE" w:rsidRDefault="001132CE" w:rsidP="003820E9">
            <w:pPr>
              <w:spacing w:after="0" w:line="240" w:lineRule="auto"/>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Verizon</w:t>
            </w:r>
          </w:p>
        </w:tc>
        <w:tc>
          <w:tcPr>
            <w:tcW w:w="1013" w:type="dxa"/>
            <w:tcBorders>
              <w:top w:val="nil"/>
              <w:left w:val="nil"/>
              <w:bottom w:val="single" w:sz="4" w:space="0" w:color="auto"/>
              <w:right w:val="nil"/>
            </w:tcBorders>
            <w:shd w:val="clear" w:color="auto" w:fill="auto"/>
            <w:noWrap/>
            <w:vAlign w:val="bottom"/>
            <w:hideMark/>
          </w:tcPr>
          <w:p w:rsidR="003820E9" w:rsidRPr="004D4ABE" w:rsidRDefault="003820E9" w:rsidP="003820E9">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145.38%</w:t>
            </w:r>
          </w:p>
        </w:tc>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3820E9" w:rsidRPr="004D4ABE" w:rsidRDefault="003820E9" w:rsidP="003820E9">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13.58%</w:t>
            </w:r>
          </w:p>
        </w:tc>
        <w:tc>
          <w:tcPr>
            <w:tcW w:w="2265" w:type="dxa"/>
            <w:tcBorders>
              <w:top w:val="nil"/>
              <w:left w:val="nil"/>
              <w:bottom w:val="single" w:sz="4" w:space="0" w:color="auto"/>
              <w:right w:val="single" w:sz="4" w:space="0" w:color="auto"/>
            </w:tcBorders>
            <w:shd w:val="clear" w:color="auto" w:fill="auto"/>
            <w:noWrap/>
            <w:vAlign w:val="bottom"/>
            <w:hideMark/>
          </w:tcPr>
          <w:p w:rsidR="003820E9" w:rsidRPr="004D4ABE" w:rsidRDefault="003820E9" w:rsidP="003820E9">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0.4656</w:t>
            </w:r>
          </w:p>
        </w:tc>
        <w:tc>
          <w:tcPr>
            <w:tcW w:w="2745" w:type="dxa"/>
            <w:tcBorders>
              <w:top w:val="nil"/>
              <w:left w:val="nil"/>
              <w:bottom w:val="single" w:sz="4" w:space="0" w:color="auto"/>
              <w:right w:val="single" w:sz="4" w:space="0" w:color="auto"/>
            </w:tcBorders>
            <w:shd w:val="clear" w:color="auto" w:fill="auto"/>
            <w:noWrap/>
            <w:vAlign w:val="bottom"/>
            <w:hideMark/>
          </w:tcPr>
          <w:p w:rsidR="003820E9" w:rsidRPr="004D4ABE" w:rsidRDefault="003820E9" w:rsidP="003820E9">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22.9881</w:t>
            </w:r>
          </w:p>
        </w:tc>
      </w:tr>
    </w:tbl>
    <w:tbl>
      <w:tblPr>
        <w:tblpPr w:leftFromText="180" w:rightFromText="180" w:vertAnchor="text" w:tblpY="261"/>
        <w:tblW w:w="9760" w:type="dxa"/>
        <w:tblLook w:val="04A0" w:firstRow="1" w:lastRow="0" w:firstColumn="1" w:lastColumn="0" w:noHBand="0" w:noVBand="1"/>
      </w:tblPr>
      <w:tblGrid>
        <w:gridCol w:w="1217"/>
        <w:gridCol w:w="956"/>
        <w:gridCol w:w="2638"/>
        <w:gridCol w:w="2207"/>
        <w:gridCol w:w="2842"/>
      </w:tblGrid>
      <w:tr w:rsidR="00A26A52" w:rsidRPr="004D4ABE" w:rsidTr="00A26A52">
        <w:trPr>
          <w:trHeight w:val="261"/>
        </w:trPr>
        <w:tc>
          <w:tcPr>
            <w:tcW w:w="9760" w:type="dxa"/>
            <w:gridSpan w:val="5"/>
            <w:tcBorders>
              <w:top w:val="single" w:sz="4" w:space="0" w:color="auto"/>
              <w:left w:val="single" w:sz="4" w:space="0" w:color="auto"/>
              <w:bottom w:val="single" w:sz="4" w:space="0" w:color="auto"/>
              <w:right w:val="single" w:sz="4" w:space="0" w:color="000000"/>
            </w:tcBorders>
            <w:shd w:val="clear" w:color="000000" w:fill="F8CBAD"/>
            <w:noWrap/>
            <w:vAlign w:val="bottom"/>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Du-Pont Analysis for AT&amp;T and Verizon Communication (2014)</w:t>
            </w:r>
          </w:p>
        </w:tc>
      </w:tr>
      <w:tr w:rsidR="00A26A52" w:rsidRPr="004D4ABE" w:rsidTr="00A26A52">
        <w:trPr>
          <w:trHeight w:val="261"/>
        </w:trPr>
        <w:tc>
          <w:tcPr>
            <w:tcW w:w="117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 xml:space="preserve">Company </w:t>
            </w:r>
          </w:p>
        </w:tc>
        <w:tc>
          <w:tcPr>
            <w:tcW w:w="90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ROE</w:t>
            </w:r>
          </w:p>
        </w:tc>
        <w:tc>
          <w:tcPr>
            <w:tcW w:w="7687" w:type="dxa"/>
            <w:gridSpan w:val="3"/>
            <w:tcBorders>
              <w:top w:val="single" w:sz="4" w:space="0" w:color="auto"/>
              <w:left w:val="nil"/>
              <w:bottom w:val="single" w:sz="4" w:space="0" w:color="auto"/>
              <w:right w:val="single" w:sz="4" w:space="0" w:color="auto"/>
            </w:tcBorders>
            <w:shd w:val="clear" w:color="auto" w:fill="auto"/>
            <w:noWrap/>
            <w:vAlign w:val="bottom"/>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Components</w:t>
            </w:r>
          </w:p>
        </w:tc>
      </w:tr>
      <w:tr w:rsidR="00A26A52" w:rsidRPr="004D4ABE" w:rsidTr="00A26A52">
        <w:trPr>
          <w:trHeight w:val="261"/>
        </w:trPr>
        <w:tc>
          <w:tcPr>
            <w:tcW w:w="1170" w:type="dxa"/>
            <w:vMerge/>
            <w:tcBorders>
              <w:top w:val="nil"/>
              <w:left w:val="single" w:sz="4" w:space="0" w:color="auto"/>
              <w:bottom w:val="single" w:sz="4" w:space="0" w:color="000000"/>
              <w:right w:val="single" w:sz="4" w:space="0" w:color="auto"/>
            </w:tcBorders>
            <w:vAlign w:val="center"/>
            <w:hideMark/>
          </w:tcPr>
          <w:p w:rsidR="00A26A52" w:rsidRPr="004D4ABE" w:rsidRDefault="00A26A52" w:rsidP="00A26A52">
            <w:pPr>
              <w:spacing w:after="0" w:line="240" w:lineRule="auto"/>
              <w:rPr>
                <w:rFonts w:ascii="Times New Roman" w:eastAsia="Times New Roman" w:hAnsi="Times New Roman" w:cs="Times New Roman"/>
                <w:b/>
                <w:bCs/>
                <w:color w:val="000000"/>
                <w:sz w:val="24"/>
                <w:szCs w:val="24"/>
              </w:rPr>
            </w:pPr>
          </w:p>
        </w:tc>
        <w:tc>
          <w:tcPr>
            <w:tcW w:w="903" w:type="dxa"/>
            <w:vMerge/>
            <w:tcBorders>
              <w:top w:val="nil"/>
              <w:left w:val="single" w:sz="4" w:space="0" w:color="auto"/>
              <w:bottom w:val="single" w:sz="4" w:space="0" w:color="auto"/>
              <w:right w:val="single" w:sz="4" w:space="0" w:color="auto"/>
            </w:tcBorders>
            <w:vAlign w:val="center"/>
            <w:hideMark/>
          </w:tcPr>
          <w:p w:rsidR="00A26A52" w:rsidRPr="004D4ABE" w:rsidRDefault="00A26A52" w:rsidP="00A26A52">
            <w:pPr>
              <w:spacing w:after="0" w:line="240" w:lineRule="auto"/>
              <w:rPr>
                <w:rFonts w:ascii="Times New Roman" w:eastAsia="Times New Roman" w:hAnsi="Times New Roman" w:cs="Times New Roman"/>
                <w:b/>
                <w:bCs/>
                <w:color w:val="000000"/>
                <w:sz w:val="24"/>
                <w:szCs w:val="24"/>
              </w:rPr>
            </w:pPr>
          </w:p>
        </w:tc>
        <w:tc>
          <w:tcPr>
            <w:tcW w:w="2638" w:type="dxa"/>
            <w:tcBorders>
              <w:top w:val="nil"/>
              <w:left w:val="nil"/>
              <w:bottom w:val="single" w:sz="4" w:space="0" w:color="auto"/>
              <w:right w:val="single" w:sz="4" w:space="0" w:color="auto"/>
            </w:tcBorders>
            <w:shd w:val="clear" w:color="auto" w:fill="auto"/>
            <w:vAlign w:val="center"/>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Profit Margin</w:t>
            </w:r>
          </w:p>
        </w:tc>
        <w:tc>
          <w:tcPr>
            <w:tcW w:w="2207" w:type="dxa"/>
            <w:tcBorders>
              <w:top w:val="nil"/>
              <w:left w:val="nil"/>
              <w:bottom w:val="single" w:sz="4" w:space="0" w:color="auto"/>
              <w:right w:val="single" w:sz="4" w:space="0" w:color="auto"/>
            </w:tcBorders>
            <w:shd w:val="clear" w:color="auto" w:fill="auto"/>
            <w:vAlign w:val="center"/>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Total Assets Turnover</w:t>
            </w:r>
          </w:p>
        </w:tc>
        <w:tc>
          <w:tcPr>
            <w:tcW w:w="2842" w:type="dxa"/>
            <w:tcBorders>
              <w:top w:val="nil"/>
              <w:left w:val="nil"/>
              <w:bottom w:val="single" w:sz="4" w:space="0" w:color="auto"/>
              <w:right w:val="single" w:sz="4" w:space="0" w:color="auto"/>
            </w:tcBorders>
            <w:shd w:val="clear" w:color="auto" w:fill="auto"/>
            <w:vAlign w:val="center"/>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Equity Multiplier</w:t>
            </w:r>
          </w:p>
        </w:tc>
      </w:tr>
      <w:tr w:rsidR="00A26A52" w:rsidRPr="004D4ABE" w:rsidTr="00A26A52">
        <w:trPr>
          <w:trHeight w:val="261"/>
        </w:trPr>
        <w:tc>
          <w:tcPr>
            <w:tcW w:w="1170" w:type="dxa"/>
            <w:tcBorders>
              <w:top w:val="nil"/>
              <w:left w:val="single" w:sz="4" w:space="0" w:color="auto"/>
              <w:bottom w:val="single" w:sz="4" w:space="0" w:color="auto"/>
              <w:right w:val="nil"/>
            </w:tcBorders>
            <w:shd w:val="clear" w:color="auto" w:fill="auto"/>
            <w:noWrap/>
            <w:vAlign w:val="bottom"/>
            <w:hideMark/>
          </w:tcPr>
          <w:p w:rsidR="00A26A52" w:rsidRPr="004D4ABE" w:rsidRDefault="00A26A52" w:rsidP="00A26A52">
            <w:pPr>
              <w:spacing w:after="0" w:line="240" w:lineRule="auto"/>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 </w:t>
            </w:r>
          </w:p>
        </w:tc>
        <w:tc>
          <w:tcPr>
            <w:tcW w:w="903" w:type="dxa"/>
            <w:tcBorders>
              <w:top w:val="nil"/>
              <w:left w:val="nil"/>
              <w:bottom w:val="single" w:sz="4" w:space="0" w:color="auto"/>
              <w:right w:val="nil"/>
            </w:tcBorders>
            <w:shd w:val="clear" w:color="auto" w:fill="auto"/>
            <w:noWrap/>
            <w:vAlign w:val="center"/>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 </w:t>
            </w:r>
          </w:p>
        </w:tc>
        <w:tc>
          <w:tcPr>
            <w:tcW w:w="2638" w:type="dxa"/>
            <w:tcBorders>
              <w:top w:val="nil"/>
              <w:left w:val="single" w:sz="4" w:space="0" w:color="auto"/>
              <w:bottom w:val="single" w:sz="4" w:space="0" w:color="auto"/>
              <w:right w:val="single" w:sz="4" w:space="0" w:color="auto"/>
            </w:tcBorders>
            <w:shd w:val="clear" w:color="auto" w:fill="auto"/>
            <w:vAlign w:val="center"/>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(Net Income/Revenue)</w:t>
            </w:r>
          </w:p>
        </w:tc>
        <w:tc>
          <w:tcPr>
            <w:tcW w:w="2207" w:type="dxa"/>
            <w:tcBorders>
              <w:top w:val="nil"/>
              <w:left w:val="nil"/>
              <w:bottom w:val="single" w:sz="4" w:space="0" w:color="auto"/>
              <w:right w:val="single" w:sz="4" w:space="0" w:color="auto"/>
            </w:tcBorders>
            <w:shd w:val="clear" w:color="auto" w:fill="auto"/>
            <w:vAlign w:val="center"/>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(Revenue/ Total Assets)</w:t>
            </w:r>
          </w:p>
        </w:tc>
        <w:tc>
          <w:tcPr>
            <w:tcW w:w="2842" w:type="dxa"/>
            <w:tcBorders>
              <w:top w:val="nil"/>
              <w:left w:val="nil"/>
              <w:bottom w:val="single" w:sz="4" w:space="0" w:color="auto"/>
              <w:right w:val="single" w:sz="4" w:space="0" w:color="auto"/>
            </w:tcBorders>
            <w:shd w:val="clear" w:color="auto" w:fill="auto"/>
            <w:vAlign w:val="center"/>
            <w:hideMark/>
          </w:tcPr>
          <w:p w:rsidR="00A26A52" w:rsidRPr="004D4ABE" w:rsidRDefault="00A26A52" w:rsidP="00A26A52">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(Total Assets/Total Equity)</w:t>
            </w:r>
          </w:p>
        </w:tc>
      </w:tr>
      <w:tr w:rsidR="00A26A52" w:rsidRPr="004D4ABE" w:rsidTr="00A26A52">
        <w:trPr>
          <w:trHeight w:val="261"/>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rsidR="00A26A52" w:rsidRPr="004D4ABE" w:rsidRDefault="00A26A52" w:rsidP="00A26A52">
            <w:pPr>
              <w:spacing w:after="0" w:line="240" w:lineRule="auto"/>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Verizon</w:t>
            </w:r>
          </w:p>
        </w:tc>
        <w:tc>
          <w:tcPr>
            <w:tcW w:w="903" w:type="dxa"/>
            <w:tcBorders>
              <w:top w:val="nil"/>
              <w:left w:val="nil"/>
              <w:bottom w:val="single" w:sz="4" w:space="0" w:color="auto"/>
              <w:right w:val="nil"/>
            </w:tcBorders>
            <w:shd w:val="clear" w:color="auto" w:fill="auto"/>
            <w:noWrap/>
            <w:vAlign w:val="bottom"/>
            <w:hideMark/>
          </w:tcPr>
          <w:p w:rsidR="00A26A52" w:rsidRPr="004D4ABE" w:rsidRDefault="00A26A52" w:rsidP="00A26A52">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24.78%</w:t>
            </w:r>
          </w:p>
        </w:tc>
        <w:tc>
          <w:tcPr>
            <w:tcW w:w="2638" w:type="dxa"/>
            <w:tcBorders>
              <w:top w:val="nil"/>
              <w:left w:val="single" w:sz="4" w:space="0" w:color="auto"/>
              <w:bottom w:val="single" w:sz="4" w:space="0" w:color="auto"/>
              <w:right w:val="single" w:sz="4" w:space="0" w:color="auto"/>
            </w:tcBorders>
            <w:shd w:val="clear" w:color="auto" w:fill="auto"/>
            <w:noWrap/>
            <w:vAlign w:val="bottom"/>
            <w:hideMark/>
          </w:tcPr>
          <w:p w:rsidR="00A26A52" w:rsidRPr="004D4ABE" w:rsidRDefault="00A26A52" w:rsidP="00A26A52">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7.57%</w:t>
            </w:r>
          </w:p>
        </w:tc>
        <w:tc>
          <w:tcPr>
            <w:tcW w:w="2207" w:type="dxa"/>
            <w:tcBorders>
              <w:top w:val="nil"/>
              <w:left w:val="nil"/>
              <w:bottom w:val="single" w:sz="4" w:space="0" w:color="auto"/>
              <w:right w:val="single" w:sz="4" w:space="0" w:color="auto"/>
            </w:tcBorders>
            <w:shd w:val="clear" w:color="auto" w:fill="auto"/>
            <w:noWrap/>
            <w:vAlign w:val="bottom"/>
            <w:hideMark/>
          </w:tcPr>
          <w:p w:rsidR="00A26A52" w:rsidRPr="004D4ABE" w:rsidRDefault="00A26A52" w:rsidP="00A26A52">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0.4636</w:t>
            </w:r>
          </w:p>
        </w:tc>
        <w:tc>
          <w:tcPr>
            <w:tcW w:w="2842" w:type="dxa"/>
            <w:tcBorders>
              <w:top w:val="nil"/>
              <w:left w:val="nil"/>
              <w:bottom w:val="single" w:sz="4" w:space="0" w:color="auto"/>
              <w:right w:val="single" w:sz="4" w:space="0" w:color="auto"/>
            </w:tcBorders>
            <w:shd w:val="clear" w:color="auto" w:fill="auto"/>
            <w:noWrap/>
            <w:vAlign w:val="bottom"/>
            <w:hideMark/>
          </w:tcPr>
          <w:p w:rsidR="00A26A52" w:rsidRPr="004D4ABE" w:rsidRDefault="00A26A52" w:rsidP="00A26A52">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7.0578</w:t>
            </w:r>
          </w:p>
        </w:tc>
      </w:tr>
    </w:tbl>
    <w:p w:rsidR="001132CE" w:rsidRPr="004D4ABE" w:rsidRDefault="001132CE" w:rsidP="003820E9">
      <w:pPr>
        <w:tabs>
          <w:tab w:val="left" w:pos="8385"/>
        </w:tabs>
        <w:spacing w:before="100" w:beforeAutospacing="1" w:after="100" w:afterAutospacing="1" w:line="240" w:lineRule="auto"/>
        <w:rPr>
          <w:rFonts w:ascii="Times New Roman" w:eastAsia="Times New Roman" w:hAnsi="Times New Roman" w:cs="Times New Roman"/>
          <w:b/>
          <w:color w:val="000000"/>
          <w:sz w:val="24"/>
          <w:szCs w:val="24"/>
        </w:rPr>
      </w:pPr>
    </w:p>
    <w:tbl>
      <w:tblPr>
        <w:tblW w:w="9859" w:type="dxa"/>
        <w:tblLook w:val="04A0" w:firstRow="1" w:lastRow="0" w:firstColumn="1" w:lastColumn="0" w:noHBand="0" w:noVBand="1"/>
      </w:tblPr>
      <w:tblGrid>
        <w:gridCol w:w="1217"/>
        <w:gridCol w:w="956"/>
        <w:gridCol w:w="2638"/>
        <w:gridCol w:w="2207"/>
        <w:gridCol w:w="2841"/>
      </w:tblGrid>
      <w:tr w:rsidR="001132CE" w:rsidRPr="004D4ABE" w:rsidTr="004D4ABE">
        <w:trPr>
          <w:trHeight w:val="261"/>
        </w:trPr>
        <w:tc>
          <w:tcPr>
            <w:tcW w:w="9859" w:type="dxa"/>
            <w:gridSpan w:val="5"/>
            <w:tcBorders>
              <w:top w:val="single" w:sz="4" w:space="0" w:color="auto"/>
              <w:left w:val="single" w:sz="4" w:space="0" w:color="auto"/>
              <w:bottom w:val="single" w:sz="4" w:space="0" w:color="auto"/>
              <w:right w:val="single" w:sz="4" w:space="0" w:color="000000"/>
            </w:tcBorders>
            <w:shd w:val="clear" w:color="000000" w:fill="F8CBAD"/>
            <w:noWrap/>
            <w:vAlign w:val="bottom"/>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Du-Pont Analysis for AT&amp;T and Verizon Communication (2013)</w:t>
            </w:r>
          </w:p>
        </w:tc>
      </w:tr>
      <w:tr w:rsidR="001132CE" w:rsidRPr="004D4ABE" w:rsidTr="004D4ABE">
        <w:trPr>
          <w:trHeight w:val="261"/>
        </w:trPr>
        <w:tc>
          <w:tcPr>
            <w:tcW w:w="1217"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 xml:space="preserve">Company </w:t>
            </w:r>
          </w:p>
        </w:tc>
        <w:tc>
          <w:tcPr>
            <w:tcW w:w="95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ROE</w:t>
            </w:r>
          </w:p>
        </w:tc>
        <w:tc>
          <w:tcPr>
            <w:tcW w:w="7686" w:type="dxa"/>
            <w:gridSpan w:val="3"/>
            <w:tcBorders>
              <w:top w:val="single" w:sz="4" w:space="0" w:color="auto"/>
              <w:left w:val="nil"/>
              <w:bottom w:val="single" w:sz="4" w:space="0" w:color="auto"/>
              <w:right w:val="single" w:sz="4" w:space="0" w:color="auto"/>
            </w:tcBorders>
            <w:shd w:val="clear" w:color="auto" w:fill="auto"/>
            <w:noWrap/>
            <w:vAlign w:val="bottom"/>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Components</w:t>
            </w:r>
          </w:p>
        </w:tc>
      </w:tr>
      <w:tr w:rsidR="001132CE" w:rsidRPr="004D4ABE" w:rsidTr="004D4ABE">
        <w:trPr>
          <w:trHeight w:val="261"/>
        </w:trPr>
        <w:tc>
          <w:tcPr>
            <w:tcW w:w="1217" w:type="dxa"/>
            <w:vMerge/>
            <w:tcBorders>
              <w:top w:val="nil"/>
              <w:left w:val="single" w:sz="4" w:space="0" w:color="auto"/>
              <w:bottom w:val="single" w:sz="4" w:space="0" w:color="000000"/>
              <w:right w:val="single" w:sz="4" w:space="0" w:color="auto"/>
            </w:tcBorders>
            <w:vAlign w:val="center"/>
            <w:hideMark/>
          </w:tcPr>
          <w:p w:rsidR="001132CE" w:rsidRPr="004D4ABE" w:rsidRDefault="001132CE" w:rsidP="001132CE">
            <w:pPr>
              <w:spacing w:after="0" w:line="240" w:lineRule="auto"/>
              <w:rPr>
                <w:rFonts w:ascii="Times New Roman" w:eastAsia="Times New Roman" w:hAnsi="Times New Roman" w:cs="Times New Roman"/>
                <w:b/>
                <w:bCs/>
                <w:color w:val="000000"/>
                <w:sz w:val="24"/>
                <w:szCs w:val="24"/>
              </w:rPr>
            </w:pPr>
          </w:p>
        </w:tc>
        <w:tc>
          <w:tcPr>
            <w:tcW w:w="956" w:type="dxa"/>
            <w:vMerge/>
            <w:tcBorders>
              <w:top w:val="nil"/>
              <w:left w:val="single" w:sz="4" w:space="0" w:color="auto"/>
              <w:bottom w:val="single" w:sz="4" w:space="0" w:color="auto"/>
              <w:right w:val="single" w:sz="4" w:space="0" w:color="auto"/>
            </w:tcBorders>
            <w:vAlign w:val="center"/>
            <w:hideMark/>
          </w:tcPr>
          <w:p w:rsidR="001132CE" w:rsidRPr="004D4ABE" w:rsidRDefault="001132CE" w:rsidP="001132CE">
            <w:pPr>
              <w:spacing w:after="0" w:line="240" w:lineRule="auto"/>
              <w:rPr>
                <w:rFonts w:ascii="Times New Roman" w:eastAsia="Times New Roman" w:hAnsi="Times New Roman" w:cs="Times New Roman"/>
                <w:b/>
                <w:bCs/>
                <w:color w:val="000000"/>
                <w:sz w:val="24"/>
                <w:szCs w:val="24"/>
              </w:rPr>
            </w:pPr>
          </w:p>
        </w:tc>
        <w:tc>
          <w:tcPr>
            <w:tcW w:w="2638" w:type="dxa"/>
            <w:tcBorders>
              <w:top w:val="nil"/>
              <w:left w:val="nil"/>
              <w:bottom w:val="single" w:sz="4" w:space="0" w:color="auto"/>
              <w:right w:val="single" w:sz="4" w:space="0" w:color="auto"/>
            </w:tcBorders>
            <w:shd w:val="clear" w:color="auto" w:fill="auto"/>
            <w:vAlign w:val="center"/>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Profit Margin</w:t>
            </w:r>
          </w:p>
        </w:tc>
        <w:tc>
          <w:tcPr>
            <w:tcW w:w="2207" w:type="dxa"/>
            <w:tcBorders>
              <w:top w:val="nil"/>
              <w:left w:val="nil"/>
              <w:bottom w:val="single" w:sz="4" w:space="0" w:color="auto"/>
              <w:right w:val="single" w:sz="4" w:space="0" w:color="auto"/>
            </w:tcBorders>
            <w:shd w:val="clear" w:color="auto" w:fill="auto"/>
            <w:vAlign w:val="center"/>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Total Assets Turnover</w:t>
            </w:r>
          </w:p>
        </w:tc>
        <w:tc>
          <w:tcPr>
            <w:tcW w:w="2841" w:type="dxa"/>
            <w:tcBorders>
              <w:top w:val="nil"/>
              <w:left w:val="nil"/>
              <w:bottom w:val="single" w:sz="4" w:space="0" w:color="auto"/>
              <w:right w:val="single" w:sz="4" w:space="0" w:color="auto"/>
            </w:tcBorders>
            <w:shd w:val="clear" w:color="auto" w:fill="auto"/>
            <w:vAlign w:val="center"/>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Equity Multiplier</w:t>
            </w:r>
          </w:p>
        </w:tc>
      </w:tr>
      <w:tr w:rsidR="001132CE" w:rsidRPr="004D4ABE" w:rsidTr="004D4ABE">
        <w:trPr>
          <w:trHeight w:val="261"/>
        </w:trPr>
        <w:tc>
          <w:tcPr>
            <w:tcW w:w="1217" w:type="dxa"/>
            <w:tcBorders>
              <w:top w:val="nil"/>
              <w:left w:val="single" w:sz="4" w:space="0" w:color="auto"/>
              <w:bottom w:val="single" w:sz="4" w:space="0" w:color="auto"/>
              <w:right w:val="nil"/>
            </w:tcBorders>
            <w:shd w:val="clear" w:color="auto" w:fill="auto"/>
            <w:noWrap/>
            <w:vAlign w:val="bottom"/>
            <w:hideMark/>
          </w:tcPr>
          <w:p w:rsidR="001132CE" w:rsidRPr="004D4ABE" w:rsidRDefault="001132CE" w:rsidP="001132CE">
            <w:pPr>
              <w:spacing w:after="0" w:line="240" w:lineRule="auto"/>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 </w:t>
            </w:r>
          </w:p>
        </w:tc>
        <w:tc>
          <w:tcPr>
            <w:tcW w:w="956" w:type="dxa"/>
            <w:tcBorders>
              <w:top w:val="nil"/>
              <w:left w:val="nil"/>
              <w:bottom w:val="single" w:sz="4" w:space="0" w:color="auto"/>
              <w:right w:val="nil"/>
            </w:tcBorders>
            <w:shd w:val="clear" w:color="auto" w:fill="auto"/>
            <w:noWrap/>
            <w:vAlign w:val="center"/>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 </w:t>
            </w:r>
          </w:p>
        </w:tc>
        <w:tc>
          <w:tcPr>
            <w:tcW w:w="2638" w:type="dxa"/>
            <w:tcBorders>
              <w:top w:val="nil"/>
              <w:left w:val="single" w:sz="4" w:space="0" w:color="auto"/>
              <w:bottom w:val="single" w:sz="4" w:space="0" w:color="auto"/>
              <w:right w:val="single" w:sz="4" w:space="0" w:color="auto"/>
            </w:tcBorders>
            <w:shd w:val="clear" w:color="auto" w:fill="auto"/>
            <w:vAlign w:val="center"/>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(Net Income/Revenue)</w:t>
            </w:r>
          </w:p>
        </w:tc>
        <w:tc>
          <w:tcPr>
            <w:tcW w:w="2207" w:type="dxa"/>
            <w:tcBorders>
              <w:top w:val="nil"/>
              <w:left w:val="nil"/>
              <w:bottom w:val="single" w:sz="4" w:space="0" w:color="auto"/>
              <w:right w:val="single" w:sz="4" w:space="0" w:color="auto"/>
            </w:tcBorders>
            <w:shd w:val="clear" w:color="auto" w:fill="auto"/>
            <w:vAlign w:val="center"/>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(Revenue/ Total Assets)</w:t>
            </w:r>
          </w:p>
        </w:tc>
        <w:tc>
          <w:tcPr>
            <w:tcW w:w="2841" w:type="dxa"/>
            <w:tcBorders>
              <w:top w:val="nil"/>
              <w:left w:val="nil"/>
              <w:bottom w:val="single" w:sz="4" w:space="0" w:color="auto"/>
              <w:right w:val="single" w:sz="4" w:space="0" w:color="auto"/>
            </w:tcBorders>
            <w:shd w:val="clear" w:color="auto" w:fill="auto"/>
            <w:vAlign w:val="center"/>
            <w:hideMark/>
          </w:tcPr>
          <w:p w:rsidR="001132CE" w:rsidRPr="004D4ABE" w:rsidRDefault="001132CE" w:rsidP="001132CE">
            <w:pPr>
              <w:spacing w:after="0" w:line="240" w:lineRule="auto"/>
              <w:jc w:val="center"/>
              <w:rPr>
                <w:rFonts w:ascii="Times New Roman" w:eastAsia="Times New Roman" w:hAnsi="Times New Roman" w:cs="Times New Roman"/>
                <w:b/>
                <w:bCs/>
                <w:color w:val="000000"/>
                <w:sz w:val="24"/>
                <w:szCs w:val="24"/>
              </w:rPr>
            </w:pPr>
            <w:r w:rsidRPr="004D4ABE">
              <w:rPr>
                <w:rFonts w:ascii="Times New Roman" w:eastAsia="Times New Roman" w:hAnsi="Times New Roman" w:cs="Times New Roman"/>
                <w:b/>
                <w:bCs/>
                <w:color w:val="000000"/>
                <w:sz w:val="24"/>
                <w:szCs w:val="24"/>
              </w:rPr>
              <w:t>(Total Assets/Total Equity)</w:t>
            </w:r>
          </w:p>
        </w:tc>
      </w:tr>
      <w:tr w:rsidR="001132CE" w:rsidRPr="004D4ABE" w:rsidTr="004D4ABE">
        <w:trPr>
          <w:trHeight w:val="261"/>
        </w:trPr>
        <w:tc>
          <w:tcPr>
            <w:tcW w:w="1217" w:type="dxa"/>
            <w:tcBorders>
              <w:top w:val="nil"/>
              <w:left w:val="single" w:sz="4" w:space="0" w:color="auto"/>
              <w:bottom w:val="single" w:sz="4" w:space="0" w:color="auto"/>
              <w:right w:val="single" w:sz="4" w:space="0" w:color="auto"/>
            </w:tcBorders>
            <w:shd w:val="clear" w:color="auto" w:fill="auto"/>
            <w:noWrap/>
            <w:vAlign w:val="bottom"/>
            <w:hideMark/>
          </w:tcPr>
          <w:p w:rsidR="001132CE" w:rsidRPr="004D4ABE" w:rsidRDefault="001132CE" w:rsidP="001132CE">
            <w:pPr>
              <w:spacing w:after="0" w:line="240" w:lineRule="auto"/>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Verizon</w:t>
            </w:r>
          </w:p>
        </w:tc>
        <w:tc>
          <w:tcPr>
            <w:tcW w:w="956" w:type="dxa"/>
            <w:tcBorders>
              <w:top w:val="nil"/>
              <w:left w:val="nil"/>
              <w:bottom w:val="single" w:sz="4" w:space="0" w:color="auto"/>
              <w:right w:val="nil"/>
            </w:tcBorders>
            <w:shd w:val="clear" w:color="auto" w:fill="auto"/>
            <w:noWrap/>
            <w:vAlign w:val="bottom"/>
            <w:hideMark/>
          </w:tcPr>
          <w:p w:rsidR="001132CE" w:rsidRPr="004D4ABE" w:rsidRDefault="001132CE" w:rsidP="001132CE">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34.67%</w:t>
            </w:r>
          </w:p>
        </w:tc>
        <w:tc>
          <w:tcPr>
            <w:tcW w:w="2638" w:type="dxa"/>
            <w:tcBorders>
              <w:top w:val="nil"/>
              <w:left w:val="single" w:sz="4" w:space="0" w:color="auto"/>
              <w:bottom w:val="single" w:sz="4" w:space="0" w:color="auto"/>
              <w:right w:val="single" w:sz="4" w:space="0" w:color="auto"/>
            </w:tcBorders>
            <w:shd w:val="clear" w:color="auto" w:fill="auto"/>
            <w:noWrap/>
            <w:vAlign w:val="bottom"/>
            <w:hideMark/>
          </w:tcPr>
          <w:p w:rsidR="001132CE" w:rsidRPr="004D4ABE" w:rsidRDefault="001132CE" w:rsidP="001132CE">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9.54%</w:t>
            </w:r>
          </w:p>
        </w:tc>
        <w:tc>
          <w:tcPr>
            <w:tcW w:w="2207" w:type="dxa"/>
            <w:tcBorders>
              <w:top w:val="nil"/>
              <w:left w:val="nil"/>
              <w:bottom w:val="single" w:sz="4" w:space="0" w:color="auto"/>
              <w:right w:val="single" w:sz="4" w:space="0" w:color="auto"/>
            </w:tcBorders>
            <w:shd w:val="clear" w:color="auto" w:fill="auto"/>
            <w:noWrap/>
            <w:vAlign w:val="bottom"/>
            <w:hideMark/>
          </w:tcPr>
          <w:p w:rsidR="001132CE" w:rsidRPr="004D4ABE" w:rsidRDefault="001132CE" w:rsidP="001132CE">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0.5352</w:t>
            </w:r>
          </w:p>
        </w:tc>
        <w:tc>
          <w:tcPr>
            <w:tcW w:w="2841" w:type="dxa"/>
            <w:tcBorders>
              <w:top w:val="nil"/>
              <w:left w:val="nil"/>
              <w:bottom w:val="single" w:sz="4" w:space="0" w:color="auto"/>
              <w:right w:val="single" w:sz="4" w:space="0" w:color="auto"/>
            </w:tcBorders>
            <w:shd w:val="clear" w:color="auto" w:fill="auto"/>
            <w:noWrap/>
            <w:vAlign w:val="bottom"/>
            <w:hideMark/>
          </w:tcPr>
          <w:p w:rsidR="001132CE" w:rsidRPr="004D4ABE" w:rsidRDefault="001132CE" w:rsidP="001132CE">
            <w:pPr>
              <w:spacing w:after="0" w:line="240" w:lineRule="auto"/>
              <w:jc w:val="center"/>
              <w:rPr>
                <w:rFonts w:ascii="Times New Roman" w:eastAsia="Times New Roman" w:hAnsi="Times New Roman" w:cs="Times New Roman"/>
                <w:color w:val="000000"/>
                <w:sz w:val="24"/>
                <w:szCs w:val="24"/>
              </w:rPr>
            </w:pPr>
            <w:r w:rsidRPr="004D4ABE">
              <w:rPr>
                <w:rFonts w:ascii="Times New Roman" w:eastAsia="Times New Roman" w:hAnsi="Times New Roman" w:cs="Times New Roman"/>
                <w:color w:val="000000"/>
                <w:sz w:val="24"/>
                <w:szCs w:val="24"/>
              </w:rPr>
              <w:t>6.7926</w:t>
            </w:r>
          </w:p>
        </w:tc>
      </w:tr>
    </w:tbl>
    <w:p w:rsidR="00D17B97" w:rsidRPr="004D4ABE" w:rsidRDefault="004D4ABE" w:rsidP="004D4ABE">
      <w:pPr>
        <w:tabs>
          <w:tab w:val="left" w:pos="8385"/>
        </w:tabs>
        <w:spacing w:before="100" w:beforeAutospacing="1" w:after="100" w:afterAutospacing="1" w:line="240" w:lineRule="auto"/>
        <w:jc w:val="center"/>
        <w:rPr>
          <w:rFonts w:ascii="Times New Roman" w:eastAsia="Times New Roman" w:hAnsi="Times New Roman" w:cs="Times New Roman"/>
          <w:color w:val="000000"/>
          <w:sz w:val="24"/>
          <w:szCs w:val="24"/>
        </w:rPr>
      </w:pPr>
      <w:r w:rsidRPr="004D4ABE">
        <w:rPr>
          <w:rFonts w:ascii="Times New Roman" w:hAnsi="Times New Roman" w:cs="Times New Roman"/>
          <w:noProof/>
          <w:sz w:val="24"/>
          <w:szCs w:val="24"/>
        </w:rPr>
        <w:drawing>
          <wp:inline distT="0" distB="0" distL="0" distR="0" wp14:anchorId="0B007215" wp14:editId="51919D33">
            <wp:extent cx="5762846" cy="2562447"/>
            <wp:effectExtent l="0" t="0" r="9525" b="952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D4ABE" w:rsidRPr="004D4ABE" w:rsidRDefault="004D4ABE" w:rsidP="004D4ABE">
      <w:pPr>
        <w:tabs>
          <w:tab w:val="left" w:pos="8385"/>
        </w:tabs>
        <w:spacing w:before="100" w:beforeAutospacing="1" w:after="100" w:afterAutospacing="1"/>
        <w:jc w:val="center"/>
        <w:rPr>
          <w:rFonts w:ascii="Times New Roman" w:hAnsi="Times New Roman" w:cs="Times New Roman"/>
          <w:color w:val="000000"/>
          <w:sz w:val="24"/>
          <w:szCs w:val="24"/>
        </w:rPr>
      </w:pPr>
      <w:r w:rsidRPr="004D4ABE">
        <w:rPr>
          <w:rFonts w:ascii="Times New Roman" w:eastAsia="Times New Roman" w:hAnsi="Times New Roman" w:cs="Times New Roman"/>
          <w:color w:val="000000"/>
          <w:sz w:val="24"/>
          <w:szCs w:val="24"/>
        </w:rPr>
        <w:t xml:space="preserve">Figure 5: </w:t>
      </w:r>
      <w:r w:rsidRPr="004D4ABE">
        <w:rPr>
          <w:rFonts w:ascii="Times New Roman" w:eastAsia="Times New Roman" w:hAnsi="Times New Roman" w:cs="Times New Roman"/>
          <w:bCs/>
          <w:color w:val="000000"/>
          <w:sz w:val="24"/>
          <w:szCs w:val="24"/>
        </w:rPr>
        <w:t>Du-Pont Analysis of Verizon and AT&amp;T for 2015</w:t>
      </w:r>
    </w:p>
    <w:p w:rsidR="00D17B97" w:rsidRPr="000269D7" w:rsidRDefault="00D17B97" w:rsidP="000269D7">
      <w:pPr>
        <w:tabs>
          <w:tab w:val="left" w:pos="8385"/>
        </w:tabs>
        <w:spacing w:after="0" w:line="480" w:lineRule="auto"/>
        <w:rPr>
          <w:rFonts w:ascii="Times New Roman" w:eastAsia="Times New Roman" w:hAnsi="Times New Roman" w:cs="Times New Roman"/>
          <w:b/>
          <w:color w:val="000000"/>
          <w:sz w:val="24"/>
          <w:szCs w:val="24"/>
        </w:rPr>
      </w:pPr>
      <w:r w:rsidRPr="000269D7">
        <w:rPr>
          <w:rFonts w:ascii="Times New Roman" w:eastAsia="Times New Roman" w:hAnsi="Times New Roman" w:cs="Times New Roman"/>
          <w:b/>
          <w:color w:val="000000"/>
          <w:sz w:val="24"/>
          <w:szCs w:val="24"/>
        </w:rPr>
        <w:t>Other Areas of Financial Performance and Position</w:t>
      </w:r>
    </w:p>
    <w:p w:rsidR="00D17B97" w:rsidRPr="000269D7" w:rsidRDefault="000269D7" w:rsidP="000269D7">
      <w:pPr>
        <w:tabs>
          <w:tab w:val="left" w:pos="8385"/>
        </w:tabs>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D17B97" w:rsidRPr="000269D7">
        <w:rPr>
          <w:rFonts w:ascii="Times New Roman" w:eastAsia="Times New Roman" w:hAnsi="Times New Roman" w:cs="Times New Roman"/>
          <w:color w:val="000000"/>
          <w:sz w:val="24"/>
          <w:szCs w:val="24"/>
        </w:rPr>
        <w:t>As per Google Finance, the beta of the Verizon Communication’s stock is 0.30</w:t>
      </w:r>
      <w:r w:rsidR="003C381B" w:rsidRPr="000269D7">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1149718211"/>
          <w:citation/>
        </w:sdtPr>
        <w:sdtContent>
          <w:r w:rsidR="003C381B" w:rsidRPr="000269D7">
            <w:rPr>
              <w:rFonts w:ascii="Times New Roman" w:eastAsia="Times New Roman" w:hAnsi="Times New Roman" w:cs="Times New Roman"/>
              <w:color w:val="000000"/>
              <w:sz w:val="24"/>
              <w:szCs w:val="24"/>
            </w:rPr>
            <w:fldChar w:fldCharType="begin"/>
          </w:r>
          <w:r w:rsidR="003C381B" w:rsidRPr="000269D7">
            <w:rPr>
              <w:rFonts w:ascii="Times New Roman" w:eastAsia="Times New Roman" w:hAnsi="Times New Roman" w:cs="Times New Roman"/>
              <w:color w:val="000000"/>
              <w:sz w:val="24"/>
              <w:szCs w:val="24"/>
            </w:rPr>
            <w:instrText xml:space="preserve"> CITATION Goo166 \l 1033 </w:instrText>
          </w:r>
          <w:r w:rsidR="003C381B" w:rsidRPr="000269D7">
            <w:rPr>
              <w:rFonts w:ascii="Times New Roman" w:eastAsia="Times New Roman" w:hAnsi="Times New Roman" w:cs="Times New Roman"/>
              <w:color w:val="000000"/>
              <w:sz w:val="24"/>
              <w:szCs w:val="24"/>
            </w:rPr>
            <w:fldChar w:fldCharType="separate"/>
          </w:r>
          <w:r w:rsidR="003C381B" w:rsidRPr="000269D7">
            <w:rPr>
              <w:rFonts w:ascii="Times New Roman" w:eastAsia="Times New Roman" w:hAnsi="Times New Roman" w:cs="Times New Roman"/>
              <w:noProof/>
              <w:color w:val="000000"/>
              <w:sz w:val="24"/>
              <w:szCs w:val="24"/>
            </w:rPr>
            <w:t>(Google Finance, 2016)</w:t>
          </w:r>
          <w:r w:rsidR="003C381B" w:rsidRPr="000269D7">
            <w:rPr>
              <w:rFonts w:ascii="Times New Roman" w:eastAsia="Times New Roman" w:hAnsi="Times New Roman" w:cs="Times New Roman"/>
              <w:color w:val="000000"/>
              <w:sz w:val="24"/>
              <w:szCs w:val="24"/>
            </w:rPr>
            <w:fldChar w:fldCharType="end"/>
          </w:r>
        </w:sdtContent>
      </w:sdt>
      <w:r w:rsidR="00D17B97" w:rsidRPr="000269D7">
        <w:rPr>
          <w:rFonts w:ascii="Times New Roman" w:eastAsia="Times New Roman" w:hAnsi="Times New Roman" w:cs="Times New Roman"/>
          <w:color w:val="000000"/>
          <w:sz w:val="24"/>
          <w:szCs w:val="24"/>
        </w:rPr>
        <w:t>. Here, the beta of the stock is less tha</w:t>
      </w:r>
      <w:r w:rsidR="003C381B" w:rsidRPr="000269D7">
        <w:rPr>
          <w:rFonts w:ascii="Times New Roman" w:eastAsia="Times New Roman" w:hAnsi="Times New Roman" w:cs="Times New Roman"/>
          <w:color w:val="000000"/>
          <w:sz w:val="24"/>
          <w:szCs w:val="24"/>
        </w:rPr>
        <w:t>n</w:t>
      </w:r>
      <w:r w:rsidR="00D17B97" w:rsidRPr="000269D7">
        <w:rPr>
          <w:rFonts w:ascii="Times New Roman" w:eastAsia="Times New Roman" w:hAnsi="Times New Roman" w:cs="Times New Roman"/>
          <w:color w:val="000000"/>
          <w:sz w:val="24"/>
          <w:szCs w:val="24"/>
        </w:rPr>
        <w:t xml:space="preserve"> 1.00. Thus, the share of the Verizon Communication can be termed as defensive stock. </w:t>
      </w:r>
      <w:r w:rsidR="003C381B" w:rsidRPr="000269D7">
        <w:rPr>
          <w:rFonts w:ascii="Times New Roman" w:eastAsia="Times New Roman" w:hAnsi="Times New Roman" w:cs="Times New Roman"/>
          <w:color w:val="000000"/>
          <w:sz w:val="24"/>
          <w:szCs w:val="24"/>
        </w:rPr>
        <w:t>The</w:t>
      </w:r>
      <w:r w:rsidR="00D17B97" w:rsidRPr="000269D7">
        <w:rPr>
          <w:rFonts w:ascii="Times New Roman" w:eastAsia="Times New Roman" w:hAnsi="Times New Roman" w:cs="Times New Roman"/>
          <w:color w:val="000000"/>
          <w:sz w:val="24"/>
          <w:szCs w:val="24"/>
        </w:rPr>
        <w:t xml:space="preserve"> </w:t>
      </w:r>
      <w:r w:rsidR="003C381B" w:rsidRPr="000269D7">
        <w:rPr>
          <w:rFonts w:ascii="Times New Roman" w:eastAsia="Times New Roman" w:hAnsi="Times New Roman" w:cs="Times New Roman"/>
          <w:color w:val="000000"/>
          <w:sz w:val="24"/>
          <w:szCs w:val="24"/>
        </w:rPr>
        <w:t>return</w:t>
      </w:r>
      <w:r w:rsidR="00D17B97" w:rsidRPr="000269D7">
        <w:rPr>
          <w:rFonts w:ascii="Times New Roman" w:eastAsia="Times New Roman" w:hAnsi="Times New Roman" w:cs="Times New Roman"/>
          <w:color w:val="000000"/>
          <w:sz w:val="24"/>
          <w:szCs w:val="24"/>
        </w:rPr>
        <w:t xml:space="preserve"> of the Verizon Communication will be less affected by the overall market return. </w:t>
      </w:r>
      <w:r w:rsidR="003C381B" w:rsidRPr="000269D7">
        <w:rPr>
          <w:rFonts w:ascii="Times New Roman" w:eastAsia="Times New Roman" w:hAnsi="Times New Roman" w:cs="Times New Roman"/>
          <w:color w:val="000000"/>
          <w:sz w:val="24"/>
          <w:szCs w:val="24"/>
        </w:rPr>
        <w:t>The</w:t>
      </w:r>
      <w:r w:rsidR="00D17B97" w:rsidRPr="000269D7">
        <w:rPr>
          <w:rFonts w:ascii="Times New Roman" w:eastAsia="Times New Roman" w:hAnsi="Times New Roman" w:cs="Times New Roman"/>
          <w:color w:val="000000"/>
          <w:sz w:val="24"/>
          <w:szCs w:val="24"/>
        </w:rPr>
        <w:t xml:space="preserve"> stock </w:t>
      </w:r>
      <w:r w:rsidR="003C381B" w:rsidRPr="000269D7">
        <w:rPr>
          <w:rFonts w:ascii="Times New Roman" w:eastAsia="Times New Roman" w:hAnsi="Times New Roman" w:cs="Times New Roman"/>
          <w:color w:val="000000"/>
          <w:sz w:val="24"/>
          <w:szCs w:val="24"/>
        </w:rPr>
        <w:t>return</w:t>
      </w:r>
      <w:r w:rsidR="00D17B97" w:rsidRPr="000269D7">
        <w:rPr>
          <w:rFonts w:ascii="Times New Roman" w:eastAsia="Times New Roman" w:hAnsi="Times New Roman" w:cs="Times New Roman"/>
          <w:color w:val="000000"/>
          <w:sz w:val="24"/>
          <w:szCs w:val="24"/>
        </w:rPr>
        <w:t xml:space="preserve"> of Verizon Communication will </w:t>
      </w:r>
      <w:r w:rsidR="003C381B" w:rsidRPr="000269D7">
        <w:rPr>
          <w:rFonts w:ascii="Times New Roman" w:eastAsia="Times New Roman" w:hAnsi="Times New Roman" w:cs="Times New Roman"/>
          <w:color w:val="000000"/>
          <w:sz w:val="24"/>
          <w:szCs w:val="24"/>
        </w:rPr>
        <w:t>be</w:t>
      </w:r>
      <w:r w:rsidR="00D17B97" w:rsidRPr="000269D7">
        <w:rPr>
          <w:rFonts w:ascii="Times New Roman" w:eastAsia="Times New Roman" w:hAnsi="Times New Roman" w:cs="Times New Roman"/>
          <w:color w:val="000000"/>
          <w:sz w:val="24"/>
          <w:szCs w:val="24"/>
        </w:rPr>
        <w:t xml:space="preserve"> less shocked by the bad economic and market condition. </w:t>
      </w:r>
      <w:r w:rsidR="003C381B" w:rsidRPr="000269D7">
        <w:rPr>
          <w:rFonts w:ascii="Times New Roman" w:eastAsia="Times New Roman" w:hAnsi="Times New Roman" w:cs="Times New Roman"/>
          <w:color w:val="000000"/>
          <w:sz w:val="24"/>
          <w:szCs w:val="24"/>
        </w:rPr>
        <w:t xml:space="preserve">During the time of economic downturn the stock of the Verizon Communication will be a good stock of the investors. The investment in the Verizon Communication is relatively safe as it is a defensive company. </w:t>
      </w:r>
    </w:p>
    <w:p w:rsidR="00DC1C04" w:rsidRPr="000269D7" w:rsidRDefault="000269D7" w:rsidP="000269D7">
      <w:pPr>
        <w:tabs>
          <w:tab w:val="left" w:pos="8385"/>
        </w:tabs>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w:t>
      </w:r>
      <w:r w:rsidR="00DC1C04" w:rsidRPr="000269D7">
        <w:rPr>
          <w:rFonts w:ascii="Times New Roman" w:eastAsia="Times New Roman" w:hAnsi="Times New Roman" w:cs="Times New Roman"/>
          <w:color w:val="000000"/>
          <w:sz w:val="24"/>
          <w:szCs w:val="24"/>
        </w:rPr>
        <w:t>AS per Moody, the credit rating of the Verizon Communication is Baa1</w:t>
      </w:r>
      <w:r w:rsidR="005D72F8" w:rsidRPr="000269D7">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1216804630"/>
          <w:citation/>
        </w:sdtPr>
        <w:sdtContent>
          <w:r w:rsidR="005D72F8" w:rsidRPr="000269D7">
            <w:rPr>
              <w:rFonts w:ascii="Times New Roman" w:eastAsia="Times New Roman" w:hAnsi="Times New Roman" w:cs="Times New Roman"/>
              <w:color w:val="000000"/>
              <w:sz w:val="24"/>
              <w:szCs w:val="24"/>
            </w:rPr>
            <w:fldChar w:fldCharType="begin"/>
          </w:r>
          <w:r w:rsidR="005D72F8" w:rsidRPr="000269D7">
            <w:rPr>
              <w:rFonts w:ascii="Times New Roman" w:eastAsia="Times New Roman" w:hAnsi="Times New Roman" w:cs="Times New Roman"/>
              <w:color w:val="000000"/>
              <w:sz w:val="24"/>
              <w:szCs w:val="24"/>
            </w:rPr>
            <w:instrText xml:space="preserve"> CITATION Moo16 \l 1033 </w:instrText>
          </w:r>
          <w:r w:rsidR="005D72F8" w:rsidRPr="000269D7">
            <w:rPr>
              <w:rFonts w:ascii="Times New Roman" w:eastAsia="Times New Roman" w:hAnsi="Times New Roman" w:cs="Times New Roman"/>
              <w:color w:val="000000"/>
              <w:sz w:val="24"/>
              <w:szCs w:val="24"/>
            </w:rPr>
            <w:fldChar w:fldCharType="separate"/>
          </w:r>
          <w:r w:rsidR="005D72F8" w:rsidRPr="000269D7">
            <w:rPr>
              <w:rFonts w:ascii="Times New Roman" w:eastAsia="Times New Roman" w:hAnsi="Times New Roman" w:cs="Times New Roman"/>
              <w:noProof/>
              <w:color w:val="000000"/>
              <w:sz w:val="24"/>
              <w:szCs w:val="24"/>
            </w:rPr>
            <w:t>(Moody's, 2016)</w:t>
          </w:r>
          <w:r w:rsidR="005D72F8" w:rsidRPr="000269D7">
            <w:rPr>
              <w:rFonts w:ascii="Times New Roman" w:eastAsia="Times New Roman" w:hAnsi="Times New Roman" w:cs="Times New Roman"/>
              <w:color w:val="000000"/>
              <w:sz w:val="24"/>
              <w:szCs w:val="24"/>
            </w:rPr>
            <w:fldChar w:fldCharType="end"/>
          </w:r>
        </w:sdtContent>
      </w:sdt>
      <w:r w:rsidR="00DC1C04" w:rsidRPr="000269D7">
        <w:rPr>
          <w:rFonts w:ascii="Times New Roman" w:eastAsia="Times New Roman" w:hAnsi="Times New Roman" w:cs="Times New Roman"/>
          <w:color w:val="000000"/>
          <w:sz w:val="24"/>
          <w:szCs w:val="24"/>
        </w:rPr>
        <w:t>. The credit rating of the company is very good. This high credit rating is mainly attributed by the strong financial performance &amp; position of the company</w:t>
      </w:r>
      <w:r w:rsidR="005D72F8" w:rsidRPr="000269D7">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263076349"/>
          <w:citation/>
        </w:sdtPr>
        <w:sdtContent>
          <w:r w:rsidR="005D72F8" w:rsidRPr="000269D7">
            <w:rPr>
              <w:rFonts w:ascii="Times New Roman" w:eastAsia="Times New Roman" w:hAnsi="Times New Roman" w:cs="Times New Roman"/>
              <w:color w:val="000000"/>
              <w:sz w:val="24"/>
              <w:szCs w:val="24"/>
            </w:rPr>
            <w:fldChar w:fldCharType="begin"/>
          </w:r>
          <w:r w:rsidR="005D72F8" w:rsidRPr="000269D7">
            <w:rPr>
              <w:rFonts w:ascii="Times New Roman" w:eastAsia="Times New Roman" w:hAnsi="Times New Roman" w:cs="Times New Roman"/>
              <w:color w:val="000000"/>
              <w:sz w:val="24"/>
              <w:szCs w:val="24"/>
            </w:rPr>
            <w:instrText xml:space="preserve"> CITATION Moo16 \l 1033 </w:instrText>
          </w:r>
          <w:r w:rsidR="005D72F8" w:rsidRPr="000269D7">
            <w:rPr>
              <w:rFonts w:ascii="Times New Roman" w:eastAsia="Times New Roman" w:hAnsi="Times New Roman" w:cs="Times New Roman"/>
              <w:color w:val="000000"/>
              <w:sz w:val="24"/>
              <w:szCs w:val="24"/>
            </w:rPr>
            <w:fldChar w:fldCharType="separate"/>
          </w:r>
          <w:r w:rsidR="005D72F8" w:rsidRPr="000269D7">
            <w:rPr>
              <w:rFonts w:ascii="Times New Roman" w:eastAsia="Times New Roman" w:hAnsi="Times New Roman" w:cs="Times New Roman"/>
              <w:noProof/>
              <w:color w:val="000000"/>
              <w:sz w:val="24"/>
              <w:szCs w:val="24"/>
            </w:rPr>
            <w:t>(Moody's, 2016)</w:t>
          </w:r>
          <w:r w:rsidR="005D72F8" w:rsidRPr="000269D7">
            <w:rPr>
              <w:rFonts w:ascii="Times New Roman" w:eastAsia="Times New Roman" w:hAnsi="Times New Roman" w:cs="Times New Roman"/>
              <w:color w:val="000000"/>
              <w:sz w:val="24"/>
              <w:szCs w:val="24"/>
            </w:rPr>
            <w:fldChar w:fldCharType="end"/>
          </w:r>
        </w:sdtContent>
      </w:sdt>
      <w:r w:rsidR="00DC1C04" w:rsidRPr="000269D7">
        <w:rPr>
          <w:rFonts w:ascii="Times New Roman" w:eastAsia="Times New Roman" w:hAnsi="Times New Roman" w:cs="Times New Roman"/>
          <w:color w:val="000000"/>
          <w:sz w:val="24"/>
          <w:szCs w:val="24"/>
        </w:rPr>
        <w:t xml:space="preserve">. </w:t>
      </w:r>
      <w:r w:rsidR="005D72F8" w:rsidRPr="000269D7">
        <w:rPr>
          <w:rFonts w:ascii="Times New Roman" w:eastAsia="Times New Roman" w:hAnsi="Times New Roman" w:cs="Times New Roman"/>
          <w:color w:val="000000"/>
          <w:sz w:val="24"/>
          <w:szCs w:val="24"/>
        </w:rPr>
        <w:t xml:space="preserve">In the future, the company is expected to do the business very successfully, and be able to sustain its market position. </w:t>
      </w:r>
    </w:p>
    <w:p w:rsidR="003820E9" w:rsidRPr="000269D7" w:rsidRDefault="000269D7" w:rsidP="000269D7">
      <w:pPr>
        <w:tabs>
          <w:tab w:val="left" w:pos="8385"/>
        </w:tabs>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Stock Performance</w:t>
      </w:r>
    </w:p>
    <w:p w:rsidR="00E96EF1" w:rsidRPr="000269D7" w:rsidRDefault="00E96EF1" w:rsidP="000269D7">
      <w:pPr>
        <w:tabs>
          <w:tab w:val="left" w:pos="8385"/>
        </w:tabs>
        <w:spacing w:after="0" w:line="480" w:lineRule="auto"/>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 xml:space="preserve">Currently, the share of Verizon is traded at $48.47 </w:t>
      </w:r>
      <w:sdt>
        <w:sdtPr>
          <w:rPr>
            <w:rFonts w:ascii="Times New Roman" w:eastAsia="Times New Roman" w:hAnsi="Times New Roman" w:cs="Times New Roman"/>
            <w:color w:val="000000"/>
            <w:sz w:val="24"/>
            <w:szCs w:val="24"/>
          </w:rPr>
          <w:id w:val="1510873553"/>
          <w:citation/>
        </w:sdtPr>
        <w:sdtContent>
          <w:r w:rsidRPr="000269D7">
            <w:rPr>
              <w:rFonts w:ascii="Times New Roman" w:eastAsia="Times New Roman" w:hAnsi="Times New Roman" w:cs="Times New Roman"/>
              <w:color w:val="000000"/>
              <w:sz w:val="24"/>
              <w:szCs w:val="24"/>
            </w:rPr>
            <w:fldChar w:fldCharType="begin"/>
          </w:r>
          <w:r w:rsidRPr="000269D7">
            <w:rPr>
              <w:rFonts w:ascii="Times New Roman" w:eastAsia="Times New Roman" w:hAnsi="Times New Roman" w:cs="Times New Roman"/>
              <w:color w:val="000000"/>
              <w:sz w:val="24"/>
              <w:szCs w:val="24"/>
            </w:rPr>
            <w:instrText xml:space="preserve"> CITATION Mar162 \l 1033 </w:instrText>
          </w:r>
          <w:r w:rsidRPr="000269D7">
            <w:rPr>
              <w:rFonts w:ascii="Times New Roman" w:eastAsia="Times New Roman" w:hAnsi="Times New Roman" w:cs="Times New Roman"/>
              <w:color w:val="000000"/>
              <w:sz w:val="24"/>
              <w:szCs w:val="24"/>
            </w:rPr>
            <w:fldChar w:fldCharType="separate"/>
          </w:r>
          <w:r w:rsidRPr="000269D7">
            <w:rPr>
              <w:rFonts w:ascii="Times New Roman" w:eastAsia="Times New Roman" w:hAnsi="Times New Roman" w:cs="Times New Roman"/>
              <w:noProof/>
              <w:color w:val="000000"/>
              <w:sz w:val="24"/>
              <w:szCs w:val="24"/>
            </w:rPr>
            <w:t>(Market Watch, 2016)</w:t>
          </w:r>
          <w:r w:rsidRPr="000269D7">
            <w:rPr>
              <w:rFonts w:ascii="Times New Roman" w:eastAsia="Times New Roman" w:hAnsi="Times New Roman" w:cs="Times New Roman"/>
              <w:color w:val="000000"/>
              <w:sz w:val="24"/>
              <w:szCs w:val="24"/>
            </w:rPr>
            <w:fldChar w:fldCharType="end"/>
          </w:r>
        </w:sdtContent>
      </w:sdt>
      <w:r w:rsidRPr="000269D7">
        <w:rPr>
          <w:rFonts w:ascii="Times New Roman" w:eastAsia="Times New Roman" w:hAnsi="Times New Roman" w:cs="Times New Roman"/>
          <w:color w:val="000000"/>
          <w:sz w:val="24"/>
          <w:szCs w:val="24"/>
        </w:rPr>
        <w:t xml:space="preserve"> as compared to the price of $26.89 before fie year.  The share price of the company </w:t>
      </w:r>
      <w:r w:rsidR="00690577" w:rsidRPr="000269D7">
        <w:rPr>
          <w:rFonts w:ascii="Times New Roman" w:eastAsia="Times New Roman" w:hAnsi="Times New Roman" w:cs="Times New Roman"/>
          <w:color w:val="000000"/>
          <w:sz w:val="24"/>
          <w:szCs w:val="24"/>
        </w:rPr>
        <w:t>has</w:t>
      </w:r>
      <w:r w:rsidRPr="000269D7">
        <w:rPr>
          <w:rFonts w:ascii="Times New Roman" w:eastAsia="Times New Roman" w:hAnsi="Times New Roman" w:cs="Times New Roman"/>
          <w:color w:val="000000"/>
          <w:sz w:val="24"/>
          <w:szCs w:val="24"/>
        </w:rPr>
        <w:t xml:space="preserve"> increased over the last five years consistently</w:t>
      </w:r>
      <w:r w:rsidR="000269D7">
        <w:rPr>
          <w:rFonts w:ascii="Times New Roman" w:eastAsia="Times New Roman" w:hAnsi="Times New Roman" w:cs="Times New Roman"/>
          <w:color w:val="000000"/>
          <w:sz w:val="24"/>
          <w:szCs w:val="24"/>
        </w:rPr>
        <w:t xml:space="preserve"> (Figure 6)</w:t>
      </w:r>
      <w:r w:rsidRPr="000269D7">
        <w:rPr>
          <w:rFonts w:ascii="Times New Roman" w:eastAsia="Times New Roman" w:hAnsi="Times New Roman" w:cs="Times New Roman"/>
          <w:color w:val="000000"/>
          <w:sz w:val="24"/>
          <w:szCs w:val="24"/>
        </w:rPr>
        <w:t xml:space="preserve">. A positive </w:t>
      </w:r>
      <w:r w:rsidR="00690577" w:rsidRPr="000269D7">
        <w:rPr>
          <w:rFonts w:ascii="Times New Roman" w:eastAsia="Times New Roman" w:hAnsi="Times New Roman" w:cs="Times New Roman"/>
          <w:color w:val="000000"/>
          <w:sz w:val="24"/>
          <w:szCs w:val="24"/>
        </w:rPr>
        <w:t>trend</w:t>
      </w:r>
      <w:r w:rsidRPr="000269D7">
        <w:rPr>
          <w:rFonts w:ascii="Times New Roman" w:eastAsia="Times New Roman" w:hAnsi="Times New Roman" w:cs="Times New Roman"/>
          <w:color w:val="000000"/>
          <w:sz w:val="24"/>
          <w:szCs w:val="24"/>
        </w:rPr>
        <w:t xml:space="preserve"> is found in the share price growth of the Verizon Communication. This positive trend in the share price is mainly the </w:t>
      </w:r>
      <w:r w:rsidR="00690577" w:rsidRPr="000269D7">
        <w:rPr>
          <w:rFonts w:ascii="Times New Roman" w:eastAsia="Times New Roman" w:hAnsi="Times New Roman" w:cs="Times New Roman"/>
          <w:color w:val="000000"/>
          <w:sz w:val="24"/>
          <w:szCs w:val="24"/>
        </w:rPr>
        <w:t>reflection</w:t>
      </w:r>
      <w:r w:rsidRPr="000269D7">
        <w:rPr>
          <w:rFonts w:ascii="Times New Roman" w:eastAsia="Times New Roman" w:hAnsi="Times New Roman" w:cs="Times New Roman"/>
          <w:color w:val="000000"/>
          <w:sz w:val="24"/>
          <w:szCs w:val="24"/>
        </w:rPr>
        <w:t xml:space="preserve"> of </w:t>
      </w:r>
      <w:r w:rsidR="00690577" w:rsidRPr="000269D7">
        <w:rPr>
          <w:rFonts w:ascii="Times New Roman" w:eastAsia="Times New Roman" w:hAnsi="Times New Roman" w:cs="Times New Roman"/>
          <w:color w:val="000000"/>
          <w:sz w:val="24"/>
          <w:szCs w:val="24"/>
        </w:rPr>
        <w:t>improved</w:t>
      </w:r>
      <w:r w:rsidRPr="000269D7">
        <w:rPr>
          <w:rFonts w:ascii="Times New Roman" w:eastAsia="Times New Roman" w:hAnsi="Times New Roman" w:cs="Times New Roman"/>
          <w:color w:val="000000"/>
          <w:sz w:val="24"/>
          <w:szCs w:val="24"/>
        </w:rPr>
        <w:t xml:space="preserve"> </w:t>
      </w:r>
      <w:r w:rsidR="00690577" w:rsidRPr="000269D7">
        <w:rPr>
          <w:rFonts w:ascii="Times New Roman" w:eastAsia="Times New Roman" w:hAnsi="Times New Roman" w:cs="Times New Roman"/>
          <w:color w:val="000000"/>
          <w:sz w:val="24"/>
          <w:szCs w:val="24"/>
        </w:rPr>
        <w:t>financial</w:t>
      </w:r>
      <w:r w:rsidRPr="000269D7">
        <w:rPr>
          <w:rFonts w:ascii="Times New Roman" w:eastAsia="Times New Roman" w:hAnsi="Times New Roman" w:cs="Times New Roman"/>
          <w:color w:val="000000"/>
          <w:sz w:val="24"/>
          <w:szCs w:val="24"/>
        </w:rPr>
        <w:t xml:space="preserve"> performance of the company. </w:t>
      </w:r>
    </w:p>
    <w:p w:rsidR="001E344A" w:rsidRDefault="001E344A" w:rsidP="001E344A">
      <w:pPr>
        <w:tabs>
          <w:tab w:val="left" w:pos="8385"/>
        </w:tabs>
        <w:spacing w:before="100" w:beforeAutospacing="1" w:after="100" w:afterAutospacing="1" w:line="240" w:lineRule="auto"/>
        <w:jc w:val="center"/>
        <w:rPr>
          <w:rFonts w:ascii="Times New Roman" w:eastAsia="Times New Roman" w:hAnsi="Times New Roman" w:cs="Times New Roman"/>
          <w:b/>
          <w:color w:val="000000"/>
          <w:sz w:val="27"/>
          <w:szCs w:val="27"/>
        </w:rPr>
      </w:pPr>
      <w:r w:rsidRPr="001E344A">
        <w:rPr>
          <w:rFonts w:ascii="Times New Roman" w:eastAsia="Times New Roman" w:hAnsi="Times New Roman" w:cs="Times New Roman"/>
          <w:b/>
          <w:noProof/>
          <w:color w:val="000000"/>
          <w:sz w:val="27"/>
          <w:szCs w:val="27"/>
          <w:bdr w:val="single" w:sz="4" w:space="0" w:color="auto"/>
        </w:rPr>
        <w:drawing>
          <wp:inline distT="0" distB="0" distL="0" distR="0">
            <wp:extent cx="4857750" cy="23336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57750" cy="2333625"/>
                    </a:xfrm>
                    <a:prstGeom prst="rect">
                      <a:avLst/>
                    </a:prstGeom>
                    <a:noFill/>
                    <a:ln>
                      <a:noFill/>
                    </a:ln>
                  </pic:spPr>
                </pic:pic>
              </a:graphicData>
            </a:graphic>
          </wp:inline>
        </w:drawing>
      </w:r>
    </w:p>
    <w:p w:rsidR="00251BB8" w:rsidRPr="00251BB8" w:rsidRDefault="00251BB8" w:rsidP="001E344A">
      <w:pPr>
        <w:tabs>
          <w:tab w:val="left" w:pos="8385"/>
        </w:tabs>
        <w:spacing w:before="100" w:beforeAutospacing="1" w:after="100" w:afterAutospacing="1" w:line="240" w:lineRule="auto"/>
        <w:jc w:val="center"/>
        <w:rPr>
          <w:rFonts w:ascii="Times New Roman" w:eastAsia="Times New Roman" w:hAnsi="Times New Roman" w:cs="Times New Roman"/>
          <w:color w:val="000000"/>
          <w:sz w:val="24"/>
          <w:szCs w:val="24"/>
        </w:rPr>
      </w:pPr>
      <w:r w:rsidRPr="00251BB8">
        <w:rPr>
          <w:rFonts w:ascii="Times New Roman" w:eastAsia="Times New Roman" w:hAnsi="Times New Roman" w:cs="Times New Roman"/>
          <w:color w:val="000000"/>
          <w:sz w:val="24"/>
          <w:szCs w:val="24"/>
        </w:rPr>
        <w:t>Figure</w:t>
      </w:r>
      <w:r w:rsidR="000269D7">
        <w:rPr>
          <w:rFonts w:ascii="Times New Roman" w:eastAsia="Times New Roman" w:hAnsi="Times New Roman" w:cs="Times New Roman"/>
          <w:color w:val="000000"/>
          <w:sz w:val="24"/>
          <w:szCs w:val="24"/>
        </w:rPr>
        <w:t xml:space="preserve"> 6</w:t>
      </w:r>
      <w:r w:rsidRPr="00251BB8">
        <w:rPr>
          <w:rFonts w:ascii="Times New Roman" w:eastAsia="Times New Roman" w:hAnsi="Times New Roman" w:cs="Times New Roman"/>
          <w:color w:val="000000"/>
          <w:sz w:val="24"/>
          <w:szCs w:val="24"/>
        </w:rPr>
        <w:t>: Share price of Verizon Communication for the Last 5 Years</w:t>
      </w:r>
    </w:p>
    <w:p w:rsidR="00E96EF1" w:rsidRPr="000269D7" w:rsidRDefault="000269D7" w:rsidP="000269D7">
      <w:pPr>
        <w:tabs>
          <w:tab w:val="left" w:pos="8385"/>
        </w:tabs>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51BB8" w:rsidRPr="00251BB8">
        <w:rPr>
          <w:rFonts w:ascii="Times New Roman" w:eastAsia="Times New Roman" w:hAnsi="Times New Roman" w:cs="Times New Roman"/>
          <w:color w:val="000000"/>
          <w:sz w:val="24"/>
          <w:szCs w:val="24"/>
        </w:rPr>
        <w:t>A compared to those of average industry the Price to Earnings (P/E) ratio, and Price-To-Book Value (P/B) ratio of the Verizon Communication is higher</w:t>
      </w:r>
      <w:r>
        <w:rPr>
          <w:rFonts w:ascii="Times New Roman" w:eastAsia="Times New Roman" w:hAnsi="Times New Roman" w:cs="Times New Roman"/>
          <w:color w:val="000000"/>
          <w:sz w:val="24"/>
          <w:szCs w:val="24"/>
        </w:rPr>
        <w:t xml:space="preserve"> (Figure 7)</w:t>
      </w:r>
      <w:r w:rsidR="00251BB8" w:rsidRPr="00251BB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h</w:t>
      </w:r>
      <w:r w:rsidR="00251BB8" w:rsidRPr="00251BB8">
        <w:rPr>
          <w:rFonts w:ascii="Times New Roman" w:eastAsia="Times New Roman" w:hAnsi="Times New Roman" w:cs="Times New Roman"/>
          <w:color w:val="000000"/>
          <w:sz w:val="24"/>
          <w:szCs w:val="24"/>
        </w:rPr>
        <w:t xml:space="preserve">is implies that the investors in the market perceive and expect more growth of the company and willing to pay more price against the earnings and assets of the company. </w:t>
      </w:r>
    </w:p>
    <w:tbl>
      <w:tblPr>
        <w:tblW w:w="9350" w:type="dxa"/>
        <w:tblLook w:val="04A0" w:firstRow="1" w:lastRow="0" w:firstColumn="1" w:lastColumn="0" w:noHBand="0" w:noVBand="1"/>
      </w:tblPr>
      <w:tblGrid>
        <w:gridCol w:w="5803"/>
        <w:gridCol w:w="276"/>
        <w:gridCol w:w="1561"/>
        <w:gridCol w:w="1710"/>
      </w:tblGrid>
      <w:tr w:rsidR="00E96EF1" w:rsidRPr="000269D7" w:rsidTr="00E96EF1">
        <w:trPr>
          <w:trHeight w:val="300"/>
        </w:trPr>
        <w:tc>
          <w:tcPr>
            <w:tcW w:w="9350" w:type="dxa"/>
            <w:gridSpan w:val="4"/>
            <w:tcBorders>
              <w:top w:val="single" w:sz="4" w:space="0" w:color="auto"/>
              <w:left w:val="single" w:sz="4" w:space="0" w:color="auto"/>
              <w:bottom w:val="single" w:sz="4" w:space="0" w:color="auto"/>
              <w:right w:val="nil"/>
            </w:tcBorders>
            <w:shd w:val="clear" w:color="000000" w:fill="F4B084"/>
            <w:noWrap/>
            <w:vAlign w:val="bottom"/>
            <w:hideMark/>
          </w:tcPr>
          <w:p w:rsidR="00E96EF1" w:rsidRPr="000269D7" w:rsidRDefault="00E96EF1" w:rsidP="00E96EF1">
            <w:pPr>
              <w:spacing w:after="0" w:line="240" w:lineRule="auto"/>
              <w:jc w:val="center"/>
              <w:rPr>
                <w:rFonts w:ascii="Times New Roman" w:eastAsia="Times New Roman" w:hAnsi="Times New Roman" w:cs="Times New Roman"/>
                <w:b/>
                <w:bCs/>
                <w:color w:val="000000"/>
                <w:sz w:val="24"/>
                <w:szCs w:val="24"/>
              </w:rPr>
            </w:pPr>
            <w:r w:rsidRPr="000269D7">
              <w:rPr>
                <w:rFonts w:ascii="Times New Roman" w:eastAsia="Times New Roman" w:hAnsi="Times New Roman" w:cs="Times New Roman"/>
                <w:b/>
                <w:bCs/>
                <w:color w:val="000000"/>
                <w:sz w:val="24"/>
                <w:szCs w:val="24"/>
              </w:rPr>
              <w:lastRenderedPageBreak/>
              <w:t>Financial Ratios of Verizon Communication and Telecommunication Industry for 2015</w:t>
            </w:r>
          </w:p>
        </w:tc>
      </w:tr>
      <w:tr w:rsidR="00E96EF1" w:rsidRPr="000269D7" w:rsidTr="00E96EF1">
        <w:trPr>
          <w:trHeight w:val="300"/>
        </w:trPr>
        <w:tc>
          <w:tcPr>
            <w:tcW w:w="5806" w:type="dxa"/>
            <w:tcBorders>
              <w:top w:val="nil"/>
              <w:left w:val="single" w:sz="4" w:space="0" w:color="auto"/>
              <w:bottom w:val="single" w:sz="4" w:space="0" w:color="auto"/>
              <w:right w:val="nil"/>
            </w:tcBorders>
            <w:shd w:val="clear" w:color="000000" w:fill="F8CBAD"/>
            <w:noWrap/>
            <w:vAlign w:val="bottom"/>
            <w:hideMark/>
          </w:tcPr>
          <w:p w:rsidR="00E96EF1" w:rsidRPr="000269D7" w:rsidRDefault="00E96EF1" w:rsidP="00E96EF1">
            <w:pPr>
              <w:spacing w:after="0" w:line="240" w:lineRule="auto"/>
              <w:jc w:val="center"/>
              <w:rPr>
                <w:rFonts w:ascii="Times New Roman" w:eastAsia="Times New Roman" w:hAnsi="Times New Roman" w:cs="Times New Roman"/>
                <w:b/>
                <w:bCs/>
                <w:color w:val="000000"/>
                <w:sz w:val="24"/>
                <w:szCs w:val="24"/>
              </w:rPr>
            </w:pPr>
            <w:r w:rsidRPr="000269D7">
              <w:rPr>
                <w:rFonts w:ascii="Times New Roman" w:eastAsia="Times New Roman" w:hAnsi="Times New Roman" w:cs="Times New Roman"/>
                <w:b/>
                <w:bCs/>
                <w:color w:val="000000"/>
                <w:sz w:val="24"/>
                <w:szCs w:val="24"/>
              </w:rPr>
              <w:t>Ratios</w:t>
            </w:r>
          </w:p>
        </w:tc>
        <w:tc>
          <w:tcPr>
            <w:tcW w:w="271" w:type="dxa"/>
            <w:tcBorders>
              <w:top w:val="nil"/>
              <w:left w:val="nil"/>
              <w:bottom w:val="single" w:sz="4" w:space="0" w:color="auto"/>
              <w:right w:val="nil"/>
            </w:tcBorders>
            <w:shd w:val="clear" w:color="000000" w:fill="F8CBAD"/>
            <w:noWrap/>
            <w:vAlign w:val="bottom"/>
            <w:hideMark/>
          </w:tcPr>
          <w:p w:rsidR="00E96EF1" w:rsidRPr="000269D7" w:rsidRDefault="00E96EF1" w:rsidP="00E96EF1">
            <w:pPr>
              <w:spacing w:after="0" w:line="240" w:lineRule="auto"/>
              <w:jc w:val="center"/>
              <w:rPr>
                <w:rFonts w:ascii="Times New Roman" w:eastAsia="Times New Roman" w:hAnsi="Times New Roman" w:cs="Times New Roman"/>
                <w:b/>
                <w:bCs/>
                <w:color w:val="000000"/>
                <w:sz w:val="24"/>
                <w:szCs w:val="24"/>
              </w:rPr>
            </w:pPr>
            <w:r w:rsidRPr="000269D7">
              <w:rPr>
                <w:rFonts w:ascii="Times New Roman" w:eastAsia="Times New Roman" w:hAnsi="Times New Roman" w:cs="Times New Roman"/>
                <w:b/>
                <w:bCs/>
                <w:color w:val="000000"/>
                <w:sz w:val="24"/>
                <w:szCs w:val="24"/>
              </w:rPr>
              <w:t> </w:t>
            </w:r>
          </w:p>
        </w:tc>
        <w:tc>
          <w:tcPr>
            <w:tcW w:w="1562" w:type="dxa"/>
            <w:tcBorders>
              <w:top w:val="nil"/>
              <w:left w:val="nil"/>
              <w:bottom w:val="single" w:sz="4" w:space="0" w:color="auto"/>
              <w:right w:val="nil"/>
            </w:tcBorders>
            <w:shd w:val="clear" w:color="000000" w:fill="F8CBAD"/>
            <w:noWrap/>
            <w:vAlign w:val="bottom"/>
            <w:hideMark/>
          </w:tcPr>
          <w:p w:rsidR="00E96EF1" w:rsidRPr="000269D7" w:rsidRDefault="00E96EF1" w:rsidP="00E96EF1">
            <w:pPr>
              <w:spacing w:after="0" w:line="240" w:lineRule="auto"/>
              <w:jc w:val="center"/>
              <w:rPr>
                <w:rFonts w:ascii="Times New Roman" w:eastAsia="Times New Roman" w:hAnsi="Times New Roman" w:cs="Times New Roman"/>
                <w:b/>
                <w:bCs/>
                <w:color w:val="000000"/>
                <w:sz w:val="24"/>
                <w:szCs w:val="24"/>
              </w:rPr>
            </w:pPr>
            <w:r w:rsidRPr="000269D7">
              <w:rPr>
                <w:rFonts w:ascii="Times New Roman" w:eastAsia="Times New Roman" w:hAnsi="Times New Roman" w:cs="Times New Roman"/>
                <w:b/>
                <w:bCs/>
                <w:color w:val="000000"/>
                <w:sz w:val="24"/>
                <w:szCs w:val="24"/>
              </w:rPr>
              <w:t>Verizon</w:t>
            </w:r>
          </w:p>
        </w:tc>
        <w:tc>
          <w:tcPr>
            <w:tcW w:w="1711" w:type="dxa"/>
            <w:tcBorders>
              <w:top w:val="nil"/>
              <w:left w:val="nil"/>
              <w:bottom w:val="single" w:sz="4" w:space="0" w:color="auto"/>
              <w:right w:val="single" w:sz="4" w:space="0" w:color="auto"/>
            </w:tcBorders>
            <w:shd w:val="clear" w:color="000000" w:fill="F8CBAD"/>
            <w:noWrap/>
            <w:vAlign w:val="bottom"/>
            <w:hideMark/>
          </w:tcPr>
          <w:p w:rsidR="00E96EF1" w:rsidRPr="000269D7" w:rsidRDefault="00E96EF1" w:rsidP="00E96EF1">
            <w:pPr>
              <w:spacing w:after="0" w:line="240" w:lineRule="auto"/>
              <w:jc w:val="center"/>
              <w:rPr>
                <w:rFonts w:ascii="Times New Roman" w:eastAsia="Times New Roman" w:hAnsi="Times New Roman" w:cs="Times New Roman"/>
                <w:b/>
                <w:bCs/>
                <w:color w:val="000000"/>
                <w:sz w:val="24"/>
                <w:szCs w:val="24"/>
              </w:rPr>
            </w:pPr>
            <w:r w:rsidRPr="000269D7">
              <w:rPr>
                <w:rFonts w:ascii="Times New Roman" w:eastAsia="Times New Roman" w:hAnsi="Times New Roman" w:cs="Times New Roman"/>
                <w:b/>
                <w:bCs/>
                <w:color w:val="000000"/>
                <w:sz w:val="24"/>
                <w:szCs w:val="24"/>
              </w:rPr>
              <w:t>Industry</w:t>
            </w:r>
          </w:p>
        </w:tc>
      </w:tr>
      <w:tr w:rsidR="00E96EF1" w:rsidRPr="000269D7" w:rsidTr="00E96EF1">
        <w:trPr>
          <w:trHeight w:val="300"/>
        </w:trPr>
        <w:tc>
          <w:tcPr>
            <w:tcW w:w="5806" w:type="dxa"/>
            <w:tcBorders>
              <w:top w:val="nil"/>
              <w:left w:val="single" w:sz="4" w:space="0" w:color="auto"/>
              <w:bottom w:val="nil"/>
              <w:right w:val="nil"/>
            </w:tcBorders>
            <w:shd w:val="clear" w:color="auto" w:fill="auto"/>
            <w:noWrap/>
            <w:vAlign w:val="bottom"/>
            <w:hideMark/>
          </w:tcPr>
          <w:p w:rsidR="00E96EF1" w:rsidRPr="000269D7" w:rsidRDefault="00E96EF1" w:rsidP="00E96EF1">
            <w:pPr>
              <w:spacing w:after="0" w:line="240" w:lineRule="auto"/>
              <w:rPr>
                <w:rFonts w:ascii="Times New Roman" w:eastAsia="Times New Roman" w:hAnsi="Times New Roman" w:cs="Times New Roman"/>
                <w:b/>
                <w:bCs/>
                <w:color w:val="000000"/>
                <w:sz w:val="24"/>
                <w:szCs w:val="24"/>
              </w:rPr>
            </w:pPr>
            <w:r w:rsidRPr="000269D7">
              <w:rPr>
                <w:rFonts w:ascii="Times New Roman" w:eastAsia="Times New Roman" w:hAnsi="Times New Roman" w:cs="Times New Roman"/>
                <w:b/>
                <w:bCs/>
                <w:color w:val="000000"/>
                <w:sz w:val="24"/>
                <w:szCs w:val="24"/>
              </w:rPr>
              <w:t>Market Performance Ratios</w:t>
            </w:r>
          </w:p>
        </w:tc>
        <w:tc>
          <w:tcPr>
            <w:tcW w:w="271" w:type="dxa"/>
            <w:tcBorders>
              <w:top w:val="nil"/>
              <w:left w:val="nil"/>
              <w:bottom w:val="nil"/>
              <w:right w:val="nil"/>
            </w:tcBorders>
            <w:shd w:val="clear" w:color="auto" w:fill="auto"/>
            <w:noWrap/>
            <w:vAlign w:val="bottom"/>
            <w:hideMark/>
          </w:tcPr>
          <w:p w:rsidR="00E96EF1" w:rsidRPr="000269D7" w:rsidRDefault="00E96EF1" w:rsidP="00E96EF1">
            <w:pPr>
              <w:spacing w:after="0" w:line="240" w:lineRule="auto"/>
              <w:rPr>
                <w:rFonts w:ascii="Times New Roman" w:eastAsia="Times New Roman" w:hAnsi="Times New Roman" w:cs="Times New Roman"/>
                <w:b/>
                <w:bCs/>
                <w:color w:val="000000"/>
                <w:sz w:val="24"/>
                <w:szCs w:val="24"/>
              </w:rPr>
            </w:pPr>
          </w:p>
        </w:tc>
        <w:tc>
          <w:tcPr>
            <w:tcW w:w="1562" w:type="dxa"/>
            <w:tcBorders>
              <w:top w:val="nil"/>
              <w:left w:val="nil"/>
              <w:bottom w:val="nil"/>
              <w:right w:val="nil"/>
            </w:tcBorders>
            <w:shd w:val="clear" w:color="auto" w:fill="auto"/>
            <w:noWrap/>
            <w:vAlign w:val="bottom"/>
            <w:hideMark/>
          </w:tcPr>
          <w:p w:rsidR="00E96EF1" w:rsidRPr="000269D7" w:rsidRDefault="00E96EF1" w:rsidP="00E96EF1">
            <w:pPr>
              <w:spacing w:after="0" w:line="240" w:lineRule="auto"/>
              <w:rPr>
                <w:rFonts w:ascii="Times New Roman" w:eastAsia="Times New Roman" w:hAnsi="Times New Roman" w:cs="Times New Roman"/>
                <w:sz w:val="24"/>
                <w:szCs w:val="24"/>
              </w:rPr>
            </w:pPr>
          </w:p>
        </w:tc>
        <w:tc>
          <w:tcPr>
            <w:tcW w:w="1711" w:type="dxa"/>
            <w:tcBorders>
              <w:top w:val="nil"/>
              <w:left w:val="nil"/>
              <w:bottom w:val="nil"/>
              <w:right w:val="single" w:sz="4" w:space="0" w:color="auto"/>
            </w:tcBorders>
            <w:shd w:val="clear" w:color="auto" w:fill="auto"/>
            <w:noWrap/>
            <w:vAlign w:val="bottom"/>
            <w:hideMark/>
          </w:tcPr>
          <w:p w:rsidR="00E96EF1" w:rsidRPr="000269D7" w:rsidRDefault="00E96EF1" w:rsidP="00E96EF1">
            <w:pPr>
              <w:spacing w:after="0" w:line="240" w:lineRule="auto"/>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 </w:t>
            </w:r>
          </w:p>
        </w:tc>
      </w:tr>
      <w:tr w:rsidR="00E96EF1" w:rsidRPr="000269D7" w:rsidTr="00E96EF1">
        <w:trPr>
          <w:trHeight w:val="300"/>
        </w:trPr>
        <w:tc>
          <w:tcPr>
            <w:tcW w:w="5806" w:type="dxa"/>
            <w:tcBorders>
              <w:top w:val="nil"/>
              <w:left w:val="single" w:sz="4" w:space="0" w:color="auto"/>
              <w:bottom w:val="nil"/>
              <w:right w:val="nil"/>
            </w:tcBorders>
            <w:shd w:val="clear" w:color="auto" w:fill="auto"/>
            <w:noWrap/>
            <w:vAlign w:val="bottom"/>
            <w:hideMark/>
          </w:tcPr>
          <w:p w:rsidR="00E96EF1" w:rsidRPr="000269D7" w:rsidRDefault="00E96EF1" w:rsidP="00E96EF1">
            <w:pPr>
              <w:spacing w:after="0" w:line="240" w:lineRule="auto"/>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Price/Book Value Ratio (Times)</w:t>
            </w:r>
          </w:p>
        </w:tc>
        <w:tc>
          <w:tcPr>
            <w:tcW w:w="271" w:type="dxa"/>
            <w:tcBorders>
              <w:top w:val="nil"/>
              <w:left w:val="nil"/>
              <w:bottom w:val="nil"/>
              <w:right w:val="nil"/>
            </w:tcBorders>
            <w:shd w:val="clear" w:color="auto" w:fill="auto"/>
            <w:noWrap/>
            <w:vAlign w:val="bottom"/>
            <w:hideMark/>
          </w:tcPr>
          <w:p w:rsidR="00E96EF1" w:rsidRPr="000269D7" w:rsidRDefault="00E96EF1" w:rsidP="00E96EF1">
            <w:pPr>
              <w:spacing w:after="0" w:line="240" w:lineRule="auto"/>
              <w:rPr>
                <w:rFonts w:ascii="Times New Roman" w:eastAsia="Times New Roman" w:hAnsi="Times New Roman" w:cs="Times New Roman"/>
                <w:color w:val="000000"/>
                <w:sz w:val="24"/>
                <w:szCs w:val="24"/>
              </w:rPr>
            </w:pPr>
          </w:p>
        </w:tc>
        <w:tc>
          <w:tcPr>
            <w:tcW w:w="1562" w:type="dxa"/>
            <w:tcBorders>
              <w:top w:val="nil"/>
              <w:left w:val="nil"/>
              <w:bottom w:val="nil"/>
              <w:right w:val="nil"/>
            </w:tcBorders>
            <w:shd w:val="clear" w:color="auto" w:fill="auto"/>
            <w:noWrap/>
            <w:vAlign w:val="bottom"/>
            <w:hideMark/>
          </w:tcPr>
          <w:p w:rsidR="00E96EF1" w:rsidRPr="000269D7" w:rsidRDefault="00E96EF1" w:rsidP="00E96EF1">
            <w:pPr>
              <w:spacing w:after="0" w:line="240" w:lineRule="auto"/>
              <w:jc w:val="right"/>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4.45</w:t>
            </w:r>
          </w:p>
        </w:tc>
        <w:tc>
          <w:tcPr>
            <w:tcW w:w="1711" w:type="dxa"/>
            <w:tcBorders>
              <w:top w:val="nil"/>
              <w:left w:val="nil"/>
              <w:bottom w:val="nil"/>
              <w:right w:val="single" w:sz="4" w:space="0" w:color="auto"/>
            </w:tcBorders>
            <w:shd w:val="clear" w:color="auto" w:fill="auto"/>
            <w:noWrap/>
            <w:vAlign w:val="bottom"/>
            <w:hideMark/>
          </w:tcPr>
          <w:p w:rsidR="00E96EF1" w:rsidRPr="000269D7" w:rsidRDefault="00E96EF1" w:rsidP="00E96EF1">
            <w:pPr>
              <w:spacing w:after="0" w:line="240" w:lineRule="auto"/>
              <w:jc w:val="right"/>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3.45</w:t>
            </w:r>
          </w:p>
        </w:tc>
      </w:tr>
      <w:tr w:rsidR="00E96EF1" w:rsidRPr="000269D7" w:rsidTr="00E96EF1">
        <w:trPr>
          <w:trHeight w:val="300"/>
        </w:trPr>
        <w:tc>
          <w:tcPr>
            <w:tcW w:w="5806" w:type="dxa"/>
            <w:tcBorders>
              <w:top w:val="nil"/>
              <w:left w:val="single" w:sz="4" w:space="0" w:color="auto"/>
              <w:bottom w:val="single" w:sz="4" w:space="0" w:color="auto"/>
              <w:right w:val="nil"/>
            </w:tcBorders>
            <w:shd w:val="clear" w:color="auto" w:fill="auto"/>
            <w:noWrap/>
            <w:vAlign w:val="bottom"/>
            <w:hideMark/>
          </w:tcPr>
          <w:p w:rsidR="00E96EF1" w:rsidRPr="000269D7" w:rsidRDefault="00E96EF1" w:rsidP="00E96EF1">
            <w:pPr>
              <w:spacing w:after="0" w:line="240" w:lineRule="auto"/>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Price/Earnings Ratio (Times)</w:t>
            </w:r>
          </w:p>
        </w:tc>
        <w:tc>
          <w:tcPr>
            <w:tcW w:w="271" w:type="dxa"/>
            <w:tcBorders>
              <w:top w:val="nil"/>
              <w:left w:val="nil"/>
              <w:bottom w:val="single" w:sz="4" w:space="0" w:color="auto"/>
              <w:right w:val="nil"/>
            </w:tcBorders>
            <w:shd w:val="clear" w:color="auto" w:fill="auto"/>
            <w:noWrap/>
            <w:vAlign w:val="bottom"/>
            <w:hideMark/>
          </w:tcPr>
          <w:p w:rsidR="00E96EF1" w:rsidRPr="000269D7" w:rsidRDefault="00E96EF1" w:rsidP="00E96EF1">
            <w:pPr>
              <w:spacing w:after="0" w:line="240" w:lineRule="auto"/>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 </w:t>
            </w:r>
          </w:p>
        </w:tc>
        <w:tc>
          <w:tcPr>
            <w:tcW w:w="1562" w:type="dxa"/>
            <w:tcBorders>
              <w:top w:val="nil"/>
              <w:left w:val="nil"/>
              <w:bottom w:val="single" w:sz="4" w:space="0" w:color="auto"/>
              <w:right w:val="nil"/>
            </w:tcBorders>
            <w:shd w:val="clear" w:color="auto" w:fill="auto"/>
            <w:noWrap/>
            <w:vAlign w:val="bottom"/>
            <w:hideMark/>
          </w:tcPr>
          <w:p w:rsidR="00E96EF1" w:rsidRPr="000269D7" w:rsidRDefault="00E96EF1" w:rsidP="00E96EF1">
            <w:pPr>
              <w:spacing w:after="0" w:line="240" w:lineRule="auto"/>
              <w:jc w:val="right"/>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9.88</w:t>
            </w:r>
          </w:p>
        </w:tc>
        <w:tc>
          <w:tcPr>
            <w:tcW w:w="1711" w:type="dxa"/>
            <w:tcBorders>
              <w:top w:val="nil"/>
              <w:left w:val="nil"/>
              <w:bottom w:val="single" w:sz="4" w:space="0" w:color="auto"/>
              <w:right w:val="single" w:sz="4" w:space="0" w:color="auto"/>
            </w:tcBorders>
            <w:shd w:val="clear" w:color="auto" w:fill="auto"/>
            <w:noWrap/>
            <w:vAlign w:val="bottom"/>
            <w:hideMark/>
          </w:tcPr>
          <w:p w:rsidR="00E96EF1" w:rsidRPr="000269D7" w:rsidRDefault="00E96EF1" w:rsidP="00E96EF1">
            <w:pPr>
              <w:spacing w:after="0" w:line="240" w:lineRule="auto"/>
              <w:jc w:val="right"/>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7.14</w:t>
            </w:r>
          </w:p>
        </w:tc>
      </w:tr>
    </w:tbl>
    <w:p w:rsidR="00E96EF1" w:rsidRPr="000269D7" w:rsidRDefault="000269D7" w:rsidP="00E96EF1">
      <w:pPr>
        <w:tabs>
          <w:tab w:val="left" w:pos="8385"/>
        </w:tabs>
        <w:spacing w:before="100" w:beforeAutospacing="1" w:after="100" w:afterAutospacing="1" w:line="240" w:lineRule="auto"/>
        <w:rPr>
          <w:rFonts w:ascii="Times New Roman" w:eastAsia="Times New Roman" w:hAnsi="Times New Roman" w:cs="Times New Roman"/>
          <w:color w:val="000000"/>
          <w:sz w:val="24"/>
          <w:szCs w:val="24"/>
        </w:rPr>
      </w:pPr>
      <w:r w:rsidRPr="000269D7">
        <w:rPr>
          <w:rFonts w:ascii="Times New Roman" w:eastAsia="Times New Roman" w:hAnsi="Times New Roman" w:cs="Times New Roman"/>
          <w:color w:val="000000"/>
          <w:sz w:val="24"/>
          <w:szCs w:val="24"/>
        </w:rPr>
        <w:t xml:space="preserve">Figure 7: </w:t>
      </w:r>
      <w:r w:rsidRPr="000269D7">
        <w:rPr>
          <w:rFonts w:ascii="Times New Roman" w:eastAsia="Times New Roman" w:hAnsi="Times New Roman" w:cs="Times New Roman"/>
          <w:bCs/>
          <w:color w:val="000000"/>
          <w:sz w:val="24"/>
          <w:szCs w:val="24"/>
        </w:rPr>
        <w:t>Financial Ratios of Verizon Communication and Telecommunication Industry for 2015</w:t>
      </w:r>
    </w:p>
    <w:p w:rsidR="00E27ABF" w:rsidRPr="0015769B" w:rsidRDefault="0015769B" w:rsidP="000269D7">
      <w:pPr>
        <w:tabs>
          <w:tab w:val="left" w:pos="8385"/>
        </w:tabs>
        <w:spacing w:after="0" w:line="480" w:lineRule="auto"/>
        <w:rPr>
          <w:rFonts w:ascii="Times New Roman" w:eastAsia="Times New Roman" w:hAnsi="Times New Roman" w:cs="Times New Roman"/>
          <w:b/>
          <w:color w:val="000000"/>
          <w:sz w:val="27"/>
          <w:szCs w:val="27"/>
        </w:rPr>
      </w:pPr>
      <w:r w:rsidRPr="0015769B">
        <w:rPr>
          <w:rFonts w:ascii="Times New Roman" w:eastAsia="Times New Roman" w:hAnsi="Times New Roman" w:cs="Times New Roman"/>
          <w:b/>
          <w:color w:val="000000"/>
          <w:sz w:val="27"/>
          <w:szCs w:val="27"/>
        </w:rPr>
        <w:t>Investment Recommendation</w:t>
      </w:r>
    </w:p>
    <w:p w:rsidR="00C20004" w:rsidRDefault="000269D7" w:rsidP="000269D7">
      <w:pPr>
        <w:spacing w:after="0" w:line="48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           </w:t>
      </w:r>
      <w:r w:rsidR="00761FF6">
        <w:rPr>
          <w:rFonts w:ascii="Times New Roman" w:eastAsia="Times New Roman" w:hAnsi="Times New Roman" w:cs="Times New Roman"/>
          <w:color w:val="000000"/>
          <w:sz w:val="27"/>
          <w:szCs w:val="27"/>
        </w:rPr>
        <w:t xml:space="preserve">A buy or hold recommendation should be made with respect to a company whose financial performance is currently good and expected to be good in future </w:t>
      </w:r>
      <w:sdt>
        <w:sdtPr>
          <w:rPr>
            <w:rFonts w:ascii="Times New Roman" w:eastAsia="Times New Roman" w:hAnsi="Times New Roman" w:cs="Times New Roman"/>
            <w:color w:val="000000"/>
            <w:sz w:val="27"/>
            <w:szCs w:val="27"/>
          </w:rPr>
          <w:id w:val="-1722510210"/>
          <w:citation/>
        </w:sdtPr>
        <w:sdtContent>
          <w:r w:rsidR="00761FF6">
            <w:rPr>
              <w:rFonts w:ascii="Times New Roman" w:eastAsia="Times New Roman" w:hAnsi="Times New Roman" w:cs="Times New Roman"/>
              <w:color w:val="000000"/>
              <w:sz w:val="27"/>
              <w:szCs w:val="27"/>
            </w:rPr>
            <w:fldChar w:fldCharType="begin"/>
          </w:r>
          <w:r w:rsidR="00761FF6">
            <w:rPr>
              <w:rFonts w:ascii="Times New Roman" w:eastAsia="Times New Roman" w:hAnsi="Times New Roman" w:cs="Times New Roman"/>
              <w:color w:val="000000"/>
              <w:sz w:val="27"/>
              <w:szCs w:val="27"/>
            </w:rPr>
            <w:instrText xml:space="preserve"> CITATION Pet15 \l 1033 </w:instrText>
          </w:r>
          <w:r w:rsidR="00761FF6">
            <w:rPr>
              <w:rFonts w:ascii="Times New Roman" w:eastAsia="Times New Roman" w:hAnsi="Times New Roman" w:cs="Times New Roman"/>
              <w:color w:val="000000"/>
              <w:sz w:val="27"/>
              <w:szCs w:val="27"/>
            </w:rPr>
            <w:fldChar w:fldCharType="separate"/>
          </w:r>
          <w:r w:rsidR="00761FF6" w:rsidRPr="00761FF6">
            <w:rPr>
              <w:rFonts w:ascii="Times New Roman" w:eastAsia="Times New Roman" w:hAnsi="Times New Roman" w:cs="Times New Roman"/>
              <w:noProof/>
              <w:color w:val="000000"/>
              <w:sz w:val="27"/>
              <w:szCs w:val="27"/>
            </w:rPr>
            <w:t>(Petty, Titman, Keown, &amp; Martin, 2015)</w:t>
          </w:r>
          <w:r w:rsidR="00761FF6">
            <w:rPr>
              <w:rFonts w:ascii="Times New Roman" w:eastAsia="Times New Roman" w:hAnsi="Times New Roman" w:cs="Times New Roman"/>
              <w:color w:val="000000"/>
              <w:sz w:val="27"/>
              <w:szCs w:val="27"/>
            </w:rPr>
            <w:fldChar w:fldCharType="end"/>
          </w:r>
        </w:sdtContent>
      </w:sdt>
      <w:r w:rsidR="00761FF6">
        <w:rPr>
          <w:rFonts w:ascii="Times New Roman" w:eastAsia="Times New Roman" w:hAnsi="Times New Roman" w:cs="Times New Roman"/>
          <w:color w:val="000000"/>
          <w:sz w:val="27"/>
          <w:szCs w:val="27"/>
        </w:rPr>
        <w:t xml:space="preserve">. </w:t>
      </w:r>
      <w:r w:rsidR="0063679C">
        <w:rPr>
          <w:rFonts w:ascii="Times New Roman" w:eastAsia="Times New Roman" w:hAnsi="Times New Roman" w:cs="Times New Roman"/>
          <w:color w:val="000000"/>
          <w:sz w:val="27"/>
          <w:szCs w:val="27"/>
        </w:rPr>
        <w:t>The share of a company with currently or expected good financial performance is expected to provide high return or yield to the investors</w:t>
      </w:r>
      <w:r w:rsidR="00584556">
        <w:rPr>
          <w:rFonts w:ascii="Times New Roman" w:eastAsia="Times New Roman" w:hAnsi="Times New Roman" w:cs="Times New Roman"/>
          <w:color w:val="000000"/>
          <w:sz w:val="27"/>
          <w:szCs w:val="27"/>
        </w:rPr>
        <w:t xml:space="preserve"> </w:t>
      </w:r>
      <w:sdt>
        <w:sdtPr>
          <w:rPr>
            <w:rFonts w:ascii="Times New Roman" w:eastAsia="Times New Roman" w:hAnsi="Times New Roman" w:cs="Times New Roman"/>
            <w:color w:val="000000"/>
            <w:sz w:val="27"/>
            <w:szCs w:val="27"/>
          </w:rPr>
          <w:id w:val="-1868448190"/>
          <w:citation/>
        </w:sdtPr>
        <w:sdtContent>
          <w:r w:rsidR="00584556">
            <w:rPr>
              <w:rFonts w:ascii="Times New Roman" w:eastAsia="Times New Roman" w:hAnsi="Times New Roman" w:cs="Times New Roman"/>
              <w:color w:val="000000"/>
              <w:sz w:val="27"/>
              <w:szCs w:val="27"/>
            </w:rPr>
            <w:fldChar w:fldCharType="begin"/>
          </w:r>
          <w:r w:rsidR="00584556">
            <w:rPr>
              <w:rFonts w:ascii="Times New Roman" w:eastAsia="Times New Roman" w:hAnsi="Times New Roman" w:cs="Times New Roman"/>
              <w:color w:val="000000"/>
              <w:sz w:val="27"/>
              <w:szCs w:val="27"/>
            </w:rPr>
            <w:instrText xml:space="preserve"> CITATION Pra14 \l 1033 </w:instrText>
          </w:r>
          <w:r w:rsidR="00584556">
            <w:rPr>
              <w:rFonts w:ascii="Times New Roman" w:eastAsia="Times New Roman" w:hAnsi="Times New Roman" w:cs="Times New Roman"/>
              <w:color w:val="000000"/>
              <w:sz w:val="27"/>
              <w:szCs w:val="27"/>
            </w:rPr>
            <w:fldChar w:fldCharType="separate"/>
          </w:r>
          <w:r w:rsidR="00584556" w:rsidRPr="00584556">
            <w:rPr>
              <w:rFonts w:ascii="Times New Roman" w:eastAsia="Times New Roman" w:hAnsi="Times New Roman" w:cs="Times New Roman"/>
              <w:noProof/>
              <w:color w:val="000000"/>
              <w:sz w:val="27"/>
              <w:szCs w:val="27"/>
            </w:rPr>
            <w:t>(Chandra, 2014)</w:t>
          </w:r>
          <w:r w:rsidR="00584556">
            <w:rPr>
              <w:rFonts w:ascii="Times New Roman" w:eastAsia="Times New Roman" w:hAnsi="Times New Roman" w:cs="Times New Roman"/>
              <w:color w:val="000000"/>
              <w:sz w:val="27"/>
              <w:szCs w:val="27"/>
            </w:rPr>
            <w:fldChar w:fldCharType="end"/>
          </w:r>
        </w:sdtContent>
      </w:sdt>
      <w:r w:rsidR="0063679C">
        <w:rPr>
          <w:rFonts w:ascii="Times New Roman" w:eastAsia="Times New Roman" w:hAnsi="Times New Roman" w:cs="Times New Roman"/>
          <w:color w:val="000000"/>
          <w:sz w:val="27"/>
          <w:szCs w:val="27"/>
        </w:rPr>
        <w:t xml:space="preserve">. </w:t>
      </w:r>
      <w:r w:rsidR="00C20004">
        <w:rPr>
          <w:rFonts w:ascii="Times New Roman" w:eastAsia="Times New Roman" w:hAnsi="Times New Roman" w:cs="Times New Roman"/>
          <w:color w:val="000000"/>
          <w:sz w:val="27"/>
          <w:szCs w:val="27"/>
        </w:rPr>
        <w:t xml:space="preserve">Based on the overall performance analysis of the Verizon Communication, a buy </w:t>
      </w:r>
      <w:r w:rsidR="00062C13">
        <w:rPr>
          <w:rFonts w:ascii="Times New Roman" w:eastAsia="Times New Roman" w:hAnsi="Times New Roman" w:cs="Times New Roman"/>
          <w:color w:val="000000"/>
          <w:sz w:val="27"/>
          <w:szCs w:val="27"/>
        </w:rPr>
        <w:t xml:space="preserve">or hold </w:t>
      </w:r>
      <w:r w:rsidR="00C20004">
        <w:rPr>
          <w:rFonts w:ascii="Times New Roman" w:eastAsia="Times New Roman" w:hAnsi="Times New Roman" w:cs="Times New Roman"/>
          <w:color w:val="000000"/>
          <w:sz w:val="27"/>
          <w:szCs w:val="27"/>
        </w:rPr>
        <w:t>recommendation can be made with respect to the share of it</w:t>
      </w:r>
      <w:r w:rsidR="00062C13">
        <w:rPr>
          <w:rFonts w:ascii="Times New Roman" w:eastAsia="Times New Roman" w:hAnsi="Times New Roman" w:cs="Times New Roman"/>
          <w:color w:val="000000"/>
          <w:sz w:val="27"/>
          <w:szCs w:val="27"/>
        </w:rPr>
        <w:t xml:space="preserve"> for potential investors or actual investors (who has already bought the share of the company)</w:t>
      </w:r>
      <w:r w:rsidR="00C20004">
        <w:rPr>
          <w:rFonts w:ascii="Times New Roman" w:eastAsia="Times New Roman" w:hAnsi="Times New Roman" w:cs="Times New Roman"/>
          <w:color w:val="000000"/>
          <w:sz w:val="27"/>
          <w:szCs w:val="27"/>
        </w:rPr>
        <w:t xml:space="preserve">. Strong </w:t>
      </w:r>
      <w:r w:rsidR="00C20004" w:rsidRPr="006362AD">
        <w:rPr>
          <w:rFonts w:ascii="Times New Roman" w:eastAsia="Times New Roman" w:hAnsi="Times New Roman" w:cs="Times New Roman"/>
          <w:bCs/>
          <w:color w:val="000000"/>
          <w:sz w:val="27"/>
          <w:szCs w:val="27"/>
        </w:rPr>
        <w:t>financial performance results</w:t>
      </w:r>
      <w:r w:rsidR="00C20004" w:rsidRPr="0018240B">
        <w:rPr>
          <w:rFonts w:ascii="Times New Roman" w:eastAsia="Times New Roman" w:hAnsi="Times New Roman" w:cs="Times New Roman"/>
          <w:color w:val="000000"/>
          <w:sz w:val="27"/>
          <w:szCs w:val="27"/>
        </w:rPr>
        <w:t> </w:t>
      </w:r>
      <w:r w:rsidR="00C20004">
        <w:rPr>
          <w:rFonts w:ascii="Times New Roman" w:eastAsia="Times New Roman" w:hAnsi="Times New Roman" w:cs="Times New Roman"/>
          <w:color w:val="000000"/>
          <w:sz w:val="27"/>
          <w:szCs w:val="27"/>
        </w:rPr>
        <w:t xml:space="preserve">in the last year, </w:t>
      </w:r>
      <w:r w:rsidR="00776574">
        <w:rPr>
          <w:rFonts w:ascii="Times New Roman" w:eastAsia="Times New Roman" w:hAnsi="Times New Roman" w:cs="Times New Roman"/>
          <w:color w:val="000000"/>
          <w:sz w:val="27"/>
          <w:szCs w:val="27"/>
        </w:rPr>
        <w:t>persistent</w:t>
      </w:r>
      <w:r w:rsidR="00C20004">
        <w:rPr>
          <w:rFonts w:ascii="Times New Roman" w:eastAsia="Times New Roman" w:hAnsi="Times New Roman" w:cs="Times New Roman"/>
          <w:color w:val="000000"/>
          <w:sz w:val="27"/>
          <w:szCs w:val="27"/>
        </w:rPr>
        <w:t xml:space="preserve"> share price increase over the recent period, and good market image of the company in together provide a </w:t>
      </w:r>
      <w:r w:rsidR="006362AD">
        <w:rPr>
          <w:rFonts w:ascii="Times New Roman" w:eastAsia="Times New Roman" w:hAnsi="Times New Roman" w:cs="Times New Roman"/>
          <w:color w:val="000000"/>
          <w:sz w:val="27"/>
          <w:szCs w:val="27"/>
        </w:rPr>
        <w:t xml:space="preserve">solid </w:t>
      </w:r>
      <w:r w:rsidR="00C20004">
        <w:rPr>
          <w:rFonts w:ascii="Times New Roman" w:eastAsia="Times New Roman" w:hAnsi="Times New Roman" w:cs="Times New Roman"/>
          <w:color w:val="000000"/>
          <w:sz w:val="27"/>
          <w:szCs w:val="27"/>
        </w:rPr>
        <w:t xml:space="preserve">ground to make a buy recommendation for the company. </w:t>
      </w:r>
      <w:r w:rsidR="006362AD">
        <w:rPr>
          <w:rFonts w:ascii="Times New Roman" w:eastAsia="Times New Roman" w:hAnsi="Times New Roman" w:cs="Times New Roman"/>
          <w:color w:val="000000"/>
          <w:sz w:val="27"/>
          <w:szCs w:val="27"/>
        </w:rPr>
        <w:t>Verizon Communication is a company with strong fundamental base. The demand of Verizon Communication is very high in the market which makes the</w:t>
      </w:r>
      <w:r w:rsidR="00C20004">
        <w:rPr>
          <w:rFonts w:ascii="Times New Roman" w:eastAsia="Times New Roman" w:hAnsi="Times New Roman" w:cs="Times New Roman"/>
          <w:color w:val="000000"/>
          <w:sz w:val="27"/>
          <w:szCs w:val="27"/>
        </w:rPr>
        <w:t xml:space="preserve"> shares of </w:t>
      </w:r>
      <w:r w:rsidR="006362AD">
        <w:rPr>
          <w:rFonts w:ascii="Times New Roman" w:eastAsia="Times New Roman" w:hAnsi="Times New Roman" w:cs="Times New Roman"/>
          <w:color w:val="000000"/>
          <w:sz w:val="27"/>
          <w:szCs w:val="27"/>
        </w:rPr>
        <w:t>it as</w:t>
      </w:r>
      <w:r w:rsidR="00C20004">
        <w:rPr>
          <w:rFonts w:ascii="Times New Roman" w:eastAsia="Times New Roman" w:hAnsi="Times New Roman" w:cs="Times New Roman"/>
          <w:color w:val="000000"/>
          <w:sz w:val="27"/>
          <w:szCs w:val="27"/>
        </w:rPr>
        <w:t xml:space="preserve"> highly liquid. </w:t>
      </w:r>
      <w:r w:rsidR="00776574">
        <w:rPr>
          <w:rFonts w:ascii="Times New Roman" w:eastAsia="Times New Roman" w:hAnsi="Times New Roman" w:cs="Times New Roman"/>
          <w:color w:val="000000"/>
          <w:sz w:val="27"/>
          <w:szCs w:val="27"/>
        </w:rPr>
        <w:t xml:space="preserve">The investors are expected achieve high return (in the form of dividend and price appreciation) from the investment in the share of the </w:t>
      </w:r>
      <w:r w:rsidR="0056456C">
        <w:rPr>
          <w:rFonts w:ascii="Times New Roman" w:eastAsia="Times New Roman" w:hAnsi="Times New Roman" w:cs="Times New Roman"/>
          <w:color w:val="000000"/>
          <w:sz w:val="27"/>
          <w:szCs w:val="27"/>
        </w:rPr>
        <w:t>Verizon Communication</w:t>
      </w:r>
      <w:r w:rsidR="00776574">
        <w:rPr>
          <w:rFonts w:ascii="Times New Roman" w:eastAsia="Times New Roman" w:hAnsi="Times New Roman" w:cs="Times New Roman"/>
          <w:color w:val="000000"/>
          <w:sz w:val="27"/>
          <w:szCs w:val="27"/>
        </w:rPr>
        <w:t xml:space="preserve">. </w:t>
      </w:r>
    </w:p>
    <w:p w:rsidR="000269D7" w:rsidRDefault="000269D7" w:rsidP="0015769B">
      <w:pPr>
        <w:spacing w:before="100" w:beforeAutospacing="1" w:after="100" w:afterAutospacing="1" w:line="240" w:lineRule="auto"/>
        <w:jc w:val="center"/>
        <w:rPr>
          <w:rFonts w:ascii="Times New Roman" w:eastAsia="Times New Roman" w:hAnsi="Times New Roman" w:cs="Times New Roman"/>
          <w:b/>
          <w:color w:val="000000"/>
          <w:sz w:val="27"/>
          <w:szCs w:val="27"/>
        </w:rPr>
      </w:pPr>
    </w:p>
    <w:p w:rsidR="00E55709" w:rsidRPr="000269D7" w:rsidRDefault="003257C1" w:rsidP="0015769B">
      <w:pPr>
        <w:spacing w:before="100" w:beforeAutospacing="1" w:after="100" w:afterAutospacing="1" w:line="240" w:lineRule="auto"/>
        <w:jc w:val="center"/>
        <w:rPr>
          <w:rFonts w:ascii="Times New Roman" w:eastAsia="Times New Roman" w:hAnsi="Times New Roman" w:cs="Times New Roman"/>
          <w:b/>
          <w:color w:val="000000"/>
          <w:sz w:val="27"/>
          <w:szCs w:val="27"/>
          <w:u w:val="single"/>
        </w:rPr>
      </w:pPr>
      <w:r w:rsidRPr="000269D7">
        <w:rPr>
          <w:rFonts w:ascii="Times New Roman" w:eastAsia="Times New Roman" w:hAnsi="Times New Roman" w:cs="Times New Roman"/>
          <w:b/>
          <w:color w:val="000000"/>
          <w:sz w:val="27"/>
          <w:szCs w:val="27"/>
          <w:u w:val="single"/>
        </w:rPr>
        <w:lastRenderedPageBreak/>
        <w:t>Conclusion</w:t>
      </w:r>
    </w:p>
    <w:p w:rsidR="003257C1" w:rsidRPr="000269D7" w:rsidRDefault="000269D7" w:rsidP="000269D7">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257C1" w:rsidRPr="000269D7">
        <w:rPr>
          <w:rFonts w:ascii="Times New Roman" w:eastAsia="Times New Roman" w:hAnsi="Times New Roman" w:cs="Times New Roman"/>
          <w:color w:val="000000"/>
          <w:sz w:val="24"/>
          <w:szCs w:val="24"/>
        </w:rPr>
        <w:t xml:space="preserve">A green signal can be provided with respect to investment in the share of Verizon Communication due to its strong current and expected financial performance. </w:t>
      </w:r>
    </w:p>
    <w:p w:rsidR="003257C1" w:rsidRDefault="003257C1" w:rsidP="0018240B">
      <w:pPr>
        <w:spacing w:before="100" w:beforeAutospacing="1" w:after="100" w:afterAutospacing="1" w:line="240" w:lineRule="auto"/>
        <w:rPr>
          <w:rFonts w:ascii="Times New Roman" w:eastAsia="Times New Roman" w:hAnsi="Times New Roman" w:cs="Times New Roman"/>
          <w:color w:val="000000"/>
          <w:sz w:val="27"/>
          <w:szCs w:val="27"/>
        </w:rPr>
      </w:pPr>
    </w:p>
    <w:sdt>
      <w:sdtPr>
        <w:id w:val="-1839917809"/>
        <w:docPartObj>
          <w:docPartGallery w:val="Bibliographies"/>
          <w:docPartUnique/>
        </w:docPartObj>
      </w:sdtPr>
      <w:sdtEndPr>
        <w:rPr>
          <w:rFonts w:ascii="Times New Roman" w:eastAsiaTheme="minorHAnsi" w:hAnsi="Times New Roman" w:cs="Times New Roman"/>
          <w:color w:val="auto"/>
          <w:sz w:val="24"/>
          <w:szCs w:val="24"/>
        </w:rPr>
      </w:sdtEndPr>
      <w:sdtContent>
        <w:p w:rsidR="000269D7" w:rsidRPr="000269D7" w:rsidRDefault="000269D7" w:rsidP="000269D7">
          <w:pPr>
            <w:pStyle w:val="Heading1"/>
            <w:pBdr>
              <w:bottom w:val="single" w:sz="4" w:space="1" w:color="auto"/>
            </w:pBdr>
            <w:jc w:val="center"/>
            <w:rPr>
              <w:rFonts w:ascii="Times New Roman" w:hAnsi="Times New Roman" w:cs="Times New Roman"/>
              <w:b/>
              <w:sz w:val="24"/>
              <w:szCs w:val="24"/>
            </w:rPr>
          </w:pPr>
          <w:r w:rsidRPr="000269D7">
            <w:rPr>
              <w:rFonts w:ascii="Times New Roman" w:hAnsi="Times New Roman" w:cs="Times New Roman"/>
              <w:b/>
              <w:sz w:val="24"/>
              <w:szCs w:val="24"/>
            </w:rPr>
            <w:t>References</w:t>
          </w:r>
        </w:p>
        <w:p w:rsidR="000269D7" w:rsidRPr="000269D7" w:rsidRDefault="000269D7" w:rsidP="000269D7">
          <w:pPr>
            <w:rPr>
              <w:rFonts w:ascii="Times New Roman" w:hAnsi="Times New Roman" w:cs="Times New Roman"/>
              <w:sz w:val="24"/>
              <w:szCs w:val="24"/>
            </w:rPr>
          </w:pPr>
        </w:p>
        <w:sdt>
          <w:sdtPr>
            <w:rPr>
              <w:rFonts w:ascii="Times New Roman" w:hAnsi="Times New Roman" w:cs="Times New Roman"/>
              <w:sz w:val="24"/>
              <w:szCs w:val="24"/>
            </w:rPr>
            <w:id w:val="-573587230"/>
            <w:bibliography/>
          </w:sdtPr>
          <w:sdtContent>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sz w:val="24"/>
                  <w:szCs w:val="24"/>
                </w:rPr>
                <w:fldChar w:fldCharType="begin"/>
              </w:r>
              <w:r w:rsidRPr="000269D7">
                <w:rPr>
                  <w:rFonts w:ascii="Times New Roman" w:hAnsi="Times New Roman" w:cs="Times New Roman"/>
                  <w:sz w:val="24"/>
                  <w:szCs w:val="24"/>
                </w:rPr>
                <w:instrText xml:space="preserve"> BIBLIOGRAPHY </w:instrText>
              </w:r>
              <w:r w:rsidRPr="000269D7">
                <w:rPr>
                  <w:rFonts w:ascii="Times New Roman" w:hAnsi="Times New Roman" w:cs="Times New Roman"/>
                  <w:sz w:val="24"/>
                  <w:szCs w:val="24"/>
                </w:rPr>
                <w:fldChar w:fldCharType="separate"/>
              </w:r>
              <w:r w:rsidRPr="000269D7">
                <w:rPr>
                  <w:rFonts w:ascii="Times New Roman" w:hAnsi="Times New Roman" w:cs="Times New Roman"/>
                  <w:noProof/>
                  <w:sz w:val="24"/>
                  <w:szCs w:val="24"/>
                </w:rPr>
                <w:t xml:space="preserve">Chandra, P. (2014). </w:t>
              </w:r>
              <w:r w:rsidRPr="000269D7">
                <w:rPr>
                  <w:rFonts w:ascii="Times New Roman" w:hAnsi="Times New Roman" w:cs="Times New Roman"/>
                  <w:i/>
                  <w:iCs/>
                  <w:noProof/>
                  <w:sz w:val="24"/>
                  <w:szCs w:val="24"/>
                </w:rPr>
                <w:t>FInancial Management: Theory and Practice .</w:t>
              </w:r>
              <w:r w:rsidRPr="000269D7">
                <w:rPr>
                  <w:rFonts w:ascii="Times New Roman" w:hAnsi="Times New Roman" w:cs="Times New Roman"/>
                  <w:noProof/>
                  <w:sz w:val="24"/>
                  <w:szCs w:val="24"/>
                </w:rPr>
                <w:t xml:space="preserve"> New York: CFM- McGraw- Hill Professional Series in Finance.</w:t>
              </w:r>
            </w:p>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i/>
                  <w:iCs/>
                  <w:noProof/>
                  <w:sz w:val="24"/>
                  <w:szCs w:val="24"/>
                </w:rPr>
                <w:t>Google Finance</w:t>
              </w:r>
              <w:r w:rsidRPr="000269D7">
                <w:rPr>
                  <w:rFonts w:ascii="Times New Roman" w:hAnsi="Times New Roman" w:cs="Times New Roman"/>
                  <w:noProof/>
                  <w:sz w:val="24"/>
                  <w:szCs w:val="24"/>
                </w:rPr>
                <w:t>. (2016). Retrieved October 26, 2016, from Verizon Communication: https://www.google.com/finance?cid=664887</w:t>
              </w:r>
            </w:p>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i/>
                  <w:iCs/>
                  <w:noProof/>
                  <w:sz w:val="24"/>
                  <w:szCs w:val="24"/>
                </w:rPr>
                <w:t>Market Watch</w:t>
              </w:r>
              <w:r w:rsidRPr="000269D7">
                <w:rPr>
                  <w:rFonts w:ascii="Times New Roman" w:hAnsi="Times New Roman" w:cs="Times New Roman"/>
                  <w:noProof/>
                  <w:sz w:val="24"/>
                  <w:szCs w:val="24"/>
                </w:rPr>
                <w:t>. (2016). Retrieved October 26, 2016, from Verizon Communications Inc.: Share Price: http://www.marketwatch.com/investing/stock/vz</w:t>
              </w:r>
            </w:p>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i/>
                  <w:iCs/>
                  <w:noProof/>
                  <w:sz w:val="24"/>
                  <w:szCs w:val="24"/>
                </w:rPr>
                <w:t>Moody's</w:t>
              </w:r>
              <w:r w:rsidRPr="000269D7">
                <w:rPr>
                  <w:rFonts w:ascii="Times New Roman" w:hAnsi="Times New Roman" w:cs="Times New Roman"/>
                  <w:noProof/>
                  <w:sz w:val="24"/>
                  <w:szCs w:val="24"/>
                </w:rPr>
                <w:t>. (2016). Retrieved October 26, 2016, from Verizon Communications Inc: https://www.moodys.com/credit-ratings/Verizon-Communications-Inc-credit-rating-100325</w:t>
              </w:r>
            </w:p>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i/>
                  <w:iCs/>
                  <w:noProof/>
                  <w:sz w:val="24"/>
                  <w:szCs w:val="24"/>
                </w:rPr>
                <w:t>Morningstar</w:t>
              </w:r>
              <w:r w:rsidRPr="000269D7">
                <w:rPr>
                  <w:rFonts w:ascii="Times New Roman" w:hAnsi="Times New Roman" w:cs="Times New Roman"/>
                  <w:noProof/>
                  <w:sz w:val="24"/>
                  <w:szCs w:val="24"/>
                </w:rPr>
                <w:t>. (2016). Retrieved October 25, 2016, from Verizon Communications Inc (VZ): Financials: http://financials.morningstar.com/income-statement/is.html?t=VZ</w:t>
              </w:r>
            </w:p>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i/>
                  <w:iCs/>
                  <w:noProof/>
                  <w:sz w:val="24"/>
                  <w:szCs w:val="24"/>
                </w:rPr>
                <w:t>Morningstar</w:t>
              </w:r>
              <w:r w:rsidRPr="000269D7">
                <w:rPr>
                  <w:rFonts w:ascii="Times New Roman" w:hAnsi="Times New Roman" w:cs="Times New Roman"/>
                  <w:noProof/>
                  <w:sz w:val="24"/>
                  <w:szCs w:val="24"/>
                </w:rPr>
                <w:t>. (2016). Retrieved October 26, 2016, from AT&amp;T Inc: Financials: http://financials.morningstar.com/income-statement/is.html?t=T&amp;region=usa&amp;culture=en-US</w:t>
              </w:r>
            </w:p>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noProof/>
                  <w:sz w:val="24"/>
                  <w:szCs w:val="24"/>
                </w:rPr>
                <w:t xml:space="preserve">Petty, J. W., Titman, S., Keown, A. J., &amp; Martin, J. D. (2015). </w:t>
              </w:r>
              <w:r w:rsidRPr="000269D7">
                <w:rPr>
                  <w:rFonts w:ascii="Times New Roman" w:hAnsi="Times New Roman" w:cs="Times New Roman"/>
                  <w:i/>
                  <w:iCs/>
                  <w:noProof/>
                  <w:sz w:val="24"/>
                  <w:szCs w:val="24"/>
                </w:rPr>
                <w:t>Financial Management: Principle and Application.</w:t>
              </w:r>
              <w:r w:rsidRPr="000269D7">
                <w:rPr>
                  <w:rFonts w:ascii="Times New Roman" w:hAnsi="Times New Roman" w:cs="Times New Roman"/>
                  <w:noProof/>
                  <w:sz w:val="24"/>
                  <w:szCs w:val="24"/>
                </w:rPr>
                <w:t xml:space="preserve"> New York: Peason Education.</w:t>
              </w:r>
            </w:p>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i/>
                  <w:iCs/>
                  <w:noProof/>
                  <w:sz w:val="24"/>
                  <w:szCs w:val="24"/>
                </w:rPr>
                <w:t>Plunkett Research Ltd</w:t>
              </w:r>
              <w:r w:rsidRPr="000269D7">
                <w:rPr>
                  <w:rFonts w:ascii="Times New Roman" w:hAnsi="Times New Roman" w:cs="Times New Roman"/>
                  <w:noProof/>
                  <w:sz w:val="24"/>
                  <w:szCs w:val="24"/>
                </w:rPr>
                <w:t>. (2016). Retrieved October 25, 2016, from Telecommunications Industry Market Research: https://www.plunkettresearch.com/industries/telecommunications-market-research/</w:t>
              </w:r>
            </w:p>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noProof/>
                  <w:sz w:val="24"/>
                  <w:szCs w:val="24"/>
                </w:rPr>
                <w:t xml:space="preserve">Sheffer, R. (2015, January 16). </w:t>
              </w:r>
              <w:r w:rsidRPr="000269D7">
                <w:rPr>
                  <w:rFonts w:ascii="Times New Roman" w:hAnsi="Times New Roman" w:cs="Times New Roman"/>
                  <w:i/>
                  <w:iCs/>
                  <w:noProof/>
                  <w:sz w:val="24"/>
                  <w:szCs w:val="24"/>
                </w:rPr>
                <w:t>Market Realist</w:t>
              </w:r>
              <w:r w:rsidRPr="000269D7">
                <w:rPr>
                  <w:rFonts w:ascii="Times New Roman" w:hAnsi="Times New Roman" w:cs="Times New Roman"/>
                  <w:noProof/>
                  <w:sz w:val="24"/>
                  <w:szCs w:val="24"/>
                </w:rPr>
                <w:t>. Retrieved October 25, 2016, from An overview of the US telecom industry: http://marketrealist.com/2015/01/overview-us-telecom-industry/</w:t>
              </w:r>
            </w:p>
            <w:p w:rsidR="000269D7" w:rsidRPr="000269D7" w:rsidRDefault="000269D7" w:rsidP="000269D7">
              <w:pPr>
                <w:pStyle w:val="Bibliography"/>
                <w:ind w:left="720" w:hanging="720"/>
                <w:rPr>
                  <w:rFonts w:ascii="Times New Roman" w:hAnsi="Times New Roman" w:cs="Times New Roman"/>
                  <w:noProof/>
                  <w:sz w:val="24"/>
                  <w:szCs w:val="24"/>
                </w:rPr>
              </w:pPr>
              <w:r w:rsidRPr="000269D7">
                <w:rPr>
                  <w:rFonts w:ascii="Times New Roman" w:hAnsi="Times New Roman" w:cs="Times New Roman"/>
                  <w:i/>
                  <w:iCs/>
                  <w:noProof/>
                  <w:sz w:val="24"/>
                  <w:szCs w:val="24"/>
                </w:rPr>
                <w:t>Verizon Communication</w:t>
              </w:r>
              <w:r w:rsidRPr="000269D7">
                <w:rPr>
                  <w:rFonts w:ascii="Times New Roman" w:hAnsi="Times New Roman" w:cs="Times New Roman"/>
                  <w:noProof/>
                  <w:sz w:val="24"/>
                  <w:szCs w:val="24"/>
                </w:rPr>
                <w:t>. (2016). Retrieved October 27, 2016, from Our Company: https://www.verizon.com/about/</w:t>
              </w:r>
            </w:p>
            <w:p w:rsidR="00584FD0" w:rsidRPr="00C93B4F" w:rsidRDefault="000269D7" w:rsidP="00C93B4F">
              <w:pPr>
                <w:rPr>
                  <w:rFonts w:ascii="Times New Roman" w:hAnsi="Times New Roman" w:cs="Times New Roman"/>
                  <w:sz w:val="24"/>
                  <w:szCs w:val="24"/>
                </w:rPr>
              </w:pPr>
              <w:r w:rsidRPr="000269D7">
                <w:rPr>
                  <w:rFonts w:ascii="Times New Roman" w:hAnsi="Times New Roman" w:cs="Times New Roman"/>
                  <w:b/>
                  <w:bCs/>
                  <w:noProof/>
                  <w:sz w:val="24"/>
                  <w:szCs w:val="24"/>
                </w:rPr>
                <w:fldChar w:fldCharType="end"/>
              </w:r>
            </w:p>
            <w:bookmarkStart w:id="0" w:name="_GoBack" w:displacedByCustomXml="next"/>
            <w:bookmarkEnd w:id="0" w:displacedByCustomXml="next"/>
          </w:sdtContent>
        </w:sdt>
      </w:sdtContent>
    </w:sdt>
    <w:p w:rsidR="00221408" w:rsidRDefault="00221408"/>
    <w:sectPr w:rsidR="002214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9D51F4"/>
    <w:multiLevelType w:val="multilevel"/>
    <w:tmpl w:val="7D6AF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145DC3"/>
    <w:multiLevelType w:val="multilevel"/>
    <w:tmpl w:val="B3A65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B4A0254"/>
    <w:multiLevelType w:val="multilevel"/>
    <w:tmpl w:val="1D00D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8720DA1"/>
    <w:multiLevelType w:val="multilevel"/>
    <w:tmpl w:val="0958C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40B"/>
    <w:rsid w:val="000269D7"/>
    <w:rsid w:val="00045394"/>
    <w:rsid w:val="00062C13"/>
    <w:rsid w:val="0006579E"/>
    <w:rsid w:val="00074F23"/>
    <w:rsid w:val="00095784"/>
    <w:rsid w:val="001132CE"/>
    <w:rsid w:val="00134431"/>
    <w:rsid w:val="0015769B"/>
    <w:rsid w:val="0018240B"/>
    <w:rsid w:val="001E344A"/>
    <w:rsid w:val="00215CA7"/>
    <w:rsid w:val="00221408"/>
    <w:rsid w:val="0022663F"/>
    <w:rsid w:val="00251BB8"/>
    <w:rsid w:val="002E66B7"/>
    <w:rsid w:val="003257C1"/>
    <w:rsid w:val="0035717E"/>
    <w:rsid w:val="00373707"/>
    <w:rsid w:val="003820E9"/>
    <w:rsid w:val="003C381B"/>
    <w:rsid w:val="003E469C"/>
    <w:rsid w:val="003F7DCD"/>
    <w:rsid w:val="0047656B"/>
    <w:rsid w:val="004D4ABE"/>
    <w:rsid w:val="0054368D"/>
    <w:rsid w:val="0056456C"/>
    <w:rsid w:val="00584556"/>
    <w:rsid w:val="00584FD0"/>
    <w:rsid w:val="005A04E7"/>
    <w:rsid w:val="005A42C8"/>
    <w:rsid w:val="005A49DC"/>
    <w:rsid w:val="005D72F8"/>
    <w:rsid w:val="00624BB0"/>
    <w:rsid w:val="006362AD"/>
    <w:rsid w:val="0063679C"/>
    <w:rsid w:val="00690577"/>
    <w:rsid w:val="007151C2"/>
    <w:rsid w:val="00761FF6"/>
    <w:rsid w:val="00763F42"/>
    <w:rsid w:val="00776574"/>
    <w:rsid w:val="00795228"/>
    <w:rsid w:val="00796B5D"/>
    <w:rsid w:val="007F2822"/>
    <w:rsid w:val="008023D6"/>
    <w:rsid w:val="00813072"/>
    <w:rsid w:val="00926249"/>
    <w:rsid w:val="00945262"/>
    <w:rsid w:val="009A3090"/>
    <w:rsid w:val="009D5447"/>
    <w:rsid w:val="00A04141"/>
    <w:rsid w:val="00A26A52"/>
    <w:rsid w:val="00AB553F"/>
    <w:rsid w:val="00AC1712"/>
    <w:rsid w:val="00B71779"/>
    <w:rsid w:val="00C20004"/>
    <w:rsid w:val="00C5392C"/>
    <w:rsid w:val="00C93B4F"/>
    <w:rsid w:val="00CF450C"/>
    <w:rsid w:val="00D17B97"/>
    <w:rsid w:val="00D51A4E"/>
    <w:rsid w:val="00DC1065"/>
    <w:rsid w:val="00DC1C04"/>
    <w:rsid w:val="00DC28C8"/>
    <w:rsid w:val="00DD631B"/>
    <w:rsid w:val="00E27ABF"/>
    <w:rsid w:val="00E55709"/>
    <w:rsid w:val="00E96EF1"/>
    <w:rsid w:val="00F17D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2F75A4-D3A6-4B36-9B26-8A2DF764E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269D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240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8240B"/>
    <w:rPr>
      <w:b/>
      <w:bCs/>
    </w:rPr>
  </w:style>
  <w:style w:type="character" w:customStyle="1" w:styleId="apple-converted-space">
    <w:name w:val="apple-converted-space"/>
    <w:basedOn w:val="DefaultParagraphFont"/>
    <w:rsid w:val="0018240B"/>
  </w:style>
  <w:style w:type="character" w:styleId="Hyperlink">
    <w:name w:val="Hyperlink"/>
    <w:basedOn w:val="DefaultParagraphFont"/>
    <w:uiPriority w:val="99"/>
    <w:semiHidden/>
    <w:unhideWhenUsed/>
    <w:rsid w:val="0018240B"/>
    <w:rPr>
      <w:color w:val="0000FF"/>
      <w:u w:val="single"/>
    </w:rPr>
  </w:style>
  <w:style w:type="character" w:styleId="Emphasis">
    <w:name w:val="Emphasis"/>
    <w:basedOn w:val="DefaultParagraphFont"/>
    <w:uiPriority w:val="20"/>
    <w:qFormat/>
    <w:rsid w:val="0018240B"/>
    <w:rPr>
      <w:i/>
      <w:iCs/>
    </w:rPr>
  </w:style>
  <w:style w:type="character" w:customStyle="1" w:styleId="Heading1Char">
    <w:name w:val="Heading 1 Char"/>
    <w:basedOn w:val="DefaultParagraphFont"/>
    <w:link w:val="Heading1"/>
    <w:uiPriority w:val="9"/>
    <w:rsid w:val="000269D7"/>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026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90176">
      <w:bodyDiv w:val="1"/>
      <w:marLeft w:val="0"/>
      <w:marRight w:val="0"/>
      <w:marTop w:val="0"/>
      <w:marBottom w:val="0"/>
      <w:divBdr>
        <w:top w:val="none" w:sz="0" w:space="0" w:color="auto"/>
        <w:left w:val="none" w:sz="0" w:space="0" w:color="auto"/>
        <w:bottom w:val="none" w:sz="0" w:space="0" w:color="auto"/>
        <w:right w:val="none" w:sz="0" w:space="0" w:color="auto"/>
      </w:divBdr>
    </w:div>
    <w:div w:id="121120382">
      <w:bodyDiv w:val="1"/>
      <w:marLeft w:val="0"/>
      <w:marRight w:val="0"/>
      <w:marTop w:val="0"/>
      <w:marBottom w:val="0"/>
      <w:divBdr>
        <w:top w:val="none" w:sz="0" w:space="0" w:color="auto"/>
        <w:left w:val="none" w:sz="0" w:space="0" w:color="auto"/>
        <w:bottom w:val="none" w:sz="0" w:space="0" w:color="auto"/>
        <w:right w:val="none" w:sz="0" w:space="0" w:color="auto"/>
      </w:divBdr>
    </w:div>
    <w:div w:id="184683161">
      <w:bodyDiv w:val="1"/>
      <w:marLeft w:val="0"/>
      <w:marRight w:val="0"/>
      <w:marTop w:val="0"/>
      <w:marBottom w:val="0"/>
      <w:divBdr>
        <w:top w:val="none" w:sz="0" w:space="0" w:color="auto"/>
        <w:left w:val="none" w:sz="0" w:space="0" w:color="auto"/>
        <w:bottom w:val="none" w:sz="0" w:space="0" w:color="auto"/>
        <w:right w:val="none" w:sz="0" w:space="0" w:color="auto"/>
      </w:divBdr>
    </w:div>
    <w:div w:id="188684378">
      <w:bodyDiv w:val="1"/>
      <w:marLeft w:val="0"/>
      <w:marRight w:val="0"/>
      <w:marTop w:val="0"/>
      <w:marBottom w:val="0"/>
      <w:divBdr>
        <w:top w:val="none" w:sz="0" w:space="0" w:color="auto"/>
        <w:left w:val="none" w:sz="0" w:space="0" w:color="auto"/>
        <w:bottom w:val="none" w:sz="0" w:space="0" w:color="auto"/>
        <w:right w:val="none" w:sz="0" w:space="0" w:color="auto"/>
      </w:divBdr>
    </w:div>
    <w:div w:id="583614183">
      <w:bodyDiv w:val="1"/>
      <w:marLeft w:val="0"/>
      <w:marRight w:val="0"/>
      <w:marTop w:val="0"/>
      <w:marBottom w:val="0"/>
      <w:divBdr>
        <w:top w:val="none" w:sz="0" w:space="0" w:color="auto"/>
        <w:left w:val="none" w:sz="0" w:space="0" w:color="auto"/>
        <w:bottom w:val="none" w:sz="0" w:space="0" w:color="auto"/>
        <w:right w:val="none" w:sz="0" w:space="0" w:color="auto"/>
      </w:divBdr>
    </w:div>
    <w:div w:id="654604336">
      <w:bodyDiv w:val="1"/>
      <w:marLeft w:val="0"/>
      <w:marRight w:val="0"/>
      <w:marTop w:val="0"/>
      <w:marBottom w:val="0"/>
      <w:divBdr>
        <w:top w:val="none" w:sz="0" w:space="0" w:color="auto"/>
        <w:left w:val="none" w:sz="0" w:space="0" w:color="auto"/>
        <w:bottom w:val="none" w:sz="0" w:space="0" w:color="auto"/>
        <w:right w:val="none" w:sz="0" w:space="0" w:color="auto"/>
      </w:divBdr>
    </w:div>
    <w:div w:id="718364311">
      <w:bodyDiv w:val="1"/>
      <w:marLeft w:val="0"/>
      <w:marRight w:val="0"/>
      <w:marTop w:val="0"/>
      <w:marBottom w:val="0"/>
      <w:divBdr>
        <w:top w:val="none" w:sz="0" w:space="0" w:color="auto"/>
        <w:left w:val="none" w:sz="0" w:space="0" w:color="auto"/>
        <w:bottom w:val="none" w:sz="0" w:space="0" w:color="auto"/>
        <w:right w:val="none" w:sz="0" w:space="0" w:color="auto"/>
      </w:divBdr>
    </w:div>
    <w:div w:id="781076269">
      <w:bodyDiv w:val="1"/>
      <w:marLeft w:val="0"/>
      <w:marRight w:val="0"/>
      <w:marTop w:val="0"/>
      <w:marBottom w:val="0"/>
      <w:divBdr>
        <w:top w:val="none" w:sz="0" w:space="0" w:color="auto"/>
        <w:left w:val="none" w:sz="0" w:space="0" w:color="auto"/>
        <w:bottom w:val="none" w:sz="0" w:space="0" w:color="auto"/>
        <w:right w:val="none" w:sz="0" w:space="0" w:color="auto"/>
      </w:divBdr>
    </w:div>
    <w:div w:id="984815096">
      <w:bodyDiv w:val="1"/>
      <w:marLeft w:val="0"/>
      <w:marRight w:val="0"/>
      <w:marTop w:val="0"/>
      <w:marBottom w:val="0"/>
      <w:divBdr>
        <w:top w:val="none" w:sz="0" w:space="0" w:color="auto"/>
        <w:left w:val="none" w:sz="0" w:space="0" w:color="auto"/>
        <w:bottom w:val="none" w:sz="0" w:space="0" w:color="auto"/>
        <w:right w:val="none" w:sz="0" w:space="0" w:color="auto"/>
      </w:divBdr>
    </w:div>
    <w:div w:id="1070929637">
      <w:bodyDiv w:val="1"/>
      <w:marLeft w:val="0"/>
      <w:marRight w:val="0"/>
      <w:marTop w:val="0"/>
      <w:marBottom w:val="0"/>
      <w:divBdr>
        <w:top w:val="none" w:sz="0" w:space="0" w:color="auto"/>
        <w:left w:val="none" w:sz="0" w:space="0" w:color="auto"/>
        <w:bottom w:val="none" w:sz="0" w:space="0" w:color="auto"/>
        <w:right w:val="none" w:sz="0" w:space="0" w:color="auto"/>
      </w:divBdr>
    </w:div>
    <w:div w:id="1270502729">
      <w:bodyDiv w:val="1"/>
      <w:marLeft w:val="0"/>
      <w:marRight w:val="0"/>
      <w:marTop w:val="0"/>
      <w:marBottom w:val="0"/>
      <w:divBdr>
        <w:top w:val="none" w:sz="0" w:space="0" w:color="auto"/>
        <w:left w:val="none" w:sz="0" w:space="0" w:color="auto"/>
        <w:bottom w:val="none" w:sz="0" w:space="0" w:color="auto"/>
        <w:right w:val="none" w:sz="0" w:space="0" w:color="auto"/>
      </w:divBdr>
    </w:div>
    <w:div w:id="1389494623">
      <w:bodyDiv w:val="1"/>
      <w:marLeft w:val="0"/>
      <w:marRight w:val="0"/>
      <w:marTop w:val="0"/>
      <w:marBottom w:val="0"/>
      <w:divBdr>
        <w:top w:val="none" w:sz="0" w:space="0" w:color="auto"/>
        <w:left w:val="none" w:sz="0" w:space="0" w:color="auto"/>
        <w:bottom w:val="none" w:sz="0" w:space="0" w:color="auto"/>
        <w:right w:val="none" w:sz="0" w:space="0" w:color="auto"/>
      </w:divBdr>
    </w:div>
    <w:div w:id="1537690733">
      <w:bodyDiv w:val="1"/>
      <w:marLeft w:val="0"/>
      <w:marRight w:val="0"/>
      <w:marTop w:val="0"/>
      <w:marBottom w:val="0"/>
      <w:divBdr>
        <w:top w:val="none" w:sz="0" w:space="0" w:color="auto"/>
        <w:left w:val="none" w:sz="0" w:space="0" w:color="auto"/>
        <w:bottom w:val="none" w:sz="0" w:space="0" w:color="auto"/>
        <w:right w:val="none" w:sz="0" w:space="0" w:color="auto"/>
      </w:divBdr>
    </w:div>
    <w:div w:id="1547640060">
      <w:bodyDiv w:val="1"/>
      <w:marLeft w:val="0"/>
      <w:marRight w:val="0"/>
      <w:marTop w:val="0"/>
      <w:marBottom w:val="0"/>
      <w:divBdr>
        <w:top w:val="none" w:sz="0" w:space="0" w:color="auto"/>
        <w:left w:val="none" w:sz="0" w:space="0" w:color="auto"/>
        <w:bottom w:val="none" w:sz="0" w:space="0" w:color="auto"/>
        <w:right w:val="none" w:sz="0" w:space="0" w:color="auto"/>
      </w:divBdr>
    </w:div>
    <w:div w:id="1585451965">
      <w:bodyDiv w:val="1"/>
      <w:marLeft w:val="0"/>
      <w:marRight w:val="0"/>
      <w:marTop w:val="0"/>
      <w:marBottom w:val="0"/>
      <w:divBdr>
        <w:top w:val="none" w:sz="0" w:space="0" w:color="auto"/>
        <w:left w:val="none" w:sz="0" w:space="0" w:color="auto"/>
        <w:bottom w:val="none" w:sz="0" w:space="0" w:color="auto"/>
        <w:right w:val="none" w:sz="0" w:space="0" w:color="auto"/>
      </w:divBdr>
    </w:div>
    <w:div w:id="1637024639">
      <w:bodyDiv w:val="1"/>
      <w:marLeft w:val="0"/>
      <w:marRight w:val="0"/>
      <w:marTop w:val="0"/>
      <w:marBottom w:val="0"/>
      <w:divBdr>
        <w:top w:val="none" w:sz="0" w:space="0" w:color="auto"/>
        <w:left w:val="none" w:sz="0" w:space="0" w:color="auto"/>
        <w:bottom w:val="none" w:sz="0" w:space="0" w:color="auto"/>
        <w:right w:val="none" w:sz="0" w:space="0" w:color="auto"/>
      </w:divBdr>
    </w:div>
    <w:div w:id="1690334778">
      <w:bodyDiv w:val="1"/>
      <w:marLeft w:val="0"/>
      <w:marRight w:val="0"/>
      <w:marTop w:val="0"/>
      <w:marBottom w:val="0"/>
      <w:divBdr>
        <w:top w:val="none" w:sz="0" w:space="0" w:color="auto"/>
        <w:left w:val="none" w:sz="0" w:space="0" w:color="auto"/>
        <w:bottom w:val="none" w:sz="0" w:space="0" w:color="auto"/>
        <w:right w:val="none" w:sz="0" w:space="0" w:color="auto"/>
      </w:divBdr>
    </w:div>
    <w:div w:id="1752921231">
      <w:bodyDiv w:val="1"/>
      <w:marLeft w:val="0"/>
      <w:marRight w:val="0"/>
      <w:marTop w:val="0"/>
      <w:marBottom w:val="0"/>
      <w:divBdr>
        <w:top w:val="none" w:sz="0" w:space="0" w:color="auto"/>
        <w:left w:val="none" w:sz="0" w:space="0" w:color="auto"/>
        <w:bottom w:val="none" w:sz="0" w:space="0" w:color="auto"/>
        <w:right w:val="none" w:sz="0" w:space="0" w:color="auto"/>
      </w:divBdr>
    </w:div>
    <w:div w:id="1869708973">
      <w:bodyDiv w:val="1"/>
      <w:marLeft w:val="0"/>
      <w:marRight w:val="0"/>
      <w:marTop w:val="0"/>
      <w:marBottom w:val="0"/>
      <w:divBdr>
        <w:top w:val="none" w:sz="0" w:space="0" w:color="auto"/>
        <w:left w:val="none" w:sz="0" w:space="0" w:color="auto"/>
        <w:bottom w:val="none" w:sz="0" w:space="0" w:color="auto"/>
        <w:right w:val="none" w:sz="0" w:space="0" w:color="auto"/>
      </w:divBdr>
    </w:div>
    <w:div w:id="1883133189">
      <w:bodyDiv w:val="1"/>
      <w:marLeft w:val="0"/>
      <w:marRight w:val="0"/>
      <w:marTop w:val="0"/>
      <w:marBottom w:val="0"/>
      <w:divBdr>
        <w:top w:val="none" w:sz="0" w:space="0" w:color="auto"/>
        <w:left w:val="none" w:sz="0" w:space="0" w:color="auto"/>
        <w:bottom w:val="none" w:sz="0" w:space="0" w:color="auto"/>
        <w:right w:val="none" w:sz="0" w:space="0" w:color="auto"/>
      </w:divBdr>
    </w:div>
    <w:div w:id="1995985320">
      <w:bodyDiv w:val="1"/>
      <w:marLeft w:val="0"/>
      <w:marRight w:val="0"/>
      <w:marTop w:val="0"/>
      <w:marBottom w:val="0"/>
      <w:divBdr>
        <w:top w:val="none" w:sz="0" w:space="0" w:color="auto"/>
        <w:left w:val="none" w:sz="0" w:space="0" w:color="auto"/>
        <w:bottom w:val="none" w:sz="0" w:space="0" w:color="auto"/>
        <w:right w:val="none" w:sz="0" w:space="0" w:color="auto"/>
      </w:divBdr>
    </w:div>
    <w:div w:id="2004893178">
      <w:bodyDiv w:val="1"/>
      <w:marLeft w:val="0"/>
      <w:marRight w:val="0"/>
      <w:marTop w:val="0"/>
      <w:marBottom w:val="0"/>
      <w:divBdr>
        <w:top w:val="none" w:sz="0" w:space="0" w:color="auto"/>
        <w:left w:val="none" w:sz="0" w:space="0" w:color="auto"/>
        <w:bottom w:val="none" w:sz="0" w:space="0" w:color="auto"/>
        <w:right w:val="none" w:sz="0" w:space="0" w:color="auto"/>
      </w:divBdr>
    </w:div>
    <w:div w:id="2049793291">
      <w:bodyDiv w:val="1"/>
      <w:marLeft w:val="0"/>
      <w:marRight w:val="0"/>
      <w:marTop w:val="0"/>
      <w:marBottom w:val="0"/>
      <w:divBdr>
        <w:top w:val="none" w:sz="0" w:space="0" w:color="auto"/>
        <w:left w:val="none" w:sz="0" w:space="0" w:color="auto"/>
        <w:bottom w:val="none" w:sz="0" w:space="0" w:color="auto"/>
        <w:right w:val="none" w:sz="0" w:space="0" w:color="auto"/>
      </w:divBdr>
    </w:div>
    <w:div w:id="2101677758">
      <w:bodyDiv w:val="1"/>
      <w:marLeft w:val="0"/>
      <w:marRight w:val="0"/>
      <w:marTop w:val="0"/>
      <w:marBottom w:val="0"/>
      <w:divBdr>
        <w:top w:val="none" w:sz="0" w:space="0" w:color="auto"/>
        <w:left w:val="none" w:sz="0" w:space="0" w:color="auto"/>
        <w:bottom w:val="none" w:sz="0" w:space="0" w:color="auto"/>
        <w:right w:val="none" w:sz="0" w:space="0" w:color="auto"/>
      </w:divBdr>
    </w:div>
    <w:div w:id="2125492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openxmlformats.org/officeDocument/2006/relationships/styles" Target="styles.xml"/><Relationship Id="rId7" Type="http://schemas.openxmlformats.org/officeDocument/2006/relationships/chart" Target="charts/chart2.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1" Type="http://schemas.openxmlformats.org/officeDocument/2006/relationships/oleObject" Target="file:///C:\Users\ASUS\Desktop\NN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Revenue, Operating Income, and Net Income of Verizon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col"/>
        <c:grouping val="clustered"/>
        <c:varyColors val="0"/>
        <c:ser>
          <c:idx val="1"/>
          <c:order val="1"/>
          <c:tx>
            <c:strRef>
              <c:f>[NNN.xlsx]Sheet1!$C$4</c:f>
              <c:strCache>
                <c:ptCount val="1"/>
                <c:pt idx="0">
                  <c:v>Operating Income (USD in Million)</c:v>
                </c:pt>
              </c:strCache>
            </c:strRef>
          </c:tx>
          <c:spPr>
            <a:solidFill>
              <a:schemeClr val="accent2"/>
            </a:solidFill>
            <a:ln>
              <a:noFill/>
            </a:ln>
            <a:effectLst/>
          </c:spPr>
          <c:invertIfNegative val="0"/>
          <c:cat>
            <c:numRef>
              <c:f>[NNN.xlsx]Sheet1!$D$2:$F$2</c:f>
              <c:numCache>
                <c:formatCode>General</c:formatCode>
                <c:ptCount val="3"/>
                <c:pt idx="0">
                  <c:v>2013</c:v>
                </c:pt>
                <c:pt idx="1">
                  <c:v>2014</c:v>
                </c:pt>
                <c:pt idx="2">
                  <c:v>2015</c:v>
                </c:pt>
              </c:numCache>
            </c:numRef>
          </c:cat>
          <c:val>
            <c:numRef>
              <c:f>[NNN.xlsx]Sheet1!$D$4:$F$4</c:f>
              <c:numCache>
                <c:formatCode>#,##0</c:formatCode>
                <c:ptCount val="3"/>
                <c:pt idx="0">
                  <c:v>31968</c:v>
                </c:pt>
                <c:pt idx="1">
                  <c:v>19599</c:v>
                </c:pt>
                <c:pt idx="2">
                  <c:v>33060</c:v>
                </c:pt>
              </c:numCache>
            </c:numRef>
          </c:val>
        </c:ser>
        <c:ser>
          <c:idx val="2"/>
          <c:order val="2"/>
          <c:tx>
            <c:strRef>
              <c:f>[NNN.xlsx]Sheet1!$C$5</c:f>
              <c:strCache>
                <c:ptCount val="1"/>
                <c:pt idx="0">
                  <c:v>Net Income (USD in Million)</c:v>
                </c:pt>
              </c:strCache>
            </c:strRef>
          </c:tx>
          <c:spPr>
            <a:solidFill>
              <a:schemeClr val="accent3"/>
            </a:solidFill>
            <a:ln>
              <a:noFill/>
            </a:ln>
            <a:effectLst/>
          </c:spPr>
          <c:invertIfNegative val="0"/>
          <c:cat>
            <c:numRef>
              <c:f>[NNN.xlsx]Sheet1!$D$2:$F$2</c:f>
              <c:numCache>
                <c:formatCode>General</c:formatCode>
                <c:ptCount val="3"/>
                <c:pt idx="0">
                  <c:v>2013</c:v>
                </c:pt>
                <c:pt idx="1">
                  <c:v>2014</c:v>
                </c:pt>
                <c:pt idx="2">
                  <c:v>2015</c:v>
                </c:pt>
              </c:numCache>
            </c:numRef>
          </c:cat>
          <c:val>
            <c:numRef>
              <c:f>[NNN.xlsx]Sheet1!$D$5:$F$5</c:f>
              <c:numCache>
                <c:formatCode>#,##0</c:formatCode>
                <c:ptCount val="3"/>
                <c:pt idx="0">
                  <c:v>11497</c:v>
                </c:pt>
                <c:pt idx="1">
                  <c:v>9625</c:v>
                </c:pt>
                <c:pt idx="2">
                  <c:v>17879</c:v>
                </c:pt>
              </c:numCache>
            </c:numRef>
          </c:val>
        </c:ser>
        <c:dLbls>
          <c:showLegendKey val="0"/>
          <c:showVal val="0"/>
          <c:showCatName val="0"/>
          <c:showSerName val="0"/>
          <c:showPercent val="0"/>
          <c:showBubbleSize val="0"/>
        </c:dLbls>
        <c:gapWidth val="150"/>
        <c:axId val="1464673040"/>
        <c:axId val="1464673584"/>
      </c:barChart>
      <c:lineChart>
        <c:grouping val="standard"/>
        <c:varyColors val="0"/>
        <c:ser>
          <c:idx val="0"/>
          <c:order val="0"/>
          <c:tx>
            <c:strRef>
              <c:f>[NNN.xlsx]Sheet1!$C$3</c:f>
              <c:strCache>
                <c:ptCount val="1"/>
                <c:pt idx="0">
                  <c:v>Revenue (USD in Million)</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[NNN.xlsx]Sheet1!$D$2:$F$2</c:f>
              <c:numCache>
                <c:formatCode>General</c:formatCode>
                <c:ptCount val="3"/>
                <c:pt idx="0">
                  <c:v>2013</c:v>
                </c:pt>
                <c:pt idx="1">
                  <c:v>2014</c:v>
                </c:pt>
                <c:pt idx="2">
                  <c:v>2015</c:v>
                </c:pt>
              </c:numCache>
            </c:numRef>
          </c:cat>
          <c:val>
            <c:numRef>
              <c:f>[NNN.xlsx]Sheet1!$D$3:$F$3</c:f>
              <c:numCache>
                <c:formatCode>#,##0</c:formatCode>
                <c:ptCount val="3"/>
                <c:pt idx="0">
                  <c:v>120550</c:v>
                </c:pt>
                <c:pt idx="1">
                  <c:v>127079</c:v>
                </c:pt>
                <c:pt idx="2">
                  <c:v>131620</c:v>
                </c:pt>
              </c:numCache>
            </c:numRef>
          </c:val>
          <c:smooth val="0"/>
        </c:ser>
        <c:dLbls>
          <c:showLegendKey val="0"/>
          <c:showVal val="0"/>
          <c:showCatName val="0"/>
          <c:showSerName val="0"/>
          <c:showPercent val="0"/>
          <c:showBubbleSize val="0"/>
        </c:dLbls>
        <c:marker val="1"/>
        <c:smooth val="0"/>
        <c:axId val="1464665424"/>
        <c:axId val="1464661072"/>
      </c:lineChart>
      <c:catAx>
        <c:axId val="1464673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464673584"/>
        <c:crosses val="autoZero"/>
        <c:auto val="1"/>
        <c:lblAlgn val="ctr"/>
        <c:lblOffset val="100"/>
        <c:noMultiLvlLbl val="0"/>
      </c:catAx>
      <c:valAx>
        <c:axId val="146467358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464673040"/>
        <c:crosses val="autoZero"/>
        <c:crossBetween val="between"/>
      </c:valAx>
      <c:valAx>
        <c:axId val="1464661072"/>
        <c:scaling>
          <c:orientation val="minMax"/>
        </c:scaling>
        <c:delete val="0"/>
        <c:axPos val="r"/>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464665424"/>
        <c:crosses val="max"/>
        <c:crossBetween val="between"/>
      </c:valAx>
      <c:catAx>
        <c:axId val="1464665424"/>
        <c:scaling>
          <c:orientation val="minMax"/>
        </c:scaling>
        <c:delete val="1"/>
        <c:axPos val="b"/>
        <c:numFmt formatCode="General" sourceLinked="1"/>
        <c:majorTickMark val="out"/>
        <c:minorTickMark val="none"/>
        <c:tickLblPos val="nextTo"/>
        <c:crossAx val="1464661072"/>
        <c:crosses val="autoZero"/>
        <c:auto val="1"/>
        <c:lblAlgn val="ctr"/>
        <c:lblOffset val="100"/>
        <c:noMultiLvlLbl val="0"/>
      </c:cat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Total Assets and Total Equity of Verizon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col"/>
        <c:grouping val="clustered"/>
        <c:varyColors val="0"/>
        <c:ser>
          <c:idx val="0"/>
          <c:order val="0"/>
          <c:tx>
            <c:strRef>
              <c:f>[NNN.xlsx]Sheet1!$C$7</c:f>
              <c:strCache>
                <c:ptCount val="1"/>
                <c:pt idx="0">
                  <c:v>Total Assets (USD in Million)</c:v>
                </c:pt>
              </c:strCache>
            </c:strRef>
          </c:tx>
          <c:spPr>
            <a:solidFill>
              <a:schemeClr val="accent1"/>
            </a:solidFill>
            <a:ln>
              <a:noFill/>
            </a:ln>
            <a:effectLst/>
          </c:spPr>
          <c:invertIfNegative val="0"/>
          <c:cat>
            <c:numRef>
              <c:f>[NNN.xlsx]Sheet1!$D$2:$F$2</c:f>
              <c:numCache>
                <c:formatCode>General</c:formatCode>
                <c:ptCount val="3"/>
                <c:pt idx="0">
                  <c:v>2013</c:v>
                </c:pt>
                <c:pt idx="1">
                  <c:v>2014</c:v>
                </c:pt>
                <c:pt idx="2">
                  <c:v>2015</c:v>
                </c:pt>
              </c:numCache>
            </c:numRef>
          </c:cat>
          <c:val>
            <c:numRef>
              <c:f>[NNN.xlsx]Sheet1!$D$7:$F$7</c:f>
              <c:numCache>
                <c:formatCode>#,##0</c:formatCode>
                <c:ptCount val="3"/>
                <c:pt idx="0">
                  <c:v>225222</c:v>
                </c:pt>
                <c:pt idx="1">
                  <c:v>274098</c:v>
                </c:pt>
                <c:pt idx="2">
                  <c:v>282708</c:v>
                </c:pt>
              </c:numCache>
            </c:numRef>
          </c:val>
        </c:ser>
        <c:ser>
          <c:idx val="1"/>
          <c:order val="1"/>
          <c:tx>
            <c:strRef>
              <c:f>[NNN.xlsx]Sheet1!$C$8</c:f>
              <c:strCache>
                <c:ptCount val="1"/>
                <c:pt idx="0">
                  <c:v>Total Equity (USD in Million)</c:v>
                </c:pt>
              </c:strCache>
            </c:strRef>
          </c:tx>
          <c:spPr>
            <a:solidFill>
              <a:schemeClr val="accent2"/>
            </a:solidFill>
            <a:ln>
              <a:noFill/>
            </a:ln>
            <a:effectLst/>
          </c:spPr>
          <c:invertIfNegative val="0"/>
          <c:cat>
            <c:numRef>
              <c:f>[NNN.xlsx]Sheet1!$D$2:$F$2</c:f>
              <c:numCache>
                <c:formatCode>General</c:formatCode>
                <c:ptCount val="3"/>
                <c:pt idx="0">
                  <c:v>2013</c:v>
                </c:pt>
                <c:pt idx="1">
                  <c:v>2014</c:v>
                </c:pt>
                <c:pt idx="2">
                  <c:v>2015</c:v>
                </c:pt>
              </c:numCache>
            </c:numRef>
          </c:cat>
          <c:val>
            <c:numRef>
              <c:f>[NNN.xlsx]Sheet1!$D$8:$F$8</c:f>
              <c:numCache>
                <c:formatCode>#,##0</c:formatCode>
                <c:ptCount val="3"/>
                <c:pt idx="0">
                  <c:v>33157</c:v>
                </c:pt>
                <c:pt idx="1">
                  <c:v>38836</c:v>
                </c:pt>
                <c:pt idx="2">
                  <c:v>12298</c:v>
                </c:pt>
              </c:numCache>
            </c:numRef>
          </c:val>
        </c:ser>
        <c:dLbls>
          <c:showLegendKey val="0"/>
          <c:showVal val="0"/>
          <c:showCatName val="0"/>
          <c:showSerName val="0"/>
          <c:showPercent val="0"/>
          <c:showBubbleSize val="0"/>
        </c:dLbls>
        <c:gapWidth val="150"/>
        <c:axId val="1464663792"/>
        <c:axId val="1531006064"/>
      </c:barChart>
      <c:catAx>
        <c:axId val="14646637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531006064"/>
        <c:crosses val="autoZero"/>
        <c:auto val="1"/>
        <c:lblAlgn val="ctr"/>
        <c:lblOffset val="100"/>
        <c:noMultiLvlLbl val="0"/>
      </c:catAx>
      <c:valAx>
        <c:axId val="153100606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46466379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Cash Flow From Operation of Verizon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bar"/>
        <c:grouping val="clustered"/>
        <c:varyColors val="0"/>
        <c:ser>
          <c:idx val="0"/>
          <c:order val="0"/>
          <c:tx>
            <c:strRef>
              <c:f>[NNN.xlsx]Sheet1!$C$10</c:f>
              <c:strCache>
                <c:ptCount val="1"/>
                <c:pt idx="0">
                  <c:v>Cash Flow From Operation (USD in Million)</c:v>
                </c:pt>
              </c:strCache>
            </c:strRef>
          </c:tx>
          <c:spPr>
            <a:solidFill>
              <a:schemeClr val="accent1"/>
            </a:solidFill>
            <a:ln>
              <a:noFill/>
            </a:ln>
            <a:effectLst/>
          </c:spPr>
          <c:invertIfNegative val="0"/>
          <c:cat>
            <c:numRef>
              <c:f>[NNN.xlsx]Sheet1!$D$2:$F$2</c:f>
              <c:numCache>
                <c:formatCode>General</c:formatCode>
                <c:ptCount val="3"/>
                <c:pt idx="0">
                  <c:v>2013</c:v>
                </c:pt>
                <c:pt idx="1">
                  <c:v>2014</c:v>
                </c:pt>
                <c:pt idx="2">
                  <c:v>2015</c:v>
                </c:pt>
              </c:numCache>
            </c:numRef>
          </c:cat>
          <c:val>
            <c:numRef>
              <c:f>[NNN.xlsx]Sheet1!$D$10:$F$10</c:f>
              <c:numCache>
                <c:formatCode>#,##0</c:formatCode>
                <c:ptCount val="3"/>
                <c:pt idx="0">
                  <c:v>38818</c:v>
                </c:pt>
                <c:pt idx="1">
                  <c:v>30631</c:v>
                </c:pt>
                <c:pt idx="2">
                  <c:v>38930</c:v>
                </c:pt>
              </c:numCache>
            </c:numRef>
          </c:val>
        </c:ser>
        <c:dLbls>
          <c:showLegendKey val="0"/>
          <c:showVal val="0"/>
          <c:showCatName val="0"/>
          <c:showSerName val="0"/>
          <c:showPercent val="0"/>
          <c:showBubbleSize val="0"/>
        </c:dLbls>
        <c:gapWidth val="150"/>
        <c:axId val="1531007696"/>
        <c:axId val="1531008784"/>
      </c:barChart>
      <c:catAx>
        <c:axId val="153100769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531008784"/>
        <c:crosses val="autoZero"/>
        <c:auto val="1"/>
        <c:lblAlgn val="ctr"/>
        <c:lblOffset val="100"/>
        <c:noMultiLvlLbl val="0"/>
      </c:catAx>
      <c:valAx>
        <c:axId val="1531008784"/>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53100769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Du-Pont Analysis of Verizon and AT&amp;T for 2015</a:t>
            </a:r>
          </a:p>
        </c:rich>
      </c:tx>
      <c:overlay val="0"/>
    </c:title>
    <c:autoTitleDeleted val="0"/>
    <c:plotArea>
      <c:layout/>
      <c:barChart>
        <c:barDir val="bar"/>
        <c:grouping val="clustered"/>
        <c:varyColors val="0"/>
        <c:ser>
          <c:idx val="0"/>
          <c:order val="0"/>
          <c:tx>
            <c:strRef>
              <c:f>Sheet3!$A$6</c:f>
              <c:strCache>
                <c:ptCount val="1"/>
                <c:pt idx="0">
                  <c:v>AT&amp;T</c:v>
                </c:pt>
              </c:strCache>
            </c:strRef>
          </c:tx>
          <c:invertIfNegative val="0"/>
          <c:cat>
            <c:strRef>
              <c:f>Sheet3!$C$3:$E$3</c:f>
              <c:strCache>
                <c:ptCount val="3"/>
                <c:pt idx="0">
                  <c:v>Profit Margin</c:v>
                </c:pt>
                <c:pt idx="1">
                  <c:v>Total Assets Turnover</c:v>
                </c:pt>
                <c:pt idx="2">
                  <c:v>Equity Multiplier</c:v>
                </c:pt>
              </c:strCache>
            </c:strRef>
          </c:cat>
          <c:val>
            <c:numRef>
              <c:f>Sheet3!$C$6:$E$6</c:f>
              <c:numCache>
                <c:formatCode>0.0000</c:formatCode>
                <c:ptCount val="3"/>
                <c:pt idx="0" formatCode="0.00%">
                  <c:v>9.0905375303982947E-2</c:v>
                </c:pt>
                <c:pt idx="1">
                  <c:v>0.50131988293509178</c:v>
                </c:pt>
                <c:pt idx="2">
                  <c:v>3.3904017598703255</c:v>
                </c:pt>
              </c:numCache>
            </c:numRef>
          </c:val>
        </c:ser>
        <c:ser>
          <c:idx val="1"/>
          <c:order val="1"/>
          <c:tx>
            <c:strRef>
              <c:f>Sheet3!$A$5</c:f>
              <c:strCache>
                <c:ptCount val="1"/>
                <c:pt idx="0">
                  <c:v>Verizon</c:v>
                </c:pt>
              </c:strCache>
            </c:strRef>
          </c:tx>
          <c:invertIfNegative val="0"/>
          <c:cat>
            <c:strRef>
              <c:f>Sheet3!$C$3:$E$3</c:f>
              <c:strCache>
                <c:ptCount val="3"/>
                <c:pt idx="0">
                  <c:v>Profit Margin</c:v>
                </c:pt>
                <c:pt idx="1">
                  <c:v>Total Assets Turnover</c:v>
                </c:pt>
                <c:pt idx="2">
                  <c:v>Equity Multiplier</c:v>
                </c:pt>
              </c:strCache>
            </c:strRef>
          </c:cat>
          <c:val>
            <c:numRef>
              <c:f>Sheet3!$C$5:$E$5</c:f>
              <c:numCache>
                <c:formatCode>0.0000</c:formatCode>
                <c:ptCount val="3"/>
                <c:pt idx="0" formatCode="0.00%">
                  <c:v>0.13583801853821609</c:v>
                </c:pt>
                <c:pt idx="1">
                  <c:v>0.46556871400880062</c:v>
                </c:pt>
                <c:pt idx="2">
                  <c:v>22.988128150918847</c:v>
                </c:pt>
              </c:numCache>
            </c:numRef>
          </c:val>
        </c:ser>
        <c:dLbls>
          <c:showLegendKey val="0"/>
          <c:showVal val="0"/>
          <c:showCatName val="0"/>
          <c:showSerName val="0"/>
          <c:showPercent val="0"/>
          <c:showBubbleSize val="0"/>
        </c:dLbls>
        <c:gapWidth val="95"/>
        <c:axId val="1531009872"/>
        <c:axId val="1531010416"/>
      </c:barChart>
      <c:catAx>
        <c:axId val="1531009872"/>
        <c:scaling>
          <c:orientation val="minMax"/>
        </c:scaling>
        <c:delete val="0"/>
        <c:axPos val="l"/>
        <c:numFmt formatCode="General" sourceLinked="1"/>
        <c:majorTickMark val="none"/>
        <c:minorTickMark val="none"/>
        <c:tickLblPos val="nextTo"/>
        <c:crossAx val="1531010416"/>
        <c:crosses val="autoZero"/>
        <c:auto val="1"/>
        <c:lblAlgn val="ctr"/>
        <c:lblOffset val="100"/>
        <c:noMultiLvlLbl val="0"/>
      </c:catAx>
      <c:valAx>
        <c:axId val="1531010416"/>
        <c:scaling>
          <c:orientation val="minMax"/>
        </c:scaling>
        <c:delete val="0"/>
        <c:axPos val="b"/>
        <c:majorGridlines/>
        <c:numFmt formatCode="0.00%" sourceLinked="1"/>
        <c:majorTickMark val="none"/>
        <c:minorTickMark val="none"/>
        <c:tickLblPos val="nextTo"/>
        <c:crossAx val="1531009872"/>
        <c:crosses val="autoZero"/>
        <c:crossBetween val="between"/>
      </c:valAx>
      <c:dTable>
        <c:showHorzBorder val="1"/>
        <c:showVertBorder val="1"/>
        <c:showOutline val="1"/>
        <c:showKeys val="1"/>
      </c:dTable>
    </c:plotArea>
    <c:plotVisOnly val="1"/>
    <c:dispBlanksAs val="gap"/>
    <c:showDLblsOverMax val="0"/>
  </c:chart>
  <c:txPr>
    <a:bodyPr/>
    <a:lstStyle/>
    <a:p>
      <a:pPr>
        <a:defRPr sz="80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Ver16</b:Tag>
    <b:SourceType>InternetSite</b:SourceType>
    <b:Guid>{1E5C2287-DB72-480C-9761-3EC61E44F661}</b:Guid>
    <b:Title>Verizon Communication</b:Title>
    <b:Year>2016</b:Year>
    <b:InternetSiteTitle>Our Company</b:InternetSiteTitle>
    <b:URL>https://www.verizon.com/about/</b:URL>
    <b:YearAccessed>2016</b:YearAccessed>
    <b:MonthAccessed>October</b:MonthAccessed>
    <b:DayAccessed>27</b:DayAccessed>
    <b:RefOrder>8</b:RefOrder>
  </b:Source>
  <b:Source>
    <b:Tag>Plu16</b:Tag>
    <b:SourceType>InternetSite</b:SourceType>
    <b:Guid>{AEB41A7E-E3CD-487B-9739-B463DD43EC90}</b:Guid>
    <b:Title>Plunkett Research Ltd</b:Title>
    <b:InternetSiteTitle>Telecommunications Industry Market Research</b:InternetSiteTitle>
    <b:Year>2016</b:Year>
    <b:URL>https://www.plunkettresearch.com/industries/telecommunications-market-research/</b:URL>
    <b:YearAccessed>2016</b:YearAccessed>
    <b:MonthAccessed>October</b:MonthAccessed>
    <b:DayAccessed>25</b:DayAccessed>
    <b:RefOrder>2</b:RefOrder>
  </b:Source>
  <b:Source>
    <b:Tag>She15</b:Tag>
    <b:SourceType>InternetSite</b:SourceType>
    <b:Guid>{EC66870A-F4A5-4B1F-8BB1-5BE1FB1455DF}</b:Guid>
    <b:Author>
      <b:Author>
        <b:NameList>
          <b:Person>
            <b:Last>Sheffer</b:Last>
            <b:First>Ray</b:First>
          </b:Person>
        </b:NameList>
      </b:Author>
    </b:Author>
    <b:Title>Market Realist</b:Title>
    <b:InternetSiteTitle>An overview of the US telecom industry</b:InternetSiteTitle>
    <b:Year>2015</b:Year>
    <b:Month>January</b:Month>
    <b:Day>16</b:Day>
    <b:URL>http://marketrealist.com/2015/01/overview-us-telecom-industry/</b:URL>
    <b:YearAccessed>2016</b:YearAccessed>
    <b:MonthAccessed>October</b:MonthAccessed>
    <b:DayAccessed>25</b:DayAccessed>
    <b:RefOrder>1</b:RefOrder>
  </b:Source>
  <b:Source>
    <b:Tag>Mor1618</b:Tag>
    <b:SourceType>InternetSite</b:SourceType>
    <b:Guid>{1D1BEA3D-E80F-436A-A649-5FCEDD754D70}</b:Guid>
    <b:Title>Morningstar</b:Title>
    <b:InternetSiteTitle>Verizon Communications Inc (VZ): Financials</b:InternetSiteTitle>
    <b:Year>2016</b:Year>
    <b:URL>http://financials.morningstar.com/income-statement/is.html?t=VZ</b:URL>
    <b:YearAccessed>2016</b:YearAccessed>
    <b:MonthAccessed>October</b:MonthAccessed>
    <b:DayAccessed>25</b:DayAccessed>
    <b:RefOrder>9</b:RefOrder>
  </b:Source>
  <b:Source>
    <b:Tag>Mor1619</b:Tag>
    <b:SourceType>InternetSite</b:SourceType>
    <b:Guid>{EDEC87C2-70D3-4CD7-BC68-02E4DC044EB0}</b:Guid>
    <b:Title>Morningstar</b:Title>
    <b:InternetSiteTitle>AT&amp;T Inc: Financials</b:InternetSiteTitle>
    <b:Year>2016</b:Year>
    <b:URL>http://financials.morningstar.com/income-statement/is.html?t=T&amp;region=usa&amp;culture=en-US</b:URL>
    <b:YearAccessed>2016</b:YearAccessed>
    <b:MonthAccessed>October</b:MonthAccessed>
    <b:DayAccessed>26</b:DayAccessed>
    <b:RefOrder>10</b:RefOrder>
  </b:Source>
  <b:Source>
    <b:Tag>Pet15</b:Tag>
    <b:SourceType>Book</b:SourceType>
    <b:Guid>{DDF5CBC5-CB46-417B-B419-0A23B9D0D4D0}</b:Guid>
    <b:Author>
      <b:Author>
        <b:NameList>
          <b:Person>
            <b:Last>Petty</b:Last>
            <b:First>J</b:First>
            <b:Middle>William</b:Middle>
          </b:Person>
          <b:Person>
            <b:Last>Titman</b:Last>
            <b:First>Sheridan</b:First>
          </b:Person>
          <b:Person>
            <b:Last>Keown</b:Last>
            <b:First>Arthur</b:First>
            <b:Middle>J</b:Middle>
          </b:Person>
          <b:Person>
            <b:Last>Martin</b:Last>
            <b:First>John</b:First>
            <b:Middle>D</b:Middle>
          </b:Person>
        </b:NameList>
      </b:Author>
    </b:Author>
    <b:Title>Financial Management: Principle and Application</b:Title>
    <b:Year>2015</b:Year>
    <b:City>New York</b:City>
    <b:Publisher>Peason Education</b:Publisher>
    <b:RefOrder>3</b:RefOrder>
  </b:Source>
  <b:Source>
    <b:Tag>Pra14</b:Tag>
    <b:SourceType>Book</b:SourceType>
    <b:Guid>{CA862F91-4597-4C76-B500-674954E76680}</b:Guid>
    <b:Author>
      <b:Author>
        <b:NameList>
          <b:Person>
            <b:Last>Chandra</b:Last>
            <b:First>Prasanna</b:First>
          </b:Person>
        </b:NameList>
      </b:Author>
    </b:Author>
    <b:Title>FInancial Management: Theory and Practice </b:Title>
    <b:Year>2014</b:Year>
    <b:City>New York</b:City>
    <b:Publisher>CFM- McGraw- Hill Professional Series in Finance</b:Publisher>
    <b:RefOrder>4</b:RefOrder>
  </b:Source>
  <b:Source>
    <b:Tag>Mar162</b:Tag>
    <b:SourceType>InternetSite</b:SourceType>
    <b:Guid>{F2D04DE8-986F-495A-8F5F-20C627389847}</b:Guid>
    <b:Title>Market Watch</b:Title>
    <b:InternetSiteTitle>Verizon Communications Inc.: Share Price</b:InternetSiteTitle>
    <b:Year>2016</b:Year>
    <b:URL>http://www.marketwatch.com/investing/stock/vz</b:URL>
    <b:YearAccessed>2016</b:YearAccessed>
    <b:MonthAccessed>October</b:MonthAccessed>
    <b:DayAccessed>26</b:DayAccessed>
    <b:RefOrder>7</b:RefOrder>
  </b:Source>
  <b:Source>
    <b:Tag>Goo166</b:Tag>
    <b:SourceType>InternetSite</b:SourceType>
    <b:Guid>{77075EE2-5B23-44DE-8D01-14983F47B8D3}</b:Guid>
    <b:Title>Google Finance</b:Title>
    <b:InternetSiteTitle>Verizon Communication</b:InternetSiteTitle>
    <b:Year>2016</b:Year>
    <b:URL>https://www.google.com/finance?cid=664887</b:URL>
    <b:YearAccessed>2016</b:YearAccessed>
    <b:MonthAccessed>October</b:MonthAccessed>
    <b:DayAccessed>26</b:DayAccessed>
    <b:RefOrder>5</b:RefOrder>
  </b:Source>
  <b:Source>
    <b:Tag>Moo16</b:Tag>
    <b:SourceType>InternetSite</b:SourceType>
    <b:Guid>{C5825B92-54A4-4256-B70D-B1342D742828}</b:Guid>
    <b:Title>Moody's</b:Title>
    <b:InternetSiteTitle>Verizon Communications Inc</b:InternetSiteTitle>
    <b:Year>2016</b:Year>
    <b:URL>https://www.moodys.com/credit-ratings/Verizon-Communications-Inc-credit-rating-100325</b:URL>
    <b:YearAccessed>2016</b:YearAccessed>
    <b:MonthAccessed>October</b:MonthAccessed>
    <b:DayAccessed>26</b:DayAccessed>
    <b:RefOrder>6</b:RefOrder>
  </b:Source>
</b:Sources>
</file>

<file path=customXml/itemProps1.xml><?xml version="1.0" encoding="utf-8"?>
<ds:datastoreItem xmlns:ds="http://schemas.openxmlformats.org/officeDocument/2006/customXml" ds:itemID="{090F4CB3-99DC-48D8-9996-0AF48F0BB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12</Pages>
  <Words>2242</Words>
  <Characters>12784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Ruben Redji</dc:creator>
  <cp:keywords/>
  <dc:description/>
  <cp:lastModifiedBy>ASUS</cp:lastModifiedBy>
  <cp:revision>59</cp:revision>
  <dcterms:created xsi:type="dcterms:W3CDTF">2016-10-28T07:45:00Z</dcterms:created>
  <dcterms:modified xsi:type="dcterms:W3CDTF">2016-10-28T17:08:00Z</dcterms:modified>
</cp:coreProperties>
</file>