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5DB5" w:rsidRDefault="00B95DB5" w:rsidP="007418BB">
      <w:pPr>
        <w:spacing w:line="480" w:lineRule="auto"/>
        <w:jc w:val="both"/>
        <w:rPr>
          <w:rFonts w:ascii="Times New Roman" w:hAnsi="Times New Roman" w:cs="Times New Roman"/>
          <w:sz w:val="24"/>
          <w:szCs w:val="24"/>
        </w:rPr>
      </w:pPr>
    </w:p>
    <w:p w:rsidR="00B95DB5" w:rsidRDefault="00B95DB5" w:rsidP="007418BB">
      <w:pPr>
        <w:spacing w:line="480" w:lineRule="auto"/>
        <w:jc w:val="both"/>
        <w:rPr>
          <w:rFonts w:ascii="Times New Roman" w:hAnsi="Times New Roman" w:cs="Times New Roman"/>
          <w:sz w:val="24"/>
          <w:szCs w:val="24"/>
        </w:rPr>
      </w:pPr>
    </w:p>
    <w:p w:rsidR="00B95DB5" w:rsidRDefault="00B95DB5" w:rsidP="007418BB">
      <w:pPr>
        <w:spacing w:line="480" w:lineRule="auto"/>
        <w:jc w:val="both"/>
        <w:rPr>
          <w:rFonts w:ascii="Times New Roman" w:hAnsi="Times New Roman" w:cs="Times New Roman"/>
          <w:sz w:val="24"/>
          <w:szCs w:val="24"/>
        </w:rPr>
      </w:pPr>
    </w:p>
    <w:p w:rsidR="00B95DB5" w:rsidRDefault="00B95DB5" w:rsidP="007418BB">
      <w:pPr>
        <w:spacing w:line="480" w:lineRule="auto"/>
        <w:jc w:val="both"/>
        <w:rPr>
          <w:rFonts w:ascii="Times New Roman" w:hAnsi="Times New Roman" w:cs="Times New Roman"/>
          <w:sz w:val="24"/>
          <w:szCs w:val="24"/>
        </w:rPr>
      </w:pPr>
    </w:p>
    <w:p w:rsidR="00B95DB5" w:rsidRDefault="00B95DB5" w:rsidP="007418BB">
      <w:pPr>
        <w:spacing w:line="480" w:lineRule="auto"/>
        <w:jc w:val="both"/>
        <w:rPr>
          <w:rFonts w:ascii="Times New Roman" w:hAnsi="Times New Roman" w:cs="Times New Roman"/>
          <w:sz w:val="24"/>
          <w:szCs w:val="24"/>
        </w:rPr>
      </w:pPr>
    </w:p>
    <w:p w:rsidR="001831FC" w:rsidRDefault="0081509F" w:rsidP="00B95DB5">
      <w:pPr>
        <w:spacing w:line="480" w:lineRule="auto"/>
        <w:jc w:val="center"/>
        <w:rPr>
          <w:rFonts w:ascii="Times New Roman" w:hAnsi="Times New Roman" w:cs="Times New Roman"/>
          <w:sz w:val="24"/>
          <w:szCs w:val="24"/>
        </w:rPr>
      </w:pPr>
      <w:r w:rsidRPr="007418BB">
        <w:rPr>
          <w:rFonts w:ascii="Times New Roman" w:hAnsi="Times New Roman" w:cs="Times New Roman"/>
          <w:sz w:val="24"/>
          <w:szCs w:val="24"/>
        </w:rPr>
        <w:t xml:space="preserve">The </w:t>
      </w:r>
      <w:r w:rsidR="006F5F2C">
        <w:rPr>
          <w:rFonts w:ascii="Times New Roman" w:hAnsi="Times New Roman" w:cs="Times New Roman"/>
          <w:noProof/>
          <w:sz w:val="24"/>
          <w:szCs w:val="24"/>
        </w:rPr>
        <w:t>I</w:t>
      </w:r>
      <w:r w:rsidRPr="006F5F2C">
        <w:rPr>
          <w:rFonts w:ascii="Times New Roman" w:hAnsi="Times New Roman" w:cs="Times New Roman"/>
          <w:noProof/>
          <w:sz w:val="24"/>
          <w:szCs w:val="24"/>
        </w:rPr>
        <w:t>nternational</w:t>
      </w:r>
      <w:r w:rsidRPr="007418BB">
        <w:rPr>
          <w:rFonts w:ascii="Times New Roman" w:hAnsi="Times New Roman" w:cs="Times New Roman"/>
          <w:sz w:val="24"/>
          <w:szCs w:val="24"/>
        </w:rPr>
        <w:t xml:space="preserve"> Accounting </w:t>
      </w:r>
      <w:r w:rsidR="006F5F2C">
        <w:rPr>
          <w:rFonts w:ascii="Times New Roman" w:hAnsi="Times New Roman" w:cs="Times New Roman"/>
          <w:noProof/>
          <w:sz w:val="24"/>
          <w:szCs w:val="24"/>
        </w:rPr>
        <w:t>S</w:t>
      </w:r>
      <w:r w:rsidRPr="006F5F2C">
        <w:rPr>
          <w:rFonts w:ascii="Times New Roman" w:hAnsi="Times New Roman" w:cs="Times New Roman"/>
          <w:noProof/>
          <w:sz w:val="24"/>
          <w:szCs w:val="24"/>
        </w:rPr>
        <w:t>tandard</w:t>
      </w:r>
      <w:r w:rsidRPr="007418BB">
        <w:rPr>
          <w:rFonts w:ascii="Times New Roman" w:hAnsi="Times New Roman" w:cs="Times New Roman"/>
          <w:sz w:val="24"/>
          <w:szCs w:val="24"/>
        </w:rPr>
        <w:t xml:space="preserve"> </w:t>
      </w:r>
      <w:r w:rsidR="006F5F2C">
        <w:rPr>
          <w:rFonts w:ascii="Times New Roman" w:hAnsi="Times New Roman" w:cs="Times New Roman"/>
          <w:noProof/>
          <w:sz w:val="24"/>
          <w:szCs w:val="24"/>
        </w:rPr>
        <w:t>B</w:t>
      </w:r>
      <w:r w:rsidRPr="006F5F2C">
        <w:rPr>
          <w:rFonts w:ascii="Times New Roman" w:hAnsi="Times New Roman" w:cs="Times New Roman"/>
          <w:noProof/>
          <w:sz w:val="24"/>
          <w:szCs w:val="24"/>
        </w:rPr>
        <w:t>oard</w:t>
      </w:r>
      <w:r w:rsidRPr="007418BB">
        <w:rPr>
          <w:rFonts w:ascii="Times New Roman" w:hAnsi="Times New Roman" w:cs="Times New Roman"/>
          <w:sz w:val="24"/>
          <w:szCs w:val="24"/>
        </w:rPr>
        <w:t xml:space="preserve"> (IASB)</w:t>
      </w:r>
    </w:p>
    <w:p w:rsidR="006107A4" w:rsidRDefault="006107A4" w:rsidP="00B95DB5">
      <w:pPr>
        <w:spacing w:line="480" w:lineRule="auto"/>
        <w:jc w:val="center"/>
        <w:rPr>
          <w:rFonts w:ascii="Times New Roman" w:hAnsi="Times New Roman" w:cs="Times New Roman"/>
          <w:sz w:val="24"/>
          <w:szCs w:val="24"/>
        </w:rPr>
      </w:pPr>
      <w:r>
        <w:rPr>
          <w:rFonts w:ascii="Times New Roman" w:hAnsi="Times New Roman" w:cs="Times New Roman"/>
          <w:sz w:val="24"/>
          <w:szCs w:val="24"/>
        </w:rPr>
        <w:t>Name:</w:t>
      </w:r>
    </w:p>
    <w:p w:rsidR="006107A4" w:rsidRDefault="006107A4" w:rsidP="00B95DB5">
      <w:pPr>
        <w:spacing w:line="480" w:lineRule="auto"/>
        <w:jc w:val="center"/>
        <w:rPr>
          <w:rFonts w:ascii="Times New Roman" w:hAnsi="Times New Roman" w:cs="Times New Roman"/>
          <w:sz w:val="24"/>
          <w:szCs w:val="24"/>
        </w:rPr>
      </w:pPr>
      <w:r>
        <w:rPr>
          <w:rFonts w:ascii="Times New Roman" w:hAnsi="Times New Roman" w:cs="Times New Roman"/>
          <w:sz w:val="24"/>
          <w:szCs w:val="24"/>
        </w:rPr>
        <w:t>Course title:</w:t>
      </w:r>
    </w:p>
    <w:p w:rsidR="006107A4" w:rsidRDefault="006107A4" w:rsidP="00B95DB5">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Instructor’s name:</w:t>
      </w:r>
    </w:p>
    <w:p w:rsidR="006107A4" w:rsidRDefault="006107A4" w:rsidP="00B95DB5">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w:t>
      </w:r>
      <w:bookmarkStart w:id="0" w:name="_GoBack"/>
      <w:bookmarkEnd w:id="0"/>
    </w:p>
    <w:p w:rsidR="006107A4" w:rsidRDefault="006107A4" w:rsidP="00B95DB5">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7911B3" w:rsidRDefault="007911B3" w:rsidP="00B95DB5">
      <w:pPr>
        <w:spacing w:line="480" w:lineRule="auto"/>
        <w:jc w:val="center"/>
        <w:rPr>
          <w:rFonts w:ascii="Times New Roman" w:hAnsi="Times New Roman" w:cs="Times New Roman"/>
          <w:sz w:val="24"/>
          <w:szCs w:val="24"/>
        </w:rPr>
      </w:pPr>
    </w:p>
    <w:p w:rsidR="00B95DB5" w:rsidRPr="00B95DB5" w:rsidRDefault="00B95DB5" w:rsidP="007418BB">
      <w:pPr>
        <w:spacing w:line="480" w:lineRule="auto"/>
        <w:jc w:val="both"/>
        <w:rPr>
          <w:rFonts w:ascii="Times New Roman" w:hAnsi="Times New Roman" w:cs="Times New Roman"/>
          <w:b/>
          <w:sz w:val="24"/>
          <w:szCs w:val="24"/>
        </w:rPr>
      </w:pPr>
      <w:r w:rsidRPr="00B95DB5">
        <w:rPr>
          <w:rFonts w:ascii="Times New Roman" w:hAnsi="Times New Roman" w:cs="Times New Roman"/>
          <w:b/>
          <w:sz w:val="24"/>
          <w:szCs w:val="24"/>
        </w:rPr>
        <w:t>Structure of the IASB</w:t>
      </w:r>
    </w:p>
    <w:p w:rsidR="0081509F" w:rsidRPr="007418BB" w:rsidRDefault="00DD189C" w:rsidP="007418BB">
      <w:pPr>
        <w:spacing w:line="480" w:lineRule="auto"/>
        <w:ind w:firstLine="720"/>
        <w:jc w:val="both"/>
        <w:rPr>
          <w:rFonts w:ascii="Times New Roman" w:hAnsi="Times New Roman" w:cs="Times New Roman"/>
          <w:sz w:val="24"/>
          <w:szCs w:val="24"/>
        </w:rPr>
      </w:pPr>
      <w:r w:rsidRPr="007418BB">
        <w:rPr>
          <w:rFonts w:ascii="Times New Roman" w:hAnsi="Times New Roman" w:cs="Times New Roman"/>
          <w:sz w:val="24"/>
          <w:szCs w:val="24"/>
        </w:rPr>
        <w:t xml:space="preserve">The IASB </w:t>
      </w:r>
      <w:r w:rsidRPr="006F5F2C">
        <w:rPr>
          <w:rFonts w:ascii="Times New Roman" w:hAnsi="Times New Roman" w:cs="Times New Roman"/>
          <w:noProof/>
          <w:sz w:val="24"/>
          <w:szCs w:val="24"/>
        </w:rPr>
        <w:t>is organized</w:t>
      </w:r>
      <w:r w:rsidRPr="007418BB">
        <w:rPr>
          <w:rFonts w:ascii="Times New Roman" w:hAnsi="Times New Roman" w:cs="Times New Roman"/>
          <w:sz w:val="24"/>
          <w:szCs w:val="24"/>
        </w:rPr>
        <w:t xml:space="preserve"> </w:t>
      </w:r>
      <w:r w:rsidR="006F5F2C">
        <w:rPr>
          <w:rFonts w:ascii="Times New Roman" w:hAnsi="Times New Roman" w:cs="Times New Roman"/>
          <w:noProof/>
          <w:sz w:val="24"/>
          <w:szCs w:val="24"/>
        </w:rPr>
        <w:t>by</w:t>
      </w:r>
      <w:r w:rsidRPr="007418BB">
        <w:rPr>
          <w:rFonts w:ascii="Times New Roman" w:hAnsi="Times New Roman" w:cs="Times New Roman"/>
          <w:sz w:val="24"/>
          <w:szCs w:val="24"/>
        </w:rPr>
        <w:t xml:space="preserve"> an independent </w:t>
      </w:r>
      <w:r w:rsidR="006F5F2C">
        <w:rPr>
          <w:rFonts w:ascii="Times New Roman" w:hAnsi="Times New Roman" w:cs="Times New Roman"/>
          <w:noProof/>
          <w:sz w:val="24"/>
          <w:szCs w:val="24"/>
        </w:rPr>
        <w:t>organiza</w:t>
      </w:r>
      <w:r w:rsidRPr="006F5F2C">
        <w:rPr>
          <w:rFonts w:ascii="Times New Roman" w:hAnsi="Times New Roman" w:cs="Times New Roman"/>
          <w:noProof/>
          <w:sz w:val="24"/>
          <w:szCs w:val="24"/>
        </w:rPr>
        <w:t>tion</w:t>
      </w:r>
      <w:r w:rsidRPr="007418BB">
        <w:rPr>
          <w:rFonts w:ascii="Times New Roman" w:hAnsi="Times New Roman" w:cs="Times New Roman"/>
          <w:sz w:val="24"/>
          <w:szCs w:val="24"/>
        </w:rPr>
        <w:t xml:space="preserve"> </w:t>
      </w:r>
      <w:r w:rsidR="006F5F2C">
        <w:rPr>
          <w:rFonts w:ascii="Times New Roman" w:hAnsi="Times New Roman" w:cs="Times New Roman"/>
          <w:noProof/>
          <w:sz w:val="24"/>
          <w:szCs w:val="24"/>
        </w:rPr>
        <w:t>call</w:t>
      </w:r>
      <w:r w:rsidRPr="006F5F2C">
        <w:rPr>
          <w:rFonts w:ascii="Times New Roman" w:hAnsi="Times New Roman" w:cs="Times New Roman"/>
          <w:noProof/>
          <w:sz w:val="24"/>
          <w:szCs w:val="24"/>
        </w:rPr>
        <w:t>ed</w:t>
      </w:r>
      <w:r w:rsidRPr="007418BB">
        <w:rPr>
          <w:rFonts w:ascii="Times New Roman" w:hAnsi="Times New Roman" w:cs="Times New Roman"/>
          <w:sz w:val="24"/>
          <w:szCs w:val="24"/>
        </w:rPr>
        <w:t xml:space="preserve"> the IFRS </w:t>
      </w:r>
      <w:r w:rsidR="006F5F2C">
        <w:rPr>
          <w:rFonts w:ascii="Times New Roman" w:hAnsi="Times New Roman" w:cs="Times New Roman"/>
          <w:noProof/>
          <w:sz w:val="24"/>
          <w:szCs w:val="24"/>
        </w:rPr>
        <w:t>F</w:t>
      </w:r>
      <w:r w:rsidRPr="006F5F2C">
        <w:rPr>
          <w:rFonts w:ascii="Times New Roman" w:hAnsi="Times New Roman" w:cs="Times New Roman"/>
          <w:noProof/>
          <w:sz w:val="24"/>
          <w:szCs w:val="24"/>
        </w:rPr>
        <w:t>oundation</w:t>
      </w:r>
      <w:r w:rsidRPr="007418BB">
        <w:rPr>
          <w:rFonts w:ascii="Times New Roman" w:hAnsi="Times New Roman" w:cs="Times New Roman"/>
          <w:sz w:val="24"/>
          <w:szCs w:val="24"/>
        </w:rPr>
        <w:t xml:space="preserve"> which is a </w:t>
      </w:r>
      <w:r w:rsidR="00F85436" w:rsidRPr="007418BB">
        <w:rPr>
          <w:rFonts w:ascii="Times New Roman" w:hAnsi="Times New Roman" w:cs="Times New Roman"/>
          <w:sz w:val="24"/>
          <w:szCs w:val="24"/>
        </w:rPr>
        <w:t>nonprofit</w:t>
      </w:r>
      <w:r w:rsidRPr="007418BB">
        <w:rPr>
          <w:rFonts w:ascii="Times New Roman" w:hAnsi="Times New Roman" w:cs="Times New Roman"/>
          <w:sz w:val="24"/>
          <w:szCs w:val="24"/>
        </w:rPr>
        <w:t xml:space="preserve"> corporation created under the Delaware state laws. The IFRS oversees the work of the </w:t>
      </w:r>
      <w:r w:rsidR="006F5F2C">
        <w:rPr>
          <w:rFonts w:ascii="Times New Roman" w:hAnsi="Times New Roman" w:cs="Times New Roman"/>
          <w:noProof/>
          <w:sz w:val="24"/>
          <w:szCs w:val="24"/>
        </w:rPr>
        <w:t>I</w:t>
      </w:r>
      <w:r w:rsidRPr="006F5F2C">
        <w:rPr>
          <w:rFonts w:ascii="Times New Roman" w:hAnsi="Times New Roman" w:cs="Times New Roman"/>
          <w:noProof/>
          <w:sz w:val="24"/>
          <w:szCs w:val="24"/>
        </w:rPr>
        <w:t>nternational</w:t>
      </w:r>
      <w:r w:rsidRPr="007418BB">
        <w:rPr>
          <w:rFonts w:ascii="Times New Roman" w:hAnsi="Times New Roman" w:cs="Times New Roman"/>
          <w:sz w:val="24"/>
          <w:szCs w:val="24"/>
        </w:rPr>
        <w:t xml:space="preserve"> Accounting Board and </w:t>
      </w:r>
      <w:r w:rsidRPr="006F5F2C">
        <w:rPr>
          <w:rFonts w:ascii="Times New Roman" w:hAnsi="Times New Roman" w:cs="Times New Roman"/>
          <w:noProof/>
          <w:sz w:val="24"/>
          <w:szCs w:val="24"/>
        </w:rPr>
        <w:t>assist</w:t>
      </w:r>
      <w:r w:rsidR="006F5F2C">
        <w:rPr>
          <w:rFonts w:ascii="Times New Roman" w:hAnsi="Times New Roman" w:cs="Times New Roman"/>
          <w:noProof/>
          <w:sz w:val="24"/>
          <w:szCs w:val="24"/>
        </w:rPr>
        <w:t>s</w:t>
      </w:r>
      <w:r w:rsidRPr="007418BB">
        <w:rPr>
          <w:rFonts w:ascii="Times New Roman" w:hAnsi="Times New Roman" w:cs="Times New Roman"/>
          <w:sz w:val="24"/>
          <w:szCs w:val="24"/>
        </w:rPr>
        <w:t xml:space="preserve"> in raising funds. The </w:t>
      </w:r>
      <w:r w:rsidRPr="006F5F2C">
        <w:rPr>
          <w:rFonts w:ascii="Times New Roman" w:hAnsi="Times New Roman" w:cs="Times New Roman"/>
          <w:noProof/>
          <w:sz w:val="24"/>
          <w:szCs w:val="24"/>
        </w:rPr>
        <w:t>technical</w:t>
      </w:r>
      <w:r w:rsidRPr="007418BB">
        <w:rPr>
          <w:rFonts w:ascii="Times New Roman" w:hAnsi="Times New Roman" w:cs="Times New Roman"/>
          <w:sz w:val="24"/>
          <w:szCs w:val="24"/>
        </w:rPr>
        <w:t xml:space="preserve"> branch consists of the IASB which has the sole responsibility of establishing international financial reporting standards (IFRSs). Another </w:t>
      </w:r>
      <w:r w:rsidRPr="006F5F2C">
        <w:rPr>
          <w:rFonts w:ascii="Times New Roman" w:hAnsi="Times New Roman" w:cs="Times New Roman"/>
          <w:noProof/>
          <w:sz w:val="24"/>
          <w:szCs w:val="24"/>
        </w:rPr>
        <w:t>important</w:t>
      </w:r>
      <w:r w:rsidRPr="007418BB">
        <w:rPr>
          <w:rFonts w:ascii="Times New Roman" w:hAnsi="Times New Roman" w:cs="Times New Roman"/>
          <w:sz w:val="24"/>
          <w:szCs w:val="24"/>
        </w:rPr>
        <w:t xml:space="preserve"> body in the IASB is the IFRS interpretations committee which makes </w:t>
      </w:r>
      <w:r w:rsidRPr="006F5F2C">
        <w:rPr>
          <w:rFonts w:ascii="Times New Roman" w:hAnsi="Times New Roman" w:cs="Times New Roman"/>
          <w:noProof/>
          <w:sz w:val="24"/>
          <w:szCs w:val="24"/>
        </w:rPr>
        <w:t>interpretations</w:t>
      </w:r>
      <w:r w:rsidRPr="007418BB">
        <w:rPr>
          <w:rFonts w:ascii="Times New Roman" w:hAnsi="Times New Roman" w:cs="Times New Roman"/>
          <w:sz w:val="24"/>
          <w:szCs w:val="24"/>
        </w:rPr>
        <w:t xml:space="preserve"> for the approval by the international accounting standards Board</w:t>
      </w:r>
      <w:sdt>
        <w:sdtPr>
          <w:rPr>
            <w:rFonts w:ascii="Times New Roman" w:hAnsi="Times New Roman" w:cs="Times New Roman"/>
            <w:sz w:val="24"/>
            <w:szCs w:val="24"/>
          </w:rPr>
          <w:id w:val="-1000499249"/>
          <w:citation/>
        </w:sdtPr>
        <w:sdtContent>
          <w:r w:rsidR="00F85436" w:rsidRPr="007418BB">
            <w:rPr>
              <w:rFonts w:ascii="Times New Roman" w:hAnsi="Times New Roman" w:cs="Times New Roman"/>
              <w:sz w:val="24"/>
              <w:szCs w:val="24"/>
            </w:rPr>
            <w:fldChar w:fldCharType="begin"/>
          </w:r>
          <w:r w:rsidR="00F85436" w:rsidRPr="007418BB">
            <w:rPr>
              <w:rFonts w:ascii="Times New Roman" w:hAnsi="Times New Roman" w:cs="Times New Roman"/>
              <w:sz w:val="24"/>
              <w:szCs w:val="24"/>
            </w:rPr>
            <w:instrText xml:space="preserve"> CITATION Boa12 \l 1033 </w:instrText>
          </w:r>
          <w:r w:rsidR="00F85436" w:rsidRPr="007418BB">
            <w:rPr>
              <w:rFonts w:ascii="Times New Roman" w:hAnsi="Times New Roman" w:cs="Times New Roman"/>
              <w:sz w:val="24"/>
              <w:szCs w:val="24"/>
            </w:rPr>
            <w:fldChar w:fldCharType="separate"/>
          </w:r>
          <w:r w:rsidR="00F85436" w:rsidRPr="007418BB">
            <w:rPr>
              <w:rFonts w:ascii="Times New Roman" w:hAnsi="Times New Roman" w:cs="Times New Roman"/>
              <w:noProof/>
              <w:sz w:val="24"/>
              <w:szCs w:val="24"/>
            </w:rPr>
            <w:t xml:space="preserve"> (Board, 2012)</w:t>
          </w:r>
          <w:r w:rsidR="00F85436" w:rsidRPr="007418BB">
            <w:rPr>
              <w:rFonts w:ascii="Times New Roman" w:hAnsi="Times New Roman" w:cs="Times New Roman"/>
              <w:sz w:val="24"/>
              <w:szCs w:val="24"/>
            </w:rPr>
            <w:fldChar w:fldCharType="end"/>
          </w:r>
        </w:sdtContent>
      </w:sdt>
      <w:r w:rsidRPr="007418BB">
        <w:rPr>
          <w:rFonts w:ascii="Times New Roman" w:hAnsi="Times New Roman" w:cs="Times New Roman"/>
          <w:sz w:val="24"/>
          <w:szCs w:val="24"/>
        </w:rPr>
        <w:t>.</w:t>
      </w:r>
    </w:p>
    <w:p w:rsidR="00B346C6" w:rsidRPr="007418BB" w:rsidRDefault="00DD189C" w:rsidP="007418BB">
      <w:pPr>
        <w:spacing w:line="480" w:lineRule="auto"/>
        <w:ind w:firstLine="720"/>
        <w:jc w:val="both"/>
        <w:rPr>
          <w:rFonts w:ascii="Times New Roman" w:hAnsi="Times New Roman" w:cs="Times New Roman"/>
          <w:sz w:val="24"/>
          <w:szCs w:val="24"/>
        </w:rPr>
      </w:pPr>
      <w:r w:rsidRPr="007418BB">
        <w:rPr>
          <w:rFonts w:ascii="Times New Roman" w:hAnsi="Times New Roman" w:cs="Times New Roman"/>
          <w:sz w:val="24"/>
          <w:szCs w:val="24"/>
        </w:rPr>
        <w:t>The IASB has an advisory bra</w:t>
      </w:r>
      <w:r w:rsidR="00962202" w:rsidRPr="007418BB">
        <w:rPr>
          <w:rFonts w:ascii="Times New Roman" w:hAnsi="Times New Roman" w:cs="Times New Roman"/>
          <w:sz w:val="24"/>
          <w:szCs w:val="24"/>
        </w:rPr>
        <w:t>n</w:t>
      </w:r>
      <w:r w:rsidRPr="007418BB">
        <w:rPr>
          <w:rFonts w:ascii="Times New Roman" w:hAnsi="Times New Roman" w:cs="Times New Roman"/>
          <w:sz w:val="24"/>
          <w:szCs w:val="24"/>
        </w:rPr>
        <w:t xml:space="preserve">ch that consists of the Accounting </w:t>
      </w:r>
      <w:r w:rsidR="006F5F2C">
        <w:rPr>
          <w:rFonts w:ascii="Times New Roman" w:hAnsi="Times New Roman" w:cs="Times New Roman"/>
          <w:noProof/>
          <w:sz w:val="24"/>
          <w:szCs w:val="24"/>
        </w:rPr>
        <w:t>S</w:t>
      </w:r>
      <w:r w:rsidRPr="006F5F2C">
        <w:rPr>
          <w:rFonts w:ascii="Times New Roman" w:hAnsi="Times New Roman" w:cs="Times New Roman"/>
          <w:noProof/>
          <w:sz w:val="24"/>
          <w:szCs w:val="24"/>
        </w:rPr>
        <w:t>tandards</w:t>
      </w:r>
      <w:r w:rsidRPr="007418BB">
        <w:rPr>
          <w:rFonts w:ascii="Times New Roman" w:hAnsi="Times New Roman" w:cs="Times New Roman"/>
          <w:sz w:val="24"/>
          <w:szCs w:val="24"/>
        </w:rPr>
        <w:t xml:space="preserve"> </w:t>
      </w:r>
      <w:r w:rsidR="006F5F2C">
        <w:rPr>
          <w:rFonts w:ascii="Times New Roman" w:hAnsi="Times New Roman" w:cs="Times New Roman"/>
          <w:noProof/>
          <w:sz w:val="24"/>
          <w:szCs w:val="24"/>
        </w:rPr>
        <w:t>A</w:t>
      </w:r>
      <w:r w:rsidRPr="006F5F2C">
        <w:rPr>
          <w:rFonts w:ascii="Times New Roman" w:hAnsi="Times New Roman" w:cs="Times New Roman"/>
          <w:noProof/>
          <w:sz w:val="24"/>
          <w:szCs w:val="24"/>
        </w:rPr>
        <w:t>dvisory</w:t>
      </w:r>
      <w:r w:rsidRPr="007418BB">
        <w:rPr>
          <w:rFonts w:ascii="Times New Roman" w:hAnsi="Times New Roman" w:cs="Times New Roman"/>
          <w:sz w:val="24"/>
          <w:szCs w:val="24"/>
        </w:rPr>
        <w:t xml:space="preserve"> </w:t>
      </w:r>
      <w:r w:rsidR="006F5F2C">
        <w:rPr>
          <w:rFonts w:ascii="Times New Roman" w:hAnsi="Times New Roman" w:cs="Times New Roman"/>
          <w:noProof/>
          <w:sz w:val="24"/>
          <w:szCs w:val="24"/>
        </w:rPr>
        <w:t>F</w:t>
      </w:r>
      <w:r w:rsidRPr="006F5F2C">
        <w:rPr>
          <w:rFonts w:ascii="Times New Roman" w:hAnsi="Times New Roman" w:cs="Times New Roman"/>
          <w:noProof/>
          <w:sz w:val="24"/>
          <w:szCs w:val="24"/>
        </w:rPr>
        <w:t>orum</w:t>
      </w:r>
      <w:r w:rsidRPr="007418BB">
        <w:rPr>
          <w:rFonts w:ascii="Times New Roman" w:hAnsi="Times New Roman" w:cs="Times New Roman"/>
          <w:sz w:val="24"/>
          <w:szCs w:val="24"/>
        </w:rPr>
        <w:t xml:space="preserve"> (ASAF)</w:t>
      </w:r>
      <w:r w:rsidR="007D71C1" w:rsidRPr="007418BB">
        <w:rPr>
          <w:rFonts w:ascii="Times New Roman" w:hAnsi="Times New Roman" w:cs="Times New Roman"/>
          <w:sz w:val="24"/>
          <w:szCs w:val="24"/>
        </w:rPr>
        <w:t xml:space="preserve"> and the IFRS Advisory </w:t>
      </w:r>
      <w:r w:rsidR="006F5F2C">
        <w:rPr>
          <w:rFonts w:ascii="Times New Roman" w:hAnsi="Times New Roman" w:cs="Times New Roman"/>
          <w:noProof/>
          <w:sz w:val="24"/>
          <w:szCs w:val="24"/>
        </w:rPr>
        <w:t>C</w:t>
      </w:r>
      <w:r w:rsidR="007D71C1" w:rsidRPr="006F5F2C">
        <w:rPr>
          <w:rFonts w:ascii="Times New Roman" w:hAnsi="Times New Roman" w:cs="Times New Roman"/>
          <w:noProof/>
          <w:sz w:val="24"/>
          <w:szCs w:val="24"/>
        </w:rPr>
        <w:t>ouncil</w:t>
      </w:r>
      <w:r w:rsidR="007D71C1" w:rsidRPr="007418BB">
        <w:rPr>
          <w:rFonts w:ascii="Times New Roman" w:hAnsi="Times New Roman" w:cs="Times New Roman"/>
          <w:sz w:val="24"/>
          <w:szCs w:val="24"/>
        </w:rPr>
        <w:t xml:space="preserve"> which are</w:t>
      </w:r>
      <w:r w:rsidRPr="007418BB">
        <w:rPr>
          <w:rFonts w:ascii="Times New Roman" w:hAnsi="Times New Roman" w:cs="Times New Roman"/>
          <w:sz w:val="24"/>
          <w:szCs w:val="24"/>
        </w:rPr>
        <w:t xml:space="preserve"> responsible for </w:t>
      </w:r>
      <w:r w:rsidR="00962202" w:rsidRPr="007418BB">
        <w:rPr>
          <w:rFonts w:ascii="Times New Roman" w:hAnsi="Times New Roman" w:cs="Times New Roman"/>
          <w:sz w:val="24"/>
          <w:szCs w:val="24"/>
        </w:rPr>
        <w:t>setting activities of the IASB.</w:t>
      </w:r>
      <w:r w:rsidR="007D71C1" w:rsidRPr="007418BB">
        <w:rPr>
          <w:rFonts w:ascii="Times New Roman" w:hAnsi="Times New Roman" w:cs="Times New Roman"/>
          <w:sz w:val="24"/>
          <w:szCs w:val="24"/>
        </w:rPr>
        <w:t xml:space="preserve"> </w:t>
      </w:r>
      <w:r w:rsidR="00B346C6" w:rsidRPr="007418BB">
        <w:rPr>
          <w:rFonts w:ascii="Times New Roman" w:hAnsi="Times New Roman" w:cs="Times New Roman"/>
          <w:sz w:val="24"/>
          <w:szCs w:val="24"/>
        </w:rPr>
        <w:t xml:space="preserve"> The IASB has a maximum of 16 members who set technical agenda. They also approve standards and exposed graft.</w:t>
      </w:r>
    </w:p>
    <w:p w:rsidR="00F85436" w:rsidRDefault="006437D8" w:rsidP="007418BB">
      <w:pPr>
        <w:spacing w:line="480" w:lineRule="auto"/>
        <w:ind w:firstLine="720"/>
        <w:jc w:val="both"/>
        <w:rPr>
          <w:rFonts w:ascii="Times New Roman" w:hAnsi="Times New Roman" w:cs="Times New Roman"/>
          <w:sz w:val="24"/>
          <w:szCs w:val="24"/>
        </w:rPr>
      </w:pPr>
      <w:r w:rsidRPr="007418BB">
        <w:rPr>
          <w:rFonts w:ascii="Times New Roman" w:hAnsi="Times New Roman" w:cs="Times New Roman"/>
          <w:sz w:val="24"/>
          <w:szCs w:val="24"/>
        </w:rPr>
        <w:t xml:space="preserve">The main features of the IASB </w:t>
      </w:r>
      <w:r w:rsidRPr="006F5F2C">
        <w:rPr>
          <w:rFonts w:ascii="Times New Roman" w:hAnsi="Times New Roman" w:cs="Times New Roman"/>
          <w:noProof/>
          <w:sz w:val="24"/>
          <w:szCs w:val="24"/>
        </w:rPr>
        <w:t>include</w:t>
      </w:r>
      <w:r w:rsidRPr="007418BB">
        <w:rPr>
          <w:rFonts w:ascii="Times New Roman" w:hAnsi="Times New Roman" w:cs="Times New Roman"/>
          <w:sz w:val="24"/>
          <w:szCs w:val="24"/>
        </w:rPr>
        <w:t xml:space="preserve"> the trustees who have are responsible for strategic operations like the budget and appointment of members to the Board IFRIC. The other important feature of the IASB is The Board which consists of 120parmanent members appointed by the trustees</w:t>
      </w:r>
      <w:r w:rsidR="005C40D7" w:rsidRPr="007418BB">
        <w:rPr>
          <w:rFonts w:ascii="Times New Roman" w:hAnsi="Times New Roman" w:cs="Times New Roman"/>
          <w:sz w:val="24"/>
          <w:szCs w:val="24"/>
        </w:rPr>
        <w:t xml:space="preserve">. The board is responsible for international accounting standard setting. The Standard Advisory Council (SAC) provides a forum that the IASB consults in the case of individuals and organizations affected by the work of the IASB. </w:t>
      </w:r>
    </w:p>
    <w:p w:rsidR="00B95DB5" w:rsidRPr="00B95DB5" w:rsidRDefault="00B95DB5" w:rsidP="007418BB">
      <w:pPr>
        <w:spacing w:line="480" w:lineRule="auto"/>
        <w:ind w:firstLine="720"/>
        <w:jc w:val="both"/>
        <w:rPr>
          <w:rFonts w:ascii="Times New Roman" w:hAnsi="Times New Roman" w:cs="Times New Roman"/>
          <w:b/>
          <w:sz w:val="24"/>
          <w:szCs w:val="24"/>
        </w:rPr>
      </w:pPr>
      <w:r w:rsidRPr="00B95DB5">
        <w:rPr>
          <w:rFonts w:ascii="Times New Roman" w:hAnsi="Times New Roman" w:cs="Times New Roman"/>
          <w:b/>
          <w:sz w:val="24"/>
          <w:szCs w:val="24"/>
        </w:rPr>
        <w:t>How IASB makes standards.</w:t>
      </w:r>
    </w:p>
    <w:p w:rsidR="006437D8" w:rsidRPr="007418BB" w:rsidRDefault="006B2AA8" w:rsidP="007418BB">
      <w:pPr>
        <w:spacing w:line="480" w:lineRule="auto"/>
        <w:ind w:firstLine="720"/>
        <w:jc w:val="both"/>
        <w:rPr>
          <w:rFonts w:ascii="Times New Roman" w:hAnsi="Times New Roman" w:cs="Times New Roman"/>
          <w:sz w:val="24"/>
          <w:szCs w:val="24"/>
        </w:rPr>
      </w:pPr>
      <w:r w:rsidRPr="007418BB">
        <w:rPr>
          <w:rFonts w:ascii="Times New Roman" w:hAnsi="Times New Roman" w:cs="Times New Roman"/>
          <w:sz w:val="24"/>
          <w:szCs w:val="24"/>
        </w:rPr>
        <w:t xml:space="preserve">The development of international financial standards </w:t>
      </w:r>
      <w:r w:rsidRPr="006F5F2C">
        <w:rPr>
          <w:rFonts w:ascii="Times New Roman" w:hAnsi="Times New Roman" w:cs="Times New Roman"/>
          <w:noProof/>
          <w:sz w:val="24"/>
          <w:szCs w:val="24"/>
        </w:rPr>
        <w:t>follow</w:t>
      </w:r>
      <w:r w:rsidR="006F5F2C">
        <w:rPr>
          <w:rFonts w:ascii="Times New Roman" w:hAnsi="Times New Roman" w:cs="Times New Roman"/>
          <w:noProof/>
          <w:sz w:val="24"/>
          <w:szCs w:val="24"/>
        </w:rPr>
        <w:t>s</w:t>
      </w:r>
      <w:r w:rsidRPr="007418BB">
        <w:rPr>
          <w:rFonts w:ascii="Times New Roman" w:hAnsi="Times New Roman" w:cs="Times New Roman"/>
          <w:sz w:val="24"/>
          <w:szCs w:val="24"/>
        </w:rPr>
        <w:t xml:space="preserve"> </w:t>
      </w:r>
      <w:r w:rsidRPr="006F5F2C">
        <w:rPr>
          <w:rFonts w:ascii="Times New Roman" w:hAnsi="Times New Roman" w:cs="Times New Roman"/>
          <w:noProof/>
          <w:sz w:val="24"/>
          <w:szCs w:val="24"/>
        </w:rPr>
        <w:t>certain</w:t>
      </w:r>
      <w:r w:rsidRPr="007418BB">
        <w:rPr>
          <w:rFonts w:ascii="Times New Roman" w:hAnsi="Times New Roman" w:cs="Times New Roman"/>
          <w:sz w:val="24"/>
          <w:szCs w:val="24"/>
        </w:rPr>
        <w:t xml:space="preserve"> process comprising of six stages. The first stage of the in setting the standards involves setting the agenda, then project </w:t>
      </w:r>
      <w:r w:rsidRPr="007418BB">
        <w:rPr>
          <w:rFonts w:ascii="Times New Roman" w:hAnsi="Times New Roman" w:cs="Times New Roman"/>
          <w:sz w:val="24"/>
          <w:szCs w:val="24"/>
        </w:rPr>
        <w:lastRenderedPageBreak/>
        <w:t xml:space="preserve">planning. The third stage involves developing a discussion paper. The fourth </w:t>
      </w:r>
      <w:r w:rsidRPr="006F5F2C">
        <w:rPr>
          <w:rFonts w:ascii="Times New Roman" w:hAnsi="Times New Roman" w:cs="Times New Roman"/>
          <w:noProof/>
          <w:sz w:val="24"/>
          <w:szCs w:val="24"/>
        </w:rPr>
        <w:t>stage</w:t>
      </w:r>
      <w:r w:rsidRPr="007418BB">
        <w:rPr>
          <w:rFonts w:ascii="Times New Roman" w:hAnsi="Times New Roman" w:cs="Times New Roman"/>
          <w:sz w:val="24"/>
          <w:szCs w:val="24"/>
        </w:rPr>
        <w:t xml:space="preserve"> </w:t>
      </w:r>
      <w:r w:rsidRPr="006F5F2C">
        <w:rPr>
          <w:rFonts w:ascii="Times New Roman" w:hAnsi="Times New Roman" w:cs="Times New Roman"/>
          <w:noProof/>
          <w:sz w:val="24"/>
          <w:szCs w:val="24"/>
        </w:rPr>
        <w:t>involve</w:t>
      </w:r>
      <w:r w:rsidR="006F5F2C" w:rsidRPr="006F5F2C">
        <w:rPr>
          <w:rFonts w:ascii="Times New Roman" w:hAnsi="Times New Roman" w:cs="Times New Roman"/>
          <w:noProof/>
          <w:sz w:val="24"/>
          <w:szCs w:val="24"/>
        </w:rPr>
        <w:t>s</w:t>
      </w:r>
      <w:r w:rsidRPr="007418BB">
        <w:rPr>
          <w:rFonts w:ascii="Times New Roman" w:hAnsi="Times New Roman" w:cs="Times New Roman"/>
          <w:sz w:val="24"/>
          <w:szCs w:val="24"/>
        </w:rPr>
        <w:t xml:space="preserve"> development and publication of an exposure draft.</w:t>
      </w:r>
      <w:r w:rsidR="00BA6E88" w:rsidRPr="007418BB">
        <w:rPr>
          <w:rFonts w:ascii="Times New Roman" w:hAnsi="Times New Roman" w:cs="Times New Roman"/>
          <w:sz w:val="24"/>
          <w:szCs w:val="24"/>
        </w:rPr>
        <w:t xml:space="preserve"> After the fifth state the procedures after the IFRS are issued</w:t>
      </w:r>
      <w:sdt>
        <w:sdtPr>
          <w:rPr>
            <w:rFonts w:ascii="Times New Roman" w:hAnsi="Times New Roman" w:cs="Times New Roman"/>
            <w:sz w:val="24"/>
            <w:szCs w:val="24"/>
          </w:rPr>
          <w:id w:val="-2061158945"/>
          <w:citation/>
        </w:sdtPr>
        <w:sdtContent>
          <w:r w:rsidR="00F85436" w:rsidRPr="007418BB">
            <w:rPr>
              <w:rFonts w:ascii="Times New Roman" w:hAnsi="Times New Roman" w:cs="Times New Roman"/>
              <w:sz w:val="24"/>
              <w:szCs w:val="24"/>
            </w:rPr>
            <w:fldChar w:fldCharType="begin"/>
          </w:r>
          <w:r w:rsidR="00F85436" w:rsidRPr="007418BB">
            <w:rPr>
              <w:rFonts w:ascii="Times New Roman" w:hAnsi="Times New Roman" w:cs="Times New Roman"/>
              <w:sz w:val="24"/>
              <w:szCs w:val="24"/>
            </w:rPr>
            <w:instrText xml:space="preserve"> CITATION Boa12 \l 1033 </w:instrText>
          </w:r>
          <w:r w:rsidR="00F85436" w:rsidRPr="007418BB">
            <w:rPr>
              <w:rFonts w:ascii="Times New Roman" w:hAnsi="Times New Roman" w:cs="Times New Roman"/>
              <w:sz w:val="24"/>
              <w:szCs w:val="24"/>
            </w:rPr>
            <w:fldChar w:fldCharType="separate"/>
          </w:r>
          <w:r w:rsidR="00F85436" w:rsidRPr="007418BB">
            <w:rPr>
              <w:rFonts w:ascii="Times New Roman" w:hAnsi="Times New Roman" w:cs="Times New Roman"/>
              <w:noProof/>
              <w:sz w:val="24"/>
              <w:szCs w:val="24"/>
            </w:rPr>
            <w:t xml:space="preserve"> (Board, 2012)</w:t>
          </w:r>
          <w:r w:rsidR="00F85436" w:rsidRPr="007418BB">
            <w:rPr>
              <w:rFonts w:ascii="Times New Roman" w:hAnsi="Times New Roman" w:cs="Times New Roman"/>
              <w:sz w:val="24"/>
              <w:szCs w:val="24"/>
            </w:rPr>
            <w:fldChar w:fldCharType="end"/>
          </w:r>
        </w:sdtContent>
      </w:sdt>
      <w:r w:rsidR="00BA6E88" w:rsidRPr="007418BB">
        <w:rPr>
          <w:rFonts w:ascii="Times New Roman" w:hAnsi="Times New Roman" w:cs="Times New Roman"/>
          <w:sz w:val="24"/>
          <w:szCs w:val="24"/>
        </w:rPr>
        <w:t>.</w:t>
      </w:r>
      <w:r w:rsidR="008B6E18" w:rsidRPr="007418BB">
        <w:rPr>
          <w:rFonts w:ascii="Times New Roman" w:hAnsi="Times New Roman" w:cs="Times New Roman"/>
          <w:sz w:val="24"/>
          <w:szCs w:val="24"/>
        </w:rPr>
        <w:t xml:space="preserve"> </w:t>
      </w:r>
    </w:p>
    <w:p w:rsidR="008B6E18" w:rsidRDefault="008B6E18" w:rsidP="007418BB">
      <w:pPr>
        <w:spacing w:line="480" w:lineRule="auto"/>
        <w:jc w:val="both"/>
        <w:rPr>
          <w:rFonts w:ascii="Times New Roman" w:hAnsi="Times New Roman" w:cs="Times New Roman"/>
          <w:sz w:val="24"/>
          <w:szCs w:val="24"/>
        </w:rPr>
      </w:pPr>
      <w:r w:rsidRPr="007418BB">
        <w:rPr>
          <w:rFonts w:ascii="Times New Roman" w:hAnsi="Times New Roman" w:cs="Times New Roman"/>
          <w:sz w:val="24"/>
          <w:szCs w:val="24"/>
        </w:rPr>
        <w:t xml:space="preserve">Before the standard is approved, discussions for and against the </w:t>
      </w:r>
      <w:r w:rsidRPr="006F5F2C">
        <w:rPr>
          <w:rFonts w:ascii="Times New Roman" w:hAnsi="Times New Roman" w:cs="Times New Roman"/>
          <w:noProof/>
          <w:sz w:val="24"/>
          <w:szCs w:val="24"/>
        </w:rPr>
        <w:t>standard</w:t>
      </w:r>
      <w:r w:rsidRPr="007418BB">
        <w:rPr>
          <w:rFonts w:ascii="Times New Roman" w:hAnsi="Times New Roman" w:cs="Times New Roman"/>
          <w:sz w:val="24"/>
          <w:szCs w:val="24"/>
        </w:rPr>
        <w:t xml:space="preserve"> </w:t>
      </w:r>
      <w:r w:rsidRPr="006F5F2C">
        <w:rPr>
          <w:rFonts w:ascii="Times New Roman" w:hAnsi="Times New Roman" w:cs="Times New Roman"/>
          <w:noProof/>
          <w:sz w:val="24"/>
          <w:szCs w:val="24"/>
        </w:rPr>
        <w:t>are held</w:t>
      </w:r>
      <w:r w:rsidRPr="007418BB">
        <w:rPr>
          <w:rFonts w:ascii="Times New Roman" w:hAnsi="Times New Roman" w:cs="Times New Roman"/>
          <w:sz w:val="24"/>
          <w:szCs w:val="24"/>
        </w:rPr>
        <w:t xml:space="preserve">. It is during the </w:t>
      </w:r>
      <w:r w:rsidRPr="006F5F2C">
        <w:rPr>
          <w:rFonts w:ascii="Times New Roman" w:hAnsi="Times New Roman" w:cs="Times New Roman"/>
          <w:noProof/>
          <w:sz w:val="24"/>
          <w:szCs w:val="24"/>
        </w:rPr>
        <w:t>discussions</w:t>
      </w:r>
      <w:r w:rsidRPr="007418BB">
        <w:rPr>
          <w:rFonts w:ascii="Times New Roman" w:hAnsi="Times New Roman" w:cs="Times New Roman"/>
          <w:sz w:val="24"/>
          <w:szCs w:val="24"/>
        </w:rPr>
        <w:t xml:space="preserve"> that reasons for the </w:t>
      </w:r>
      <w:r w:rsidRPr="006F5F2C">
        <w:rPr>
          <w:rFonts w:ascii="Times New Roman" w:hAnsi="Times New Roman" w:cs="Times New Roman"/>
          <w:noProof/>
          <w:sz w:val="24"/>
          <w:szCs w:val="24"/>
        </w:rPr>
        <w:t>standard</w:t>
      </w:r>
      <w:r w:rsidRPr="007418BB">
        <w:rPr>
          <w:rFonts w:ascii="Times New Roman" w:hAnsi="Times New Roman" w:cs="Times New Roman"/>
          <w:sz w:val="24"/>
          <w:szCs w:val="24"/>
        </w:rPr>
        <w:t xml:space="preserve"> </w:t>
      </w:r>
      <w:r w:rsidRPr="006F5F2C">
        <w:rPr>
          <w:rFonts w:ascii="Times New Roman" w:hAnsi="Times New Roman" w:cs="Times New Roman"/>
          <w:noProof/>
          <w:sz w:val="24"/>
          <w:szCs w:val="24"/>
        </w:rPr>
        <w:t>are clearly discussed</w:t>
      </w:r>
      <w:r w:rsidR="006F5F2C" w:rsidRPr="006F5F2C">
        <w:rPr>
          <w:rFonts w:ascii="Times New Roman" w:hAnsi="Times New Roman" w:cs="Times New Roman"/>
          <w:noProof/>
          <w:sz w:val="24"/>
          <w:szCs w:val="24"/>
        </w:rPr>
        <w:t>,</w:t>
      </w:r>
      <w:r w:rsidRPr="007418BB">
        <w:rPr>
          <w:rFonts w:ascii="Times New Roman" w:hAnsi="Times New Roman" w:cs="Times New Roman"/>
          <w:sz w:val="24"/>
          <w:szCs w:val="24"/>
        </w:rPr>
        <w:t xml:space="preserve"> and those who oppose the standard give the reasons. Some standards may </w:t>
      </w:r>
      <w:r w:rsidRPr="006F5F2C">
        <w:rPr>
          <w:rFonts w:ascii="Times New Roman" w:hAnsi="Times New Roman" w:cs="Times New Roman"/>
          <w:noProof/>
          <w:sz w:val="24"/>
          <w:szCs w:val="24"/>
        </w:rPr>
        <w:t>be dropped</w:t>
      </w:r>
      <w:r w:rsidRPr="007418BB">
        <w:rPr>
          <w:rFonts w:ascii="Times New Roman" w:hAnsi="Times New Roman" w:cs="Times New Roman"/>
          <w:sz w:val="24"/>
          <w:szCs w:val="24"/>
        </w:rPr>
        <w:t xml:space="preserve"> </w:t>
      </w:r>
      <w:r w:rsidR="003249AA" w:rsidRPr="007418BB">
        <w:rPr>
          <w:rFonts w:ascii="Times New Roman" w:hAnsi="Times New Roman" w:cs="Times New Roman"/>
          <w:sz w:val="24"/>
          <w:szCs w:val="24"/>
        </w:rPr>
        <w:t xml:space="preserve">due to exposure </w:t>
      </w:r>
      <w:r w:rsidR="006F5F2C">
        <w:rPr>
          <w:rFonts w:ascii="Times New Roman" w:hAnsi="Times New Roman" w:cs="Times New Roman"/>
          <w:noProof/>
          <w:sz w:val="24"/>
          <w:szCs w:val="24"/>
        </w:rPr>
        <w:t>to</w:t>
      </w:r>
      <w:r w:rsidR="003249AA" w:rsidRPr="007418BB">
        <w:rPr>
          <w:rFonts w:ascii="Times New Roman" w:hAnsi="Times New Roman" w:cs="Times New Roman"/>
          <w:sz w:val="24"/>
          <w:szCs w:val="24"/>
        </w:rPr>
        <w:t xml:space="preserve"> intended parties.</w:t>
      </w:r>
    </w:p>
    <w:p w:rsidR="002F7447" w:rsidRPr="007418BB" w:rsidRDefault="002F7447" w:rsidP="007418BB">
      <w:pPr>
        <w:spacing w:line="480" w:lineRule="auto"/>
        <w:jc w:val="both"/>
        <w:rPr>
          <w:rFonts w:ascii="Times New Roman" w:hAnsi="Times New Roman" w:cs="Times New Roman"/>
          <w:sz w:val="24"/>
          <w:szCs w:val="24"/>
        </w:rPr>
      </w:pPr>
    </w:p>
    <w:p w:rsidR="00F85436" w:rsidRPr="007418BB" w:rsidRDefault="00F85436" w:rsidP="007418BB">
      <w:pPr>
        <w:spacing w:line="480" w:lineRule="auto"/>
        <w:jc w:val="both"/>
        <w:rPr>
          <w:rFonts w:ascii="Times New Roman" w:hAnsi="Times New Roman" w:cs="Times New Roman"/>
          <w:sz w:val="24"/>
          <w:szCs w:val="24"/>
        </w:rPr>
      </w:pPr>
      <w:r w:rsidRPr="007418BB">
        <w:rPr>
          <w:rFonts w:ascii="Times New Roman" w:hAnsi="Times New Roman" w:cs="Times New Roman"/>
          <w:sz w:val="24"/>
          <w:szCs w:val="24"/>
        </w:rPr>
        <w:t>R</w:t>
      </w:r>
      <w:r w:rsidR="002F7447">
        <w:rPr>
          <w:rFonts w:ascii="Times New Roman" w:hAnsi="Times New Roman" w:cs="Times New Roman"/>
          <w:sz w:val="24"/>
          <w:szCs w:val="24"/>
        </w:rPr>
        <w:t>eference</w:t>
      </w:r>
    </w:p>
    <w:p w:rsidR="00F85436" w:rsidRPr="007418BB" w:rsidRDefault="00F85436" w:rsidP="007418BB">
      <w:pPr>
        <w:pStyle w:val="Bibliography"/>
        <w:spacing w:line="480" w:lineRule="auto"/>
        <w:ind w:left="720" w:hanging="720"/>
        <w:jc w:val="both"/>
        <w:rPr>
          <w:rFonts w:ascii="Times New Roman" w:hAnsi="Times New Roman" w:cs="Times New Roman"/>
          <w:noProof/>
          <w:sz w:val="24"/>
          <w:szCs w:val="24"/>
        </w:rPr>
      </w:pPr>
      <w:r w:rsidRPr="007418BB">
        <w:rPr>
          <w:rFonts w:ascii="Times New Roman" w:hAnsi="Times New Roman" w:cs="Times New Roman"/>
          <w:sz w:val="24"/>
          <w:szCs w:val="24"/>
        </w:rPr>
        <w:fldChar w:fldCharType="begin"/>
      </w:r>
      <w:r w:rsidRPr="007418BB">
        <w:rPr>
          <w:rFonts w:ascii="Times New Roman" w:hAnsi="Times New Roman" w:cs="Times New Roman"/>
          <w:sz w:val="24"/>
          <w:szCs w:val="24"/>
        </w:rPr>
        <w:instrText xml:space="preserve"> BIBLIOGRAPHY  \l 1033 </w:instrText>
      </w:r>
      <w:r w:rsidRPr="007418BB">
        <w:rPr>
          <w:rFonts w:ascii="Times New Roman" w:hAnsi="Times New Roman" w:cs="Times New Roman"/>
          <w:sz w:val="24"/>
          <w:szCs w:val="24"/>
        </w:rPr>
        <w:fldChar w:fldCharType="separate"/>
      </w:r>
      <w:r w:rsidRPr="007418BB">
        <w:rPr>
          <w:rFonts w:ascii="Times New Roman" w:hAnsi="Times New Roman" w:cs="Times New Roman"/>
          <w:noProof/>
          <w:sz w:val="24"/>
          <w:szCs w:val="24"/>
        </w:rPr>
        <w:t xml:space="preserve">Board, t. s. (2012). </w:t>
      </w:r>
      <w:r w:rsidR="006F5F2C">
        <w:rPr>
          <w:rFonts w:ascii="Times New Roman" w:hAnsi="Times New Roman" w:cs="Times New Roman"/>
          <w:i/>
          <w:iCs/>
          <w:noProof/>
          <w:sz w:val="24"/>
          <w:szCs w:val="24"/>
        </w:rPr>
        <w:t>T</w:t>
      </w:r>
      <w:r w:rsidRPr="006F5F2C">
        <w:rPr>
          <w:rFonts w:ascii="Times New Roman" w:hAnsi="Times New Roman" w:cs="Times New Roman"/>
          <w:i/>
          <w:iCs/>
          <w:noProof/>
          <w:sz w:val="24"/>
          <w:szCs w:val="24"/>
        </w:rPr>
        <w:t>he</w:t>
      </w:r>
      <w:r w:rsidRPr="007418BB">
        <w:rPr>
          <w:rFonts w:ascii="Times New Roman" w:hAnsi="Times New Roman" w:cs="Times New Roman"/>
          <w:i/>
          <w:iCs/>
          <w:noProof/>
          <w:sz w:val="24"/>
          <w:szCs w:val="24"/>
        </w:rPr>
        <w:t xml:space="preserve"> structure of the International Accounting Standards Board.</w:t>
      </w:r>
      <w:r w:rsidRPr="007418BB">
        <w:rPr>
          <w:rFonts w:ascii="Times New Roman" w:hAnsi="Times New Roman" w:cs="Times New Roman"/>
          <w:noProof/>
          <w:sz w:val="24"/>
          <w:szCs w:val="24"/>
        </w:rPr>
        <w:t xml:space="preserve"> Retrieved from https://www.yaaka.cc/unit/the-international-accounting-standards-board-iasb/</w:t>
      </w:r>
    </w:p>
    <w:p w:rsidR="00F85436" w:rsidRPr="007418BB" w:rsidRDefault="00F85436" w:rsidP="007418BB">
      <w:pPr>
        <w:spacing w:line="480" w:lineRule="auto"/>
        <w:jc w:val="both"/>
        <w:rPr>
          <w:rFonts w:ascii="Times New Roman" w:hAnsi="Times New Roman" w:cs="Times New Roman"/>
          <w:sz w:val="24"/>
          <w:szCs w:val="24"/>
        </w:rPr>
      </w:pPr>
      <w:r w:rsidRPr="007418BB">
        <w:rPr>
          <w:rFonts w:ascii="Times New Roman" w:hAnsi="Times New Roman" w:cs="Times New Roman"/>
          <w:sz w:val="24"/>
          <w:szCs w:val="24"/>
        </w:rPr>
        <w:fldChar w:fldCharType="end"/>
      </w:r>
    </w:p>
    <w:sectPr w:rsidR="00F85436" w:rsidRPr="007418BB" w:rsidSect="00B95DB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5A3D" w:rsidRDefault="00205A3D" w:rsidP="00B95DB5">
      <w:pPr>
        <w:spacing w:after="0" w:line="240" w:lineRule="auto"/>
      </w:pPr>
      <w:r>
        <w:separator/>
      </w:r>
    </w:p>
  </w:endnote>
  <w:endnote w:type="continuationSeparator" w:id="0">
    <w:p w:rsidR="00205A3D" w:rsidRDefault="00205A3D" w:rsidP="00B95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5A3D" w:rsidRDefault="00205A3D" w:rsidP="00B95DB5">
      <w:pPr>
        <w:spacing w:after="0" w:line="240" w:lineRule="auto"/>
      </w:pPr>
      <w:r>
        <w:separator/>
      </w:r>
    </w:p>
  </w:footnote>
  <w:footnote w:type="continuationSeparator" w:id="0">
    <w:p w:rsidR="00205A3D" w:rsidRDefault="00205A3D" w:rsidP="00B95D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D5F" w:rsidRPr="00284D5F" w:rsidRDefault="00284D5F" w:rsidP="00284D5F">
    <w:pPr>
      <w:spacing w:line="480" w:lineRule="auto"/>
      <w:jc w:val="center"/>
      <w:rPr>
        <w:rFonts w:ascii="Times New Roman" w:hAnsi="Times New Roman" w:cs="Times New Roman"/>
        <w:sz w:val="24"/>
        <w:szCs w:val="24"/>
      </w:rPr>
    </w:pPr>
    <w:r w:rsidRPr="007418BB">
      <w:rPr>
        <w:rFonts w:ascii="Times New Roman" w:hAnsi="Times New Roman" w:cs="Times New Roman"/>
        <w:sz w:val="24"/>
        <w:szCs w:val="24"/>
      </w:rPr>
      <w:t>The international Accounting standard board (IASB)</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DB5" w:rsidRDefault="00B95DB5" w:rsidP="00B95DB5">
    <w:pPr>
      <w:spacing w:line="480" w:lineRule="auto"/>
      <w:jc w:val="both"/>
      <w:rPr>
        <w:rFonts w:ascii="Times New Roman" w:hAnsi="Times New Roman" w:cs="Times New Roman"/>
        <w:sz w:val="24"/>
        <w:szCs w:val="24"/>
      </w:rPr>
    </w:pPr>
    <w:r>
      <w:t>Running header:</w:t>
    </w:r>
    <w:r w:rsidRPr="00B95DB5">
      <w:rPr>
        <w:rFonts w:ascii="Times New Roman" w:hAnsi="Times New Roman" w:cs="Times New Roman"/>
        <w:sz w:val="24"/>
        <w:szCs w:val="24"/>
      </w:rPr>
      <w:t xml:space="preserve"> </w:t>
    </w:r>
    <w:r w:rsidRPr="007418BB">
      <w:rPr>
        <w:rFonts w:ascii="Times New Roman" w:hAnsi="Times New Roman" w:cs="Times New Roman"/>
        <w:sz w:val="24"/>
        <w:szCs w:val="24"/>
      </w:rPr>
      <w:t>The international Accounting standard board (IASB)</w:t>
    </w:r>
  </w:p>
  <w:p w:rsidR="00B95DB5" w:rsidRDefault="00B95DB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IxNbc0NTU2tTA0MjVV0lEKTi0uzszPAykwrAUAvNaz+CwAAAA="/>
  </w:docVars>
  <w:rsids>
    <w:rsidRoot w:val="0081509F"/>
    <w:rsid w:val="001831FC"/>
    <w:rsid w:val="00205A3D"/>
    <w:rsid w:val="00284D5F"/>
    <w:rsid w:val="002F7447"/>
    <w:rsid w:val="003249AA"/>
    <w:rsid w:val="005C40D7"/>
    <w:rsid w:val="006107A4"/>
    <w:rsid w:val="006437D8"/>
    <w:rsid w:val="006B2AA8"/>
    <w:rsid w:val="006F5F2C"/>
    <w:rsid w:val="007418BB"/>
    <w:rsid w:val="007911B3"/>
    <w:rsid w:val="007D71C1"/>
    <w:rsid w:val="0081509F"/>
    <w:rsid w:val="008B6E18"/>
    <w:rsid w:val="00962202"/>
    <w:rsid w:val="00B346C6"/>
    <w:rsid w:val="00B95DB5"/>
    <w:rsid w:val="00BA6E88"/>
    <w:rsid w:val="00DD189C"/>
    <w:rsid w:val="00F854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243B1C-9BC4-4571-AC81-2D291232B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F85436"/>
  </w:style>
  <w:style w:type="paragraph" w:styleId="Header">
    <w:name w:val="header"/>
    <w:basedOn w:val="Normal"/>
    <w:link w:val="HeaderChar"/>
    <w:uiPriority w:val="99"/>
    <w:unhideWhenUsed/>
    <w:rsid w:val="00B95D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5DB5"/>
  </w:style>
  <w:style w:type="paragraph" w:styleId="Footer">
    <w:name w:val="footer"/>
    <w:basedOn w:val="Normal"/>
    <w:link w:val="FooterChar"/>
    <w:uiPriority w:val="99"/>
    <w:unhideWhenUsed/>
    <w:rsid w:val="00B95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5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5846752">
      <w:bodyDiv w:val="1"/>
      <w:marLeft w:val="0"/>
      <w:marRight w:val="0"/>
      <w:marTop w:val="0"/>
      <w:marBottom w:val="0"/>
      <w:divBdr>
        <w:top w:val="none" w:sz="0" w:space="0" w:color="auto"/>
        <w:left w:val="none" w:sz="0" w:space="0" w:color="auto"/>
        <w:bottom w:val="none" w:sz="0" w:space="0" w:color="auto"/>
        <w:right w:val="none" w:sz="0" w:space="0" w:color="auto"/>
      </w:divBdr>
    </w:div>
    <w:div w:id="1185822019">
      <w:bodyDiv w:val="1"/>
      <w:marLeft w:val="0"/>
      <w:marRight w:val="0"/>
      <w:marTop w:val="0"/>
      <w:marBottom w:val="0"/>
      <w:divBdr>
        <w:top w:val="none" w:sz="0" w:space="0" w:color="auto"/>
        <w:left w:val="none" w:sz="0" w:space="0" w:color="auto"/>
        <w:bottom w:val="none" w:sz="0" w:space="0" w:color="auto"/>
        <w:right w:val="none" w:sz="0" w:space="0" w:color="auto"/>
      </w:divBdr>
    </w:div>
    <w:div w:id="1628702217">
      <w:bodyDiv w:val="1"/>
      <w:marLeft w:val="0"/>
      <w:marRight w:val="0"/>
      <w:marTop w:val="0"/>
      <w:marBottom w:val="0"/>
      <w:divBdr>
        <w:top w:val="none" w:sz="0" w:space="0" w:color="auto"/>
        <w:left w:val="none" w:sz="0" w:space="0" w:color="auto"/>
        <w:bottom w:val="none" w:sz="0" w:space="0" w:color="auto"/>
        <w:right w:val="none" w:sz="0" w:space="0" w:color="auto"/>
      </w:divBdr>
    </w:div>
    <w:div w:id="207581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Boa12</b:Tag>
    <b:SourceType>Book</b:SourceType>
    <b:Guid>{F443F324-92E5-4905-9FD0-32A62B23D10F}</b:Guid>
    <b:Author>
      <b:Author>
        <b:NameList>
          <b:Person>
            <b:Last>Board</b:Last>
            <b:First>the</b:First>
            <b:Middle>structure of the International Accounting Standards</b:Middle>
          </b:Person>
        </b:NameList>
      </b:Author>
    </b:Author>
    <b:Title>the structure of the International Accounting Standards Board</b:Title>
    <b:Year>2012</b:Year>
    <b:URL>https://www.yaaka.cc/unit/the-international-accounting-standards-board-iasb/</b:URL>
    <b:RefOrder>1</b:RefOrder>
  </b:Source>
</b:Sources>
</file>

<file path=customXml/itemProps1.xml><?xml version="1.0" encoding="utf-8"?>
<ds:datastoreItem xmlns:ds="http://schemas.openxmlformats.org/officeDocument/2006/customXml" ds:itemID="{78DAAD48-24AC-4778-B3EB-033FB80B1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376</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16</cp:revision>
  <dcterms:created xsi:type="dcterms:W3CDTF">2016-11-01T07:12:00Z</dcterms:created>
  <dcterms:modified xsi:type="dcterms:W3CDTF">2016-11-01T07:53:00Z</dcterms:modified>
</cp:coreProperties>
</file>