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3C414E" w:rsidRDefault="003C414E">
      <w:pPr>
        <w:pStyle w:val="Body"/>
        <w:spacing w:after="0" w:line="480" w:lineRule="auto"/>
        <w:jc w:val="center"/>
      </w:pPr>
    </w:p>
    <w:p w:rsidR="003C414E" w:rsidRDefault="003C414E">
      <w:pPr>
        <w:pStyle w:val="Body"/>
        <w:spacing w:after="0" w:line="480" w:lineRule="auto"/>
        <w:jc w:val="center"/>
      </w:pPr>
    </w:p>
    <w:p w:rsidR="003C414E" w:rsidRDefault="003C414E">
      <w:pPr>
        <w:pStyle w:val="Body"/>
        <w:spacing w:after="0" w:line="480" w:lineRule="auto"/>
        <w:jc w:val="center"/>
      </w:pPr>
    </w:p>
    <w:p w:rsidR="003C414E" w:rsidRDefault="003C414E">
      <w:pPr>
        <w:pStyle w:val="Body"/>
        <w:spacing w:after="0" w:line="480" w:lineRule="auto"/>
        <w:jc w:val="center"/>
      </w:pPr>
    </w:p>
    <w:p w:rsidR="003C414E" w:rsidRDefault="003C414E">
      <w:pPr>
        <w:pStyle w:val="Body"/>
        <w:spacing w:after="0" w:line="480" w:lineRule="auto"/>
        <w:jc w:val="center"/>
      </w:pPr>
    </w:p>
    <w:p w:rsidR="003C414E" w:rsidRDefault="003C414E">
      <w:pPr>
        <w:pStyle w:val="Body"/>
        <w:spacing w:after="0" w:line="480" w:lineRule="auto"/>
        <w:jc w:val="center"/>
      </w:pPr>
    </w:p>
    <w:p w:rsidR="003C414E" w:rsidRDefault="00B21F51">
      <w:pPr>
        <w:pStyle w:val="Body"/>
        <w:spacing w:after="0" w:line="480" w:lineRule="auto"/>
        <w:jc w:val="center"/>
        <w:rPr>
          <w:b/>
          <w:bCs/>
          <w:color w:val="201F1E"/>
          <w:u w:color="201F1E"/>
          <w:shd w:val="clear" w:color="auto" w:fill="FFFFFF"/>
        </w:rPr>
      </w:pPr>
      <w:bookmarkStart w:id="0" w:name="_GoBack"/>
      <w:bookmarkEnd w:id="0"/>
      <w:r>
        <w:rPr>
          <w:b/>
          <w:bCs/>
          <w:color w:val="201F1E"/>
          <w:u w:color="201F1E"/>
          <w:shd w:val="clear" w:color="auto" w:fill="FFFFFF"/>
          <w:lang w:val="en-US"/>
        </w:rPr>
        <w:t>Canada and the United States Healthcare Delivery Systems</w:t>
      </w:r>
    </w:p>
    <w:p w:rsidR="003C414E" w:rsidRDefault="00B21F51">
      <w:pPr>
        <w:pStyle w:val="Body"/>
        <w:spacing w:after="0" w:line="480" w:lineRule="auto"/>
        <w:rPr>
          <w:b/>
          <w:bCs/>
          <w:color w:val="201F1E"/>
          <w:u w:color="201F1E"/>
          <w:shd w:val="clear" w:color="auto" w:fill="FFFFFF"/>
        </w:rPr>
      </w:pPr>
      <w:proofErr w:type="spellStart"/>
      <w:r>
        <w:rPr>
          <w:b/>
          <w:bCs/>
          <w:color w:val="201F1E"/>
          <w:u w:color="201F1E"/>
          <w:shd w:val="clear" w:color="auto" w:fill="FFFFFF"/>
          <w:lang w:val="es-ES_tradnl"/>
        </w:rPr>
        <w:t>Canada</w:t>
      </w:r>
      <w:proofErr w:type="spellEnd"/>
      <w:r>
        <w:rPr>
          <w:b/>
          <w:bCs/>
          <w:color w:val="201F1E"/>
          <w:u w:color="201F1E"/>
          <w:shd w:val="clear" w:color="auto" w:fill="FFFFFF"/>
        </w:rPr>
        <w:t>’</w:t>
      </w:r>
      <w:r>
        <w:rPr>
          <w:b/>
          <w:bCs/>
          <w:color w:val="201F1E"/>
          <w:u w:color="201F1E"/>
          <w:shd w:val="clear" w:color="auto" w:fill="FFFFFF"/>
          <w:lang w:val="en-US"/>
        </w:rPr>
        <w:t xml:space="preserve">s Distinguishing Straits on Health Matters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 xml:space="preserve">Canada's healthcare system is influenced by various factors, including social, economic, and cultural conditions and life experiences that shape Canadians' lives </w:t>
      </w:r>
      <w:r>
        <w:rPr>
          <w:color w:val="222222"/>
          <w:u w:color="222222"/>
          <w:shd w:val="clear" w:color="auto" w:fill="FFFFFF"/>
        </w:rPr>
        <w:t>(Armstrong et al., 2019)</w:t>
      </w:r>
      <w:r>
        <w:rPr>
          <w:color w:val="201F1E"/>
          <w:u w:color="201F1E"/>
          <w:shd w:val="clear" w:color="auto" w:fill="FFFFFF"/>
          <w:lang w:val="en-US"/>
        </w:rPr>
        <w:t>. Altogether, these elements impact people's physical and mental healt</w:t>
      </w:r>
      <w:r>
        <w:rPr>
          <w:color w:val="201F1E"/>
          <w:u w:color="201F1E"/>
          <w:shd w:val="clear" w:color="auto" w:fill="FFFFFF"/>
          <w:lang w:val="en-US"/>
        </w:rPr>
        <w:t>h and entail the factors that Health Canada considers. Health Canada is the department of Government of Canada in charge of the country's healthcare system, including formulating the Federal policy on health.</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Minority health has played a vital role in infl</w:t>
      </w:r>
      <w:r>
        <w:rPr>
          <w:color w:val="201F1E"/>
          <w:u w:color="201F1E"/>
          <w:shd w:val="clear" w:color="auto" w:fill="FFFFFF"/>
          <w:lang w:val="en-US"/>
        </w:rPr>
        <w:t xml:space="preserve">uencing public views on these populations' health in developing social equity in healthcare matters </w:t>
      </w:r>
      <w:r>
        <w:rPr>
          <w:color w:val="222222"/>
          <w:u w:color="222222"/>
          <w:shd w:val="clear" w:color="auto" w:fill="FFFFFF"/>
        </w:rPr>
        <w:t>(Armstrong et al., 2019)</w:t>
      </w:r>
      <w:r>
        <w:rPr>
          <w:color w:val="201F1E"/>
          <w:u w:color="201F1E"/>
          <w:shd w:val="clear" w:color="auto" w:fill="FFFFFF"/>
          <w:lang w:val="en-US"/>
        </w:rPr>
        <w:t>. Specifically, following through on the historical relationship of Aboriginals and Torres Strait Islanders and the Republic of Cana</w:t>
      </w:r>
      <w:r>
        <w:rPr>
          <w:color w:val="201F1E"/>
          <w:u w:color="201F1E"/>
          <w:shd w:val="clear" w:color="auto" w:fill="FFFFFF"/>
          <w:lang w:val="en-US"/>
        </w:rPr>
        <w:t xml:space="preserve">da, there was a wide margin on health and social equity signals to these populations' healthcare needs. The impetus of this nature led Health Canada to develop the </w:t>
      </w:r>
      <w:r>
        <w:rPr>
          <w:i/>
          <w:iCs/>
          <w:color w:val="201F1E"/>
          <w:u w:color="201F1E"/>
          <w:shd w:val="clear" w:color="auto" w:fill="FFFFFF"/>
        </w:rPr>
        <w:t xml:space="preserve">Ottawa Charter </w:t>
      </w:r>
      <w:r>
        <w:rPr>
          <w:color w:val="201F1E"/>
          <w:u w:color="201F1E"/>
          <w:shd w:val="clear" w:color="auto" w:fill="FFFFFF"/>
          <w:lang w:val="en-US"/>
        </w:rPr>
        <w:t xml:space="preserve">for Health promotion that has since been an important tool that has provided </w:t>
      </w:r>
      <w:r>
        <w:rPr>
          <w:color w:val="201F1E"/>
          <w:u w:color="201F1E"/>
          <w:shd w:val="clear" w:color="auto" w:fill="FFFFFF"/>
          <w:lang w:val="en-US"/>
        </w:rPr>
        <w:t xml:space="preserve">supportive environments that have enabled healthcare service provision and social healthcare equity for Canadians </w:t>
      </w:r>
      <w:r>
        <w:rPr>
          <w:color w:val="222222"/>
          <w:u w:color="222222"/>
          <w:shd w:val="clear" w:color="auto" w:fill="FFFFFF"/>
        </w:rPr>
        <w:t>(Armstrong et al., 2019)</w:t>
      </w:r>
      <w:r>
        <w:rPr>
          <w:color w:val="201F1E"/>
          <w:u w:color="201F1E"/>
          <w:shd w:val="clear" w:color="auto" w:fill="FFFFFF"/>
          <w:lang w:val="en-US"/>
        </w:rPr>
        <w:t xml:space="preserve">. The </w:t>
      </w:r>
      <w:r>
        <w:rPr>
          <w:i/>
          <w:iCs/>
          <w:color w:val="201F1E"/>
          <w:u w:color="201F1E"/>
          <w:shd w:val="clear" w:color="auto" w:fill="FFFFFF"/>
        </w:rPr>
        <w:t>Ottawa Charter</w:t>
      </w:r>
      <w:r>
        <w:rPr>
          <w:color w:val="201F1E"/>
          <w:u w:color="201F1E"/>
          <w:shd w:val="clear" w:color="auto" w:fill="FFFFFF"/>
          <w:lang w:val="en-US"/>
        </w:rPr>
        <w:t xml:space="preserve"> provided a holistic healthcare framework that informed on an ideal health public policy that recognized minority populations' healthcare needs, including culturally sensitive therapeutic services. Therefore, the primary </w:t>
      </w:r>
      <w:r>
        <w:rPr>
          <w:color w:val="201F1E"/>
          <w:u w:color="201F1E"/>
          <w:shd w:val="clear" w:color="auto" w:fill="FFFFFF"/>
          <w:lang w:val="en-US"/>
        </w:rPr>
        <w:lastRenderedPageBreak/>
        <w:t>healthcare system has since paid at</w:t>
      </w:r>
      <w:r>
        <w:rPr>
          <w:color w:val="201F1E"/>
          <w:u w:color="201F1E"/>
          <w:shd w:val="clear" w:color="auto" w:fill="FFFFFF"/>
          <w:lang w:val="en-US"/>
        </w:rPr>
        <w:t>tention and recognized to create conditions for equitable access to healthcare services for minority indigenous populations and vulnerable people. This also entails taking into account their histories and unique cultural context and how it influences their</w:t>
      </w:r>
      <w:r>
        <w:rPr>
          <w:color w:val="201F1E"/>
          <w:u w:color="201F1E"/>
          <w:shd w:val="clear" w:color="auto" w:fill="FFFFFF"/>
          <w:lang w:val="en-US"/>
        </w:rPr>
        <w:t xml:space="preserve"> perception of contemporary medicine to meet holistic care prospects that will lead to positive health outcomes and improve the overall quality of life.</w:t>
      </w:r>
    </w:p>
    <w:p w:rsidR="003C414E" w:rsidRDefault="00B21F51">
      <w:pPr>
        <w:pStyle w:val="Body"/>
        <w:spacing w:after="0" w:line="480" w:lineRule="auto"/>
        <w:ind w:firstLine="720"/>
        <w:rPr>
          <w:color w:val="201F1E"/>
          <w:u w:color="201F1E"/>
          <w:shd w:val="clear" w:color="auto" w:fill="FFFFFF"/>
        </w:rPr>
      </w:pPr>
      <w:proofErr w:type="spellStart"/>
      <w:r>
        <w:rPr>
          <w:color w:val="201F1E"/>
          <w:u w:color="201F1E"/>
          <w:shd w:val="clear" w:color="auto" w:fill="FFFFFF"/>
          <w:lang w:val="es-ES_tradnl"/>
        </w:rPr>
        <w:t>Canada</w:t>
      </w:r>
      <w:proofErr w:type="spellEnd"/>
      <w:r>
        <w:rPr>
          <w:color w:val="201F1E"/>
          <w:u w:color="201F1E"/>
          <w:shd w:val="clear" w:color="auto" w:fill="FFFFFF"/>
        </w:rPr>
        <w:t>’</w:t>
      </w:r>
      <w:r>
        <w:rPr>
          <w:color w:val="201F1E"/>
          <w:u w:color="201F1E"/>
          <w:shd w:val="clear" w:color="auto" w:fill="FFFFFF"/>
          <w:lang w:val="en-US"/>
        </w:rPr>
        <w:t>s economic landscape plays a significant role in influencing health and healthcare. People's inc</w:t>
      </w:r>
      <w:r>
        <w:rPr>
          <w:color w:val="201F1E"/>
          <w:u w:color="201F1E"/>
          <w:shd w:val="clear" w:color="auto" w:fill="FFFFFF"/>
          <w:lang w:val="en-US"/>
        </w:rPr>
        <w:t xml:space="preserve">ome is considered one of the most important social determinants of health </w:t>
      </w:r>
      <w:r>
        <w:rPr>
          <w:color w:val="222222"/>
          <w:u w:color="222222"/>
          <w:shd w:val="clear" w:color="auto" w:fill="FFFFFF"/>
        </w:rPr>
        <w:t>(Armstrong et al., 2019)</w:t>
      </w:r>
      <w:r>
        <w:rPr>
          <w:color w:val="201F1E"/>
          <w:u w:color="201F1E"/>
          <w:shd w:val="clear" w:color="auto" w:fill="FFFFFF"/>
          <w:lang w:val="en-US"/>
        </w:rPr>
        <w:t>. This is notable as it affects how people live, psychological functioning, and health-related behaviors, such as having a healthy diet and health-seeking. In</w:t>
      </w:r>
      <w:r>
        <w:rPr>
          <w:color w:val="201F1E"/>
          <w:u w:color="201F1E"/>
          <w:shd w:val="clear" w:color="auto" w:fill="FFFFFF"/>
          <w:lang w:val="en-US"/>
        </w:rPr>
        <w:t xml:space="preserve"> Canada, income is revered as an important factor affecting housing, food security, and other important health parameters. Income surfaces as an important parameter that guides the Federal healthcare intervention initiatives, including services and benefit</w:t>
      </w:r>
      <w:r>
        <w:rPr>
          <w:color w:val="201F1E"/>
          <w:u w:color="201F1E"/>
          <w:shd w:val="clear" w:color="auto" w:fill="FFFFFF"/>
          <w:lang w:val="en-US"/>
        </w:rPr>
        <w:t>s. The government pays for healthcare needs, including medical procedures, for children until grade 12. Research reveals that twenty percent of individuals in the wealthiest Canadian neighborhoods live an average of four years longer than those from poorer</w:t>
      </w:r>
      <w:r>
        <w:rPr>
          <w:color w:val="201F1E"/>
          <w:u w:color="201F1E"/>
          <w:shd w:val="clear" w:color="auto" w:fill="FFFFFF"/>
          <w:lang w:val="en-US"/>
        </w:rPr>
        <w:t xml:space="preserve"> neighborhoods </w:t>
      </w:r>
      <w:r>
        <w:rPr>
          <w:color w:val="222222"/>
          <w:u w:color="222222"/>
          <w:shd w:val="clear" w:color="auto" w:fill="FFFFFF"/>
        </w:rPr>
        <w:t>(Armstrong et al., 2019)</w:t>
      </w:r>
      <w:r>
        <w:rPr>
          <w:color w:val="201F1E"/>
          <w:u w:color="201F1E"/>
          <w:shd w:val="clear" w:color="auto" w:fill="FFFFFF"/>
          <w:lang w:val="en-US"/>
        </w:rPr>
        <w:t>. Income and health inequality in Canada are explicit. In the former case, the percentage of middle-level income earning families continues to decline, despite Canada being recognized as one of the wealthiest nations.</w:t>
      </w:r>
      <w:r>
        <w:rPr>
          <w:color w:val="201F1E"/>
          <w:u w:color="201F1E"/>
          <w:shd w:val="clear" w:color="auto" w:fill="FFFFFF"/>
          <w:lang w:val="en-US"/>
        </w:rPr>
        <w:t xml:space="preserve"> The impetus led Health Canada to recognize that income inequality in Canada forms a key health policy that should be addressed by the government and policymakers</w:t>
      </w:r>
      <w:r>
        <w:rPr>
          <w:color w:val="222222"/>
          <w:u w:color="222222"/>
          <w:shd w:val="clear" w:color="auto" w:fill="FFFFFF"/>
        </w:rPr>
        <w:t xml:space="preserve"> (Armstrong et al., 2019)</w:t>
      </w:r>
      <w:r>
        <w:rPr>
          <w:color w:val="201F1E"/>
          <w:u w:color="201F1E"/>
          <w:shd w:val="clear" w:color="auto" w:fill="FFFFFF"/>
          <w:lang w:val="en-US"/>
        </w:rPr>
        <w:t>. This has since been met with increasing the minimum wage and boosti</w:t>
      </w:r>
      <w:r>
        <w:rPr>
          <w:color w:val="201F1E"/>
          <w:u w:color="201F1E"/>
          <w:shd w:val="clear" w:color="auto" w:fill="FFFFFF"/>
          <w:lang w:val="en-US"/>
        </w:rPr>
        <w:t>ng assistance to individuals who cannot provide immediate health benefits. This was notable by an increased minimum wage by $0.50 from $0.25 as of October 1, 2020. Additionally, the government introduced progressive taxation to reduce income equality throu</w:t>
      </w:r>
      <w:r>
        <w:rPr>
          <w:color w:val="201F1E"/>
          <w:u w:color="201F1E"/>
          <w:shd w:val="clear" w:color="auto" w:fill="FFFFFF"/>
          <w:lang w:val="en-US"/>
        </w:rPr>
        <w:t xml:space="preserve">ghout Canada that would also </w:t>
      </w:r>
      <w:r>
        <w:rPr>
          <w:color w:val="201F1E"/>
          <w:u w:color="201F1E"/>
          <w:shd w:val="clear" w:color="auto" w:fill="FFFFFF"/>
          <w:lang w:val="en-US"/>
        </w:rPr>
        <w:lastRenderedPageBreak/>
        <w:t xml:space="preserve">improve health </w:t>
      </w:r>
      <w:r>
        <w:rPr>
          <w:shd w:val="clear" w:color="auto" w:fill="FFFFFF"/>
          <w:lang w:val="en-US"/>
        </w:rPr>
        <w:t>(Canadian Public Health Association [CPHA], 2020)</w:t>
      </w:r>
      <w:r>
        <w:rPr>
          <w:color w:val="201F1E"/>
          <w:u w:color="201F1E"/>
          <w:shd w:val="clear" w:color="auto" w:fill="FFFFFF"/>
          <w:lang w:val="en-US"/>
        </w:rPr>
        <w:t>. Thus, individuals who earn more income are taxed higher. This has been a significant undertaking by the Federal government of Canada that is not a moral and ethi</w:t>
      </w:r>
      <w:r>
        <w:rPr>
          <w:color w:val="201F1E"/>
          <w:u w:color="201F1E"/>
          <w:shd w:val="clear" w:color="auto" w:fill="FFFFFF"/>
          <w:lang w:val="en-US"/>
        </w:rPr>
        <w:t xml:space="preserve">cal imperative but has also helped restore Canada's healthy balance. Through the progressive tax system, the Canadians from middle- and lower-income levels have increased the income-expenditure to pay essential services that will improve health prospects. </w:t>
      </w:r>
      <w:r>
        <w:rPr>
          <w:color w:val="201F1E"/>
          <w:u w:color="201F1E"/>
          <w:shd w:val="clear" w:color="auto" w:fill="FFFFFF"/>
          <w:lang w:val="en-US"/>
        </w:rPr>
        <w:t xml:space="preserve">Additionally, the government also introduced the Canada Child Benefit (CCB) to tackle child and family poverty </w:t>
      </w:r>
      <w:r>
        <w:rPr>
          <w:shd w:val="clear" w:color="auto" w:fill="FFFFFF"/>
          <w:lang w:val="en-US"/>
        </w:rPr>
        <w:t>(Government of Canada, 2020)</w:t>
      </w:r>
      <w:r>
        <w:rPr>
          <w:color w:val="201F1E"/>
          <w:u w:color="201F1E"/>
          <w:shd w:val="clear" w:color="auto" w:fill="FFFFFF"/>
          <w:lang w:val="en-US"/>
        </w:rPr>
        <w:t>. This has been a significant undertaking that is meant to help families during challenging times. Families in need o</w:t>
      </w:r>
      <w:r>
        <w:rPr>
          <w:color w:val="201F1E"/>
          <w:u w:color="201F1E"/>
          <w:shd w:val="clear" w:color="auto" w:fill="FFFFFF"/>
          <w:lang w:val="en-US"/>
        </w:rPr>
        <w:t xml:space="preserve">f support receive a one-time boost of $300 per child per month. This initiative gives families supportive income to provide for their families, including engaging in positive health-supportive behaviors.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Social exclusion, especially to immigrants in t</w:t>
      </w:r>
      <w:r>
        <w:rPr>
          <w:color w:val="201F1E"/>
          <w:u w:color="201F1E"/>
          <w:shd w:val="clear" w:color="auto" w:fill="FFFFFF"/>
          <w:lang w:val="en-US"/>
        </w:rPr>
        <w:t>he country, presents a discourse into understanding the nation's public health. Notably, social exclusion refers to the unequal power relations between various groups in society</w:t>
      </w:r>
      <w:r>
        <w:rPr>
          <w:color w:val="222222"/>
          <w:u w:color="222222"/>
          <w:shd w:val="clear" w:color="auto" w:fill="FFFFFF"/>
        </w:rPr>
        <w:t xml:space="preserve"> (Armstrong et al., 2019)</w:t>
      </w:r>
      <w:r>
        <w:rPr>
          <w:color w:val="201F1E"/>
          <w:u w:color="201F1E"/>
          <w:shd w:val="clear" w:color="auto" w:fill="FFFFFF"/>
          <w:lang w:val="en-US"/>
        </w:rPr>
        <w:t>. This is an important parameter that determines the u</w:t>
      </w:r>
      <w:r>
        <w:rPr>
          <w:color w:val="201F1E"/>
          <w:u w:color="201F1E"/>
          <w:shd w:val="clear" w:color="auto" w:fill="FFFFFF"/>
          <w:lang w:val="en-US"/>
        </w:rPr>
        <w:t xml:space="preserve">nequal access to economic, social, political, and cultural resources. In the Canadian context, various groups are denied the opportunity to participate in Canadian life, including people with disabilities, women, Canadians of Color, Aboriginal people, and </w:t>
      </w:r>
      <w:r>
        <w:rPr>
          <w:color w:val="201F1E"/>
          <w:u w:color="201F1E"/>
          <w:shd w:val="clear" w:color="auto" w:fill="FFFFFF"/>
          <w:lang w:val="en-US"/>
        </w:rPr>
        <w:t>recent immigrants. These people are more likely to be unemployed, earn a low income, poor access to health and social services, and segregation. Social exclusion is a primary risk factor for the onset of chronic diseases such as diabetes, respiratory disea</w:t>
      </w:r>
      <w:r>
        <w:rPr>
          <w:color w:val="201F1E"/>
          <w:u w:color="201F1E"/>
          <w:shd w:val="clear" w:color="auto" w:fill="FFFFFF"/>
          <w:lang w:val="en-US"/>
        </w:rPr>
        <w:t>ses, cardiovascular diseases, and mental health problems</w:t>
      </w:r>
      <w:r>
        <w:rPr>
          <w:color w:val="222222"/>
          <w:u w:color="222222"/>
          <w:shd w:val="clear" w:color="auto" w:fill="FFFFFF"/>
        </w:rPr>
        <w:t xml:space="preserve"> (Armstrong et al., 2019)</w:t>
      </w:r>
      <w:r>
        <w:rPr>
          <w:color w:val="201F1E"/>
          <w:u w:color="201F1E"/>
          <w:shd w:val="clear" w:color="auto" w:fill="FFFFFF"/>
        </w:rPr>
        <w:t xml:space="preserve">.     </w:t>
      </w:r>
    </w:p>
    <w:p w:rsidR="003C414E" w:rsidRDefault="00B21F51">
      <w:pPr>
        <w:pStyle w:val="Body"/>
        <w:spacing w:after="0" w:line="480" w:lineRule="auto"/>
        <w:rPr>
          <w:b/>
          <w:bCs/>
          <w:color w:val="201F1E"/>
          <w:u w:color="201F1E"/>
          <w:shd w:val="clear" w:color="auto" w:fill="FFFFFF"/>
        </w:rPr>
      </w:pPr>
      <w:r>
        <w:rPr>
          <w:b/>
          <w:bCs/>
          <w:color w:val="201F1E"/>
          <w:u w:color="201F1E"/>
          <w:shd w:val="clear" w:color="auto" w:fill="FFFFFF"/>
          <w:lang w:val="en-US"/>
        </w:rPr>
        <w:t xml:space="preserve">Features of </w:t>
      </w:r>
      <w:proofErr w:type="gramStart"/>
      <w:r>
        <w:rPr>
          <w:b/>
          <w:bCs/>
          <w:color w:val="201F1E"/>
          <w:u w:color="201F1E"/>
          <w:shd w:val="clear" w:color="auto" w:fill="FFFFFF"/>
          <w:lang w:val="en-US"/>
        </w:rPr>
        <w:t>The</w:t>
      </w:r>
      <w:proofErr w:type="gramEnd"/>
      <w:r>
        <w:rPr>
          <w:b/>
          <w:bCs/>
          <w:color w:val="201F1E"/>
          <w:u w:color="201F1E"/>
          <w:shd w:val="clear" w:color="auto" w:fill="FFFFFF"/>
          <w:lang w:val="en-US"/>
        </w:rPr>
        <w:t xml:space="preserve"> Health Care Delivery System</w:t>
      </w:r>
    </w:p>
    <w:p w:rsidR="003C414E" w:rsidRDefault="00B21F51">
      <w:pPr>
        <w:pStyle w:val="Body"/>
        <w:spacing w:after="0" w:line="480" w:lineRule="auto"/>
        <w:rPr>
          <w:b/>
          <w:bCs/>
          <w:color w:val="201F1E"/>
          <w:u w:color="201F1E"/>
          <w:shd w:val="clear" w:color="auto" w:fill="FFFFFF"/>
        </w:rPr>
      </w:pPr>
      <w:r>
        <w:rPr>
          <w:b/>
          <w:bCs/>
          <w:color w:val="201F1E"/>
          <w:u w:color="201F1E"/>
          <w:shd w:val="clear" w:color="auto" w:fill="FFFFFF"/>
          <w:lang w:val="en-US"/>
        </w:rPr>
        <w:t xml:space="preserve">Access to Preventive Healthcare Services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lastRenderedPageBreak/>
        <w:t>Despite the ever-increasing challenges in the Canadian healthcare system, the gove</w:t>
      </w:r>
      <w:r>
        <w:rPr>
          <w:color w:val="201F1E"/>
          <w:u w:color="201F1E"/>
          <w:shd w:val="clear" w:color="auto" w:fill="FFFFFF"/>
          <w:lang w:val="en-US"/>
        </w:rPr>
        <w:t xml:space="preserve">rnment refocused its attention and preventive health efforts. The government understands that preventive medicine is integral to ensuring that people live healthier lives and combat the onset of diseases </w:t>
      </w:r>
      <w:r>
        <w:rPr>
          <w:color w:val="222222"/>
          <w:u w:color="222222"/>
          <w:shd w:val="clear" w:color="auto" w:fill="FFFFFF"/>
        </w:rPr>
        <w:t>(</w:t>
      </w:r>
      <w:r>
        <w:rPr>
          <w:color w:val="201F1E"/>
          <w:u w:color="201F1E"/>
          <w:shd w:val="clear" w:color="auto" w:fill="FFFFFF"/>
          <w:lang w:val="pt-PT"/>
        </w:rPr>
        <w:t xml:space="preserve">CPHA, 2020; </w:t>
      </w:r>
      <w:r>
        <w:rPr>
          <w:color w:val="222222"/>
          <w:u w:color="222222"/>
          <w:shd w:val="clear" w:color="auto" w:fill="FFFFFF"/>
          <w:lang w:val="it-IT"/>
        </w:rPr>
        <w:t>Dhalla &amp; Tepper, 2018)</w:t>
      </w:r>
      <w:r>
        <w:rPr>
          <w:color w:val="201F1E"/>
          <w:u w:color="201F1E"/>
          <w:shd w:val="clear" w:color="auto" w:fill="FFFFFF"/>
          <w:lang w:val="en-US"/>
        </w:rPr>
        <w:t>. Health Canada empowers individuals to take charge of their health by engaging in health-related behaviors and taking control and investing in their long-term health. The Canadian healthcare system is recognized for empowering citizens, and the government</w:t>
      </w:r>
      <w:r>
        <w:rPr>
          <w:color w:val="201F1E"/>
          <w:u w:color="201F1E"/>
          <w:shd w:val="clear" w:color="auto" w:fill="FFFFFF"/>
          <w:lang w:val="en-US"/>
        </w:rPr>
        <w:t xml:space="preserve"> approaches healthcare through prevention, screening, diagnosis, treatment, and palliative care. These elements are seamlessly integrated into the healthcare system, and the government has provided goodwill with a macro-budget. The public health expenditur</w:t>
      </w:r>
      <w:r>
        <w:rPr>
          <w:color w:val="201F1E"/>
          <w:u w:color="201F1E"/>
          <w:shd w:val="clear" w:color="auto" w:fill="FFFFFF"/>
          <w:lang w:val="en-US"/>
        </w:rPr>
        <w:t>e is forty-six percent in health promotion and prevention (CPHA, 2020). This was an important consideration made by the government to manage preventable health conditions such as cancer, diabetes, stroke, hypertension, mental illness, and heart disease. Th</w:t>
      </w:r>
      <w:r>
        <w:rPr>
          <w:color w:val="201F1E"/>
          <w:u w:color="201F1E"/>
          <w:shd w:val="clear" w:color="auto" w:fill="FFFFFF"/>
          <w:lang w:val="en-US"/>
        </w:rPr>
        <w:t>erefore, the public health initiatives entail preventative strategies such as population-health-based services, health promotion and protection, and programs and interventions that focus on disease prevention/. These public health efforts have been essenti</w:t>
      </w:r>
      <w:r>
        <w:rPr>
          <w:color w:val="201F1E"/>
          <w:u w:color="201F1E"/>
          <w:shd w:val="clear" w:color="auto" w:fill="FFFFFF"/>
          <w:lang w:val="en-US"/>
        </w:rPr>
        <w:t xml:space="preserve">al in reducing Canadians demand and utility of acute and primary health services.  </w:t>
      </w:r>
    </w:p>
    <w:p w:rsidR="003C414E" w:rsidRDefault="00B21F51">
      <w:pPr>
        <w:pStyle w:val="Body"/>
        <w:spacing w:after="0" w:line="480" w:lineRule="auto"/>
        <w:rPr>
          <w:b/>
          <w:bCs/>
          <w:color w:val="201F1E"/>
          <w:u w:color="201F1E"/>
          <w:shd w:val="clear" w:color="auto" w:fill="FFFFFF"/>
        </w:rPr>
      </w:pPr>
      <w:r>
        <w:rPr>
          <w:b/>
          <w:bCs/>
          <w:color w:val="201F1E"/>
          <w:u w:color="201F1E"/>
          <w:shd w:val="clear" w:color="auto" w:fill="FFFFFF"/>
          <w:lang w:val="en-US"/>
        </w:rPr>
        <w:t xml:space="preserve">Access to Healthcare Services in Canada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The Canadian healthcare system is designed to ensure that each territorial or provincial government can administer its own healthc</w:t>
      </w:r>
      <w:r>
        <w:rPr>
          <w:color w:val="201F1E"/>
          <w:u w:color="201F1E"/>
          <w:shd w:val="clear" w:color="auto" w:fill="FFFFFF"/>
          <w:lang w:val="en-US"/>
        </w:rPr>
        <w:t xml:space="preserve">are for its population </w:t>
      </w:r>
      <w:r>
        <w:rPr>
          <w:color w:val="222222"/>
          <w:u w:color="222222"/>
          <w:shd w:val="clear" w:color="auto" w:fill="FFFFFF"/>
        </w:rPr>
        <w:t>(Martin et al., 2018)</w:t>
      </w:r>
      <w:r>
        <w:rPr>
          <w:color w:val="201F1E"/>
          <w:u w:color="201F1E"/>
          <w:shd w:val="clear" w:color="auto" w:fill="FFFFFF"/>
          <w:lang w:val="en-US"/>
        </w:rPr>
        <w:t xml:space="preserve">. To access healthcare services, a person should apply for a </w:t>
      </w:r>
      <w:bookmarkStart w:id="1" w:name="_Hlk53712313"/>
      <w:r>
        <w:rPr>
          <w:color w:val="201F1E"/>
          <w:u w:color="201F1E"/>
          <w:shd w:val="clear" w:color="auto" w:fill="FFFFFF"/>
          <w:lang w:val="en-US"/>
        </w:rPr>
        <w:t>provincial health card</w:t>
      </w:r>
      <w:bookmarkEnd w:id="1"/>
      <w:r>
        <w:rPr>
          <w:color w:val="201F1E"/>
          <w:u w:color="201F1E"/>
          <w:shd w:val="clear" w:color="auto" w:fill="FFFFFF"/>
          <w:lang w:val="en-US"/>
        </w:rPr>
        <w:t xml:space="preserve">. This a prerequisite that is sectioned in the Canada Health Act that points out that all people in Canada at the provincial and </w:t>
      </w:r>
      <w:r>
        <w:rPr>
          <w:color w:val="201F1E"/>
          <w:u w:color="201F1E"/>
          <w:shd w:val="clear" w:color="auto" w:fill="FFFFFF"/>
          <w:lang w:val="en-US"/>
        </w:rPr>
        <w:t xml:space="preserve">territorial are required to have health coverage. The government has also made it easy for new immigrants to access a provincial health card, which should not take more than three months. </w:t>
      </w:r>
      <w:r>
        <w:rPr>
          <w:color w:val="201F1E"/>
          <w:u w:color="201F1E"/>
          <w:shd w:val="clear" w:color="auto" w:fill="FFFFFF"/>
          <w:lang w:val="en-US"/>
        </w:rPr>
        <w:lastRenderedPageBreak/>
        <w:t>The only parties that are not mandated to have a provincial health c</w:t>
      </w:r>
      <w:r>
        <w:rPr>
          <w:color w:val="201F1E"/>
          <w:u w:color="201F1E"/>
          <w:shd w:val="clear" w:color="auto" w:fill="FFFFFF"/>
          <w:lang w:val="en-US"/>
        </w:rPr>
        <w:t>ard are inmates and the Canadian Armed Forces. The card contains a person</w:t>
      </w:r>
      <w:r>
        <w:rPr>
          <w:color w:val="201F1E"/>
          <w:u w:color="201F1E"/>
          <w:shd w:val="clear" w:color="auto" w:fill="FFFFFF"/>
        </w:rPr>
        <w:t>’</w:t>
      </w:r>
      <w:r>
        <w:rPr>
          <w:color w:val="201F1E"/>
          <w:u w:color="201F1E"/>
          <w:shd w:val="clear" w:color="auto" w:fill="FFFFFF"/>
          <w:lang w:val="en-US"/>
        </w:rPr>
        <w:t>s name and identification number that are used to access their medical information. Once a person has the provincial health card, they can use it at any primary healthcare center, in</w:t>
      </w:r>
      <w:r>
        <w:rPr>
          <w:color w:val="201F1E"/>
          <w:u w:color="201F1E"/>
          <w:shd w:val="clear" w:color="auto" w:fill="FFFFFF"/>
          <w:lang w:val="en-US"/>
        </w:rPr>
        <w:t>cluding visiting a physician and seeking any health provider's services. The services provided under the provincial health card include primary care, dialysis, disease screening programs, ambulance services, mental health, and psychiatric services, intrave</w:t>
      </w:r>
      <w:r>
        <w:rPr>
          <w:color w:val="201F1E"/>
          <w:u w:color="201F1E"/>
          <w:shd w:val="clear" w:color="auto" w:fill="FFFFFF"/>
          <w:lang w:val="en-US"/>
        </w:rPr>
        <w:t xml:space="preserve">nous administration of medicines, and senior support </w:t>
      </w:r>
      <w:r>
        <w:rPr>
          <w:color w:val="222222"/>
          <w:u w:color="222222"/>
          <w:shd w:val="clear" w:color="auto" w:fill="FFFFFF"/>
        </w:rPr>
        <w:t>(Martin et al., 2018)</w:t>
      </w:r>
      <w:r>
        <w:rPr>
          <w:color w:val="201F1E"/>
          <w:u w:color="201F1E"/>
          <w:shd w:val="clear" w:color="auto" w:fill="FFFFFF"/>
          <w:lang w:val="en-US"/>
        </w:rPr>
        <w:t xml:space="preserve">. The government also launched </w:t>
      </w:r>
      <w:proofErr w:type="spellStart"/>
      <w:r>
        <w:rPr>
          <w:color w:val="201F1E"/>
          <w:u w:color="201F1E"/>
          <w:shd w:val="clear" w:color="auto" w:fill="FFFFFF"/>
          <w:lang w:val="en-US"/>
        </w:rPr>
        <w:t>Telehealth</w:t>
      </w:r>
      <w:proofErr w:type="spellEnd"/>
      <w:r>
        <w:rPr>
          <w:color w:val="201F1E"/>
          <w:u w:color="201F1E"/>
          <w:shd w:val="clear" w:color="auto" w:fill="FFFFFF"/>
          <w:lang w:val="en-US"/>
        </w:rPr>
        <w:t xml:space="preserve"> services to serve people in rural populations to expand health services to improve access to their healthcare services </w:t>
      </w:r>
      <w:r>
        <w:rPr>
          <w:color w:val="222222"/>
          <w:u w:color="222222"/>
          <w:shd w:val="clear" w:color="auto" w:fill="FFFFFF"/>
          <w:lang w:val="en-US"/>
        </w:rPr>
        <w:t xml:space="preserve">(Young &amp; </w:t>
      </w:r>
      <w:proofErr w:type="spellStart"/>
      <w:r>
        <w:rPr>
          <w:color w:val="222222"/>
          <w:u w:color="222222"/>
          <w:shd w:val="clear" w:color="auto" w:fill="FFFFFF"/>
          <w:lang w:val="en-US"/>
        </w:rPr>
        <w:t>Chatwood</w:t>
      </w:r>
      <w:proofErr w:type="spellEnd"/>
      <w:r>
        <w:rPr>
          <w:color w:val="222222"/>
          <w:u w:color="222222"/>
          <w:shd w:val="clear" w:color="auto" w:fill="FFFFFF"/>
          <w:lang w:val="en-US"/>
        </w:rPr>
        <w:t>, 20</w:t>
      </w:r>
      <w:r>
        <w:rPr>
          <w:color w:val="222222"/>
          <w:u w:color="222222"/>
          <w:shd w:val="clear" w:color="auto" w:fill="FFFFFF"/>
          <w:lang w:val="en-US"/>
        </w:rPr>
        <w:t>17)</w:t>
      </w:r>
      <w:r>
        <w:rPr>
          <w:color w:val="201F1E"/>
          <w:u w:color="201F1E"/>
          <w:shd w:val="clear" w:color="auto" w:fill="FFFFFF"/>
          <w:lang w:val="en-US"/>
        </w:rPr>
        <w:t xml:space="preserve">. The services not included under the provincial health card include prescription drugs, eyeglasses and contact lenses, cosmetic surgery, dental services, laser eye surgery.          </w:t>
      </w:r>
    </w:p>
    <w:p w:rsidR="003C414E" w:rsidRDefault="00B21F51">
      <w:pPr>
        <w:pStyle w:val="Body"/>
        <w:spacing w:after="0" w:line="480" w:lineRule="auto"/>
        <w:rPr>
          <w:b/>
          <w:bCs/>
          <w:color w:val="201F1E"/>
          <w:u w:color="201F1E"/>
          <w:shd w:val="clear" w:color="auto" w:fill="FFFFFF"/>
        </w:rPr>
      </w:pPr>
      <w:r>
        <w:rPr>
          <w:b/>
          <w:bCs/>
          <w:color w:val="201F1E"/>
          <w:u w:color="201F1E"/>
          <w:shd w:val="clear" w:color="auto" w:fill="FFFFFF"/>
          <w:lang w:val="en-US"/>
        </w:rPr>
        <w:t xml:space="preserve">Areas of Health Disparities and Priority Populations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The health disp</w:t>
      </w:r>
      <w:r>
        <w:rPr>
          <w:color w:val="201F1E"/>
          <w:u w:color="201F1E"/>
          <w:shd w:val="clear" w:color="auto" w:fill="FFFFFF"/>
          <w:lang w:val="en-US"/>
        </w:rPr>
        <w:t xml:space="preserve">arities in Canada are related to income and education/. Income affects poor and middle-level Canadians' prospects to seek healthcare services and engage in health-related behaviors </w:t>
      </w:r>
      <w:r>
        <w:rPr>
          <w:color w:val="222222"/>
          <w:u w:color="222222"/>
          <w:shd w:val="clear" w:color="auto" w:fill="FFFFFF"/>
          <w:lang w:val="it-IT"/>
        </w:rPr>
        <w:t>(Dhalla &amp; Tepper, 2018; Martin et al., 2018)</w:t>
      </w:r>
      <w:r>
        <w:rPr>
          <w:color w:val="201F1E"/>
          <w:u w:color="201F1E"/>
          <w:shd w:val="clear" w:color="auto" w:fill="FFFFFF"/>
          <w:lang w:val="en-US"/>
        </w:rPr>
        <w:t>. It also shapes the overall li</w:t>
      </w:r>
      <w:r>
        <w:rPr>
          <w:color w:val="201F1E"/>
          <w:u w:color="201F1E"/>
          <w:shd w:val="clear" w:color="auto" w:fill="FFFFFF"/>
          <w:lang w:val="en-US"/>
        </w:rPr>
        <w:t xml:space="preserve">ving conditions and affects their psychological functioning. This is notable, whereby twenty percent of wealthy neighborhoods live an average of more than four years longer than people from the poorest neighborhoods </w:t>
      </w:r>
      <w:r>
        <w:rPr>
          <w:color w:val="222222"/>
          <w:u w:color="222222"/>
          <w:shd w:val="clear" w:color="auto" w:fill="FFFFFF"/>
          <w:lang w:val="it-IT"/>
        </w:rPr>
        <w:t>(Dhalla &amp; Tepper, 2018)</w:t>
      </w:r>
      <w:r>
        <w:rPr>
          <w:color w:val="201F1E"/>
          <w:u w:color="201F1E"/>
          <w:shd w:val="clear" w:color="auto" w:fill="FFFFFF"/>
          <w:lang w:val="en-US"/>
        </w:rPr>
        <w:t xml:space="preserve">. Education also </w:t>
      </w:r>
      <w:r>
        <w:rPr>
          <w:color w:val="201F1E"/>
          <w:u w:color="201F1E"/>
          <w:shd w:val="clear" w:color="auto" w:fill="FFFFFF"/>
          <w:lang w:val="en-US"/>
        </w:rPr>
        <w:t>serves as an important identifier of health disparity in Canada. This is an important parameter of social determinants of health where people who are highly educated tend to be healthier than those with lower educational attainment. High tuition fees in th</w:t>
      </w:r>
      <w:r>
        <w:rPr>
          <w:color w:val="201F1E"/>
          <w:u w:color="201F1E"/>
          <w:shd w:val="clear" w:color="auto" w:fill="FFFFFF"/>
          <w:lang w:val="en-US"/>
        </w:rPr>
        <w:t xml:space="preserve">e Canadian educational system makes it challenging for children from low-income families to attain college or university education </w:t>
      </w:r>
      <w:r>
        <w:rPr>
          <w:color w:val="222222"/>
          <w:u w:color="222222"/>
          <w:shd w:val="clear" w:color="auto" w:fill="FFFFFF"/>
          <w:lang w:val="it-IT"/>
        </w:rPr>
        <w:t>(Dhalla &amp; Tepper, 2018; Martin et al., 2018)</w:t>
      </w:r>
      <w:r>
        <w:rPr>
          <w:color w:val="201F1E"/>
          <w:u w:color="201F1E"/>
          <w:shd w:val="clear" w:color="auto" w:fill="FFFFFF"/>
          <w:lang w:val="en-US"/>
        </w:rPr>
        <w:t xml:space="preserve">. This is problematic as attaining higher education is a precedent for </w:t>
      </w:r>
      <w:r>
        <w:rPr>
          <w:color w:val="201F1E"/>
          <w:u w:color="201F1E"/>
          <w:shd w:val="clear" w:color="auto" w:fill="FFFFFF"/>
          <w:lang w:val="en-US"/>
        </w:rPr>
        <w:lastRenderedPageBreak/>
        <w:t>securing a</w:t>
      </w:r>
      <w:r>
        <w:rPr>
          <w:color w:val="201F1E"/>
          <w:u w:color="201F1E"/>
          <w:shd w:val="clear" w:color="auto" w:fill="FFFFFF"/>
          <w:lang w:val="en-US"/>
        </w:rPr>
        <w:t xml:space="preserve"> better job and job security. The impetus a person can engage in health-promoting activities through better access to societal and economic resources. Specialty populations live in rural northern areas of Canada, specifically Newfoundland and Labrador </w:t>
      </w:r>
      <w:r>
        <w:rPr>
          <w:color w:val="222222"/>
          <w:u w:color="222222"/>
          <w:shd w:val="clear" w:color="auto" w:fill="FFFFFF"/>
          <w:lang w:val="en-US"/>
        </w:rPr>
        <w:t>(You</w:t>
      </w:r>
      <w:r>
        <w:rPr>
          <w:color w:val="222222"/>
          <w:u w:color="222222"/>
          <w:shd w:val="clear" w:color="auto" w:fill="FFFFFF"/>
          <w:lang w:val="en-US"/>
        </w:rPr>
        <w:t xml:space="preserve">ng &amp; </w:t>
      </w:r>
      <w:proofErr w:type="spellStart"/>
      <w:r>
        <w:rPr>
          <w:color w:val="222222"/>
          <w:u w:color="222222"/>
          <w:shd w:val="clear" w:color="auto" w:fill="FFFFFF"/>
          <w:lang w:val="en-US"/>
        </w:rPr>
        <w:t>Chatwood</w:t>
      </w:r>
      <w:proofErr w:type="spellEnd"/>
      <w:r>
        <w:rPr>
          <w:color w:val="222222"/>
          <w:u w:color="222222"/>
          <w:shd w:val="clear" w:color="auto" w:fill="FFFFFF"/>
          <w:lang w:val="en-US"/>
        </w:rPr>
        <w:t>, 2017)</w:t>
      </w:r>
      <w:r>
        <w:rPr>
          <w:color w:val="201F1E"/>
          <w:u w:color="201F1E"/>
          <w:shd w:val="clear" w:color="auto" w:fill="FFFFFF"/>
          <w:lang w:val="en-US"/>
        </w:rPr>
        <w:t xml:space="preserve">. The government recognizes the challenge and difficulty of rural residents in the quest to access healthcare services.    </w:t>
      </w:r>
    </w:p>
    <w:p w:rsidR="003C414E" w:rsidRDefault="00B21F51">
      <w:pPr>
        <w:pStyle w:val="Body"/>
        <w:spacing w:after="0" w:line="480" w:lineRule="auto"/>
        <w:rPr>
          <w:b/>
          <w:bCs/>
          <w:color w:val="201F1E"/>
          <w:u w:color="201F1E"/>
          <w:shd w:val="clear" w:color="auto" w:fill="FFFFFF"/>
        </w:rPr>
      </w:pPr>
      <w:r>
        <w:rPr>
          <w:b/>
          <w:bCs/>
          <w:color w:val="201F1E"/>
          <w:u w:color="201F1E"/>
          <w:shd w:val="clear" w:color="auto" w:fill="FFFFFF"/>
          <w:lang w:val="en-US"/>
        </w:rPr>
        <w:t xml:space="preserve">Financing Healthcare Services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 xml:space="preserve">Markedly, public-funded healthcare is financed by the Canadian government and overseen by Health Canada </w:t>
      </w:r>
      <w:r>
        <w:rPr>
          <w:color w:val="222222"/>
          <w:u w:color="222222"/>
          <w:shd w:val="clear" w:color="auto" w:fill="FFFFFF"/>
        </w:rPr>
        <w:t>(Martin et al., 2018)</w:t>
      </w:r>
      <w:r>
        <w:rPr>
          <w:color w:val="201F1E"/>
          <w:u w:color="201F1E"/>
          <w:shd w:val="clear" w:color="auto" w:fill="FFFFFF"/>
          <w:lang w:val="en-US"/>
        </w:rPr>
        <w:t>. The government achieves this through revenue raised by federal, provincial, and territorial taxation. Consumers also finance priv</w:t>
      </w:r>
      <w:r>
        <w:rPr>
          <w:color w:val="201F1E"/>
          <w:u w:color="201F1E"/>
          <w:shd w:val="clear" w:color="auto" w:fill="FFFFFF"/>
          <w:lang w:val="en-US"/>
        </w:rPr>
        <w:t>ate healthcare services, such as dental services and cosmetic surgery. Insurance companies can also provide supplementary health coverage, for example, elective surgery.</w:t>
      </w:r>
    </w:p>
    <w:p w:rsidR="003C414E" w:rsidRDefault="00B21F51">
      <w:pPr>
        <w:pStyle w:val="Body"/>
        <w:spacing w:after="0" w:line="480" w:lineRule="auto"/>
        <w:rPr>
          <w:b/>
          <w:bCs/>
          <w:color w:val="201F1E"/>
          <w:u w:color="201F1E"/>
          <w:shd w:val="clear" w:color="auto" w:fill="FFFFFF"/>
        </w:rPr>
      </w:pPr>
      <w:r>
        <w:rPr>
          <w:b/>
          <w:bCs/>
          <w:color w:val="201F1E"/>
          <w:u w:color="201F1E"/>
          <w:shd w:val="clear" w:color="auto" w:fill="FFFFFF"/>
          <w:lang w:val="en-US"/>
        </w:rPr>
        <w:t xml:space="preserve">Predominant Health Issues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 xml:space="preserve">The predominant health issues facing Americans include </w:t>
      </w:r>
      <w:r>
        <w:rPr>
          <w:color w:val="201F1E"/>
          <w:u w:color="201F1E"/>
          <w:shd w:val="clear" w:color="auto" w:fill="FFFFFF"/>
          <w:lang w:val="en-US"/>
        </w:rPr>
        <w:t>heart disease, the leading cause of death, obesity, some bacteria's resistance to antibiotics, and mental health (Schoen et al., 2019). Conversely, Canada's greatest health concerns are chronic conditions such as cancer, heart disease, diabetes, stroke, an</w:t>
      </w:r>
      <w:r>
        <w:rPr>
          <w:color w:val="201F1E"/>
          <w:u w:color="201F1E"/>
          <w:shd w:val="clear" w:color="auto" w:fill="FFFFFF"/>
          <w:lang w:val="en-US"/>
        </w:rPr>
        <w:t>d Chronic Lower Respiratory Diseases (CLRDs)</w:t>
      </w:r>
      <w:r>
        <w:rPr>
          <w:color w:val="222222"/>
          <w:u w:color="222222"/>
          <w:shd w:val="clear" w:color="auto" w:fill="FFFFFF"/>
        </w:rPr>
        <w:t xml:space="preserve"> (Martin et al., 2018)</w:t>
      </w:r>
      <w:r>
        <w:rPr>
          <w:color w:val="201F1E"/>
          <w:u w:color="201F1E"/>
          <w:shd w:val="clear" w:color="auto" w:fill="FFFFFF"/>
        </w:rPr>
        <w:t xml:space="preserve">. </w:t>
      </w:r>
    </w:p>
    <w:p w:rsidR="003C414E" w:rsidRDefault="00B21F51">
      <w:pPr>
        <w:pStyle w:val="Body"/>
        <w:spacing w:after="0" w:line="480" w:lineRule="auto"/>
        <w:rPr>
          <w:b/>
          <w:bCs/>
          <w:color w:val="201F1E"/>
          <w:u w:color="201F1E"/>
          <w:shd w:val="clear" w:color="auto" w:fill="FFFFFF"/>
        </w:rPr>
      </w:pPr>
      <w:r>
        <w:rPr>
          <w:b/>
          <w:bCs/>
          <w:color w:val="201F1E"/>
          <w:u w:color="201F1E"/>
          <w:shd w:val="clear" w:color="auto" w:fill="FFFFFF"/>
        </w:rPr>
        <w:t xml:space="preserve">Lessons Learnt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 xml:space="preserve">Several things make the United States (US) healthcare great. The hybrid system on health coverage combines the Affordable Care Act (ACA) elements and single-payer systems </w:t>
      </w:r>
      <w:r>
        <w:rPr>
          <w:color w:val="201F1E"/>
          <w:u w:color="201F1E"/>
          <w:shd w:val="clear" w:color="auto" w:fill="FFFFFF"/>
          <w:lang w:val="en-US"/>
        </w:rPr>
        <w:t>(Schoen et al., 2019). Therefore, citizens can supplement with private insurance to meet other healthcare needs. The US healthcare system base its therapeutic interventions using evidence-cased procedures (Schoen et al., 2019). This is evident whereby most</w:t>
      </w:r>
      <w:r>
        <w:rPr>
          <w:color w:val="201F1E"/>
          <w:u w:color="201F1E"/>
          <w:shd w:val="clear" w:color="auto" w:fill="FFFFFF"/>
          <w:lang w:val="en-US"/>
        </w:rPr>
        <w:t xml:space="preserve"> hospitals are affiliated with </w:t>
      </w:r>
      <w:r>
        <w:rPr>
          <w:color w:val="201F1E"/>
          <w:u w:color="201F1E"/>
          <w:shd w:val="clear" w:color="auto" w:fill="FFFFFF"/>
          <w:lang w:val="en-US"/>
        </w:rPr>
        <w:lastRenderedPageBreak/>
        <w:t xml:space="preserve">American universities and lead in research and innovation to provide lead saving healthcare interventions.   </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Notably, the United States should shift from a reactive approach to health. This is evident whereby the operating p</w:t>
      </w:r>
      <w:r>
        <w:rPr>
          <w:color w:val="201F1E"/>
          <w:u w:color="201F1E"/>
          <w:shd w:val="clear" w:color="auto" w:fill="FFFFFF"/>
          <w:lang w:val="en-US"/>
        </w:rPr>
        <w:t xml:space="preserve">aradigm is the "sick care system" </w:t>
      </w:r>
      <w:r>
        <w:rPr>
          <w:color w:val="222222"/>
          <w:u w:color="222222"/>
          <w:shd w:val="clear" w:color="auto" w:fill="FFFFFF"/>
        </w:rPr>
        <w:t>(Martin et al., 2018)</w:t>
      </w:r>
      <w:r>
        <w:rPr>
          <w:color w:val="201F1E"/>
          <w:u w:color="201F1E"/>
          <w:shd w:val="clear" w:color="auto" w:fill="FFFFFF"/>
          <w:lang w:val="en-US"/>
        </w:rPr>
        <w:t xml:space="preserve">.  </w:t>
      </w:r>
      <w:proofErr w:type="gramStart"/>
      <w:r>
        <w:rPr>
          <w:color w:val="201F1E"/>
          <w:u w:color="201F1E"/>
          <w:shd w:val="clear" w:color="auto" w:fill="FFFFFF"/>
          <w:lang w:val="en-US"/>
        </w:rPr>
        <w:t>the</w:t>
      </w:r>
      <w:proofErr w:type="gramEnd"/>
      <w:r>
        <w:rPr>
          <w:color w:val="201F1E"/>
          <w:u w:color="201F1E"/>
          <w:shd w:val="clear" w:color="auto" w:fill="FFFFFF"/>
          <w:lang w:val="en-US"/>
        </w:rPr>
        <w:t xml:space="preserve"> focus here is to diagnose and treat disease instead of focusing on prevention. Essentially, the US uses a preventive medicine approach in cancer care whereby patients are only subjected to preve</w:t>
      </w:r>
      <w:r>
        <w:rPr>
          <w:color w:val="201F1E"/>
          <w:u w:color="201F1E"/>
          <w:shd w:val="clear" w:color="auto" w:fill="FFFFFF"/>
          <w:lang w:val="en-US"/>
        </w:rPr>
        <w:t>ntion, screening, diagnosis, treatment, and palliative care. As such, this system should form the crux of operation in the healthcare system. The government should empower Americans to engage in positive health-related behaviors such as eating healthy, exe</w:t>
      </w:r>
      <w:r>
        <w:rPr>
          <w:color w:val="201F1E"/>
          <w:u w:color="201F1E"/>
          <w:shd w:val="clear" w:color="auto" w:fill="FFFFFF"/>
          <w:lang w:val="en-US"/>
        </w:rPr>
        <w:t>rcising, and regularly attending to a physician to optimize health outcomes.</w:t>
      </w:r>
    </w:p>
    <w:p w:rsidR="003C414E" w:rsidRDefault="00B21F51">
      <w:pPr>
        <w:pStyle w:val="Body"/>
        <w:spacing w:after="0" w:line="480" w:lineRule="auto"/>
        <w:ind w:firstLine="720"/>
        <w:rPr>
          <w:color w:val="201F1E"/>
          <w:u w:color="201F1E"/>
          <w:shd w:val="clear" w:color="auto" w:fill="FFFFFF"/>
        </w:rPr>
      </w:pPr>
      <w:r>
        <w:rPr>
          <w:color w:val="201F1E"/>
          <w:u w:color="201F1E"/>
          <w:shd w:val="clear" w:color="auto" w:fill="FFFFFF"/>
          <w:lang w:val="en-US"/>
        </w:rPr>
        <w:t>The US healthcare system can consider integration and innovation. This is a notable issue as healthcare stakeholders still function as silos, whereby healthcare institutions and p</w:t>
      </w:r>
      <w:r>
        <w:rPr>
          <w:color w:val="201F1E"/>
          <w:u w:color="201F1E"/>
          <w:shd w:val="clear" w:color="auto" w:fill="FFFFFF"/>
          <w:lang w:val="en-US"/>
        </w:rPr>
        <w:t xml:space="preserve">roviders function as entities to themselves </w:t>
      </w:r>
      <w:r>
        <w:rPr>
          <w:color w:val="222222"/>
          <w:u w:color="222222"/>
          <w:shd w:val="clear" w:color="auto" w:fill="FFFFFF"/>
        </w:rPr>
        <w:t>(Martin et al., 2018)</w:t>
      </w:r>
      <w:r>
        <w:rPr>
          <w:color w:val="201F1E"/>
          <w:u w:color="201F1E"/>
          <w:shd w:val="clear" w:color="auto" w:fill="FFFFFF"/>
          <w:lang w:val="en-US"/>
        </w:rPr>
        <w:t>. This is problematic as there is poor sharing of information and an uncoordinated way to serve patients with common problems. The US healthcare system should adopt this system to ensure that</w:t>
      </w:r>
      <w:r>
        <w:rPr>
          <w:color w:val="201F1E"/>
          <w:u w:color="201F1E"/>
          <w:shd w:val="clear" w:color="auto" w:fill="FFFFFF"/>
          <w:lang w:val="en-US"/>
        </w:rPr>
        <w:t xml:space="preserve"> the patient can be served wherever and by any healthcare provider. Moreover, there should be enhanced accountability, implicit in Canada </w:t>
      </w:r>
      <w:r>
        <w:rPr>
          <w:color w:val="222222"/>
          <w:u w:color="222222"/>
          <w:shd w:val="clear" w:color="auto" w:fill="FFFFFF"/>
          <w:lang w:val="it-IT"/>
        </w:rPr>
        <w:t>(Dhalla &amp; Tepper, 2018)</w:t>
      </w:r>
      <w:r>
        <w:rPr>
          <w:color w:val="201F1E"/>
          <w:u w:color="201F1E"/>
          <w:shd w:val="clear" w:color="auto" w:fill="FFFFFF"/>
          <w:lang w:val="en-US"/>
        </w:rPr>
        <w:t>. This will entail transitioning from accountability models that are focused on outcomes and no</w:t>
      </w:r>
      <w:r>
        <w:rPr>
          <w:color w:val="201F1E"/>
          <w:u w:color="201F1E"/>
          <w:shd w:val="clear" w:color="auto" w:fill="FFFFFF"/>
          <w:lang w:val="en-US"/>
        </w:rPr>
        <w:t xml:space="preserve">t output. As such, this will require rewarding quality and effectiveness and not the amount of services provided.     </w:t>
      </w:r>
    </w:p>
    <w:p w:rsidR="003C414E" w:rsidRDefault="00B21F51">
      <w:pPr>
        <w:pStyle w:val="Body"/>
        <w:spacing w:after="0" w:line="240" w:lineRule="auto"/>
      </w:pPr>
      <w:r>
        <w:rPr>
          <w:rFonts w:ascii="Arial Unicode MS" w:hAnsi="Arial Unicode MS"/>
          <w:color w:val="201F1E"/>
          <w:u w:color="201F1E"/>
          <w:shd w:val="clear" w:color="auto" w:fill="FFFFFF"/>
        </w:rPr>
        <w:br w:type="page"/>
      </w:r>
    </w:p>
    <w:p w:rsidR="003C414E" w:rsidRDefault="00B21F51">
      <w:pPr>
        <w:pStyle w:val="Body"/>
        <w:spacing w:after="0" w:line="480" w:lineRule="auto"/>
        <w:jc w:val="center"/>
        <w:rPr>
          <w:color w:val="201F1E"/>
          <w:u w:color="201F1E"/>
          <w:shd w:val="clear" w:color="auto" w:fill="FFFFFF"/>
        </w:rPr>
      </w:pPr>
      <w:proofErr w:type="spellStart"/>
      <w:r>
        <w:rPr>
          <w:color w:val="201F1E"/>
          <w:u w:color="201F1E"/>
          <w:shd w:val="clear" w:color="auto" w:fill="FFFFFF"/>
          <w:lang w:val="fr-FR"/>
        </w:rPr>
        <w:lastRenderedPageBreak/>
        <w:t>References</w:t>
      </w:r>
      <w:proofErr w:type="spellEnd"/>
    </w:p>
    <w:p w:rsidR="003C414E" w:rsidRDefault="00B21F51">
      <w:pPr>
        <w:pStyle w:val="Body"/>
        <w:spacing w:after="0" w:line="480" w:lineRule="auto"/>
        <w:rPr>
          <w:color w:val="222222"/>
          <w:u w:color="222222"/>
          <w:shd w:val="clear" w:color="auto" w:fill="FFFFFF"/>
        </w:rPr>
      </w:pPr>
      <w:r>
        <w:rPr>
          <w:color w:val="222222"/>
          <w:u w:color="222222"/>
          <w:shd w:val="clear" w:color="auto" w:fill="FFFFFF"/>
          <w:lang w:val="en-US"/>
        </w:rPr>
        <w:t xml:space="preserve">Armstrong, P., Armstrong, H., </w:t>
      </w:r>
      <w:proofErr w:type="spellStart"/>
      <w:r>
        <w:rPr>
          <w:color w:val="222222"/>
          <w:u w:color="222222"/>
          <w:shd w:val="clear" w:color="auto" w:fill="FFFFFF"/>
          <w:lang w:val="en-US"/>
        </w:rPr>
        <w:t>Choiniere</w:t>
      </w:r>
      <w:proofErr w:type="spellEnd"/>
      <w:r>
        <w:rPr>
          <w:color w:val="222222"/>
          <w:u w:color="222222"/>
          <w:shd w:val="clear" w:color="auto" w:fill="FFFFFF"/>
          <w:lang w:val="en-US"/>
        </w:rPr>
        <w:t>, J., Feldberg, G., &amp; White, J. P. (2019).</w:t>
      </w:r>
      <w:r>
        <w:rPr>
          <w:color w:val="222222"/>
          <w:u w:color="222222"/>
          <w:shd w:val="clear" w:color="auto" w:fill="FFFFFF"/>
        </w:rPr>
        <w:t> </w:t>
      </w:r>
      <w:r>
        <w:rPr>
          <w:i/>
          <w:iCs/>
          <w:color w:val="222222"/>
          <w:u w:color="222222"/>
          <w:shd w:val="clear" w:color="auto" w:fill="FFFFFF"/>
          <w:lang w:val="en-US"/>
        </w:rPr>
        <w:t xml:space="preserve">Take care: </w:t>
      </w:r>
      <w:r>
        <w:rPr>
          <w:i/>
          <w:iCs/>
          <w:color w:val="222222"/>
          <w:u w:color="222222"/>
          <w:shd w:val="clear" w:color="auto" w:fill="FFFFFF"/>
          <w:lang w:val="en-US"/>
        </w:rPr>
        <w:tab/>
      </w:r>
      <w:r>
        <w:rPr>
          <w:i/>
          <w:iCs/>
          <w:color w:val="222222"/>
          <w:u w:color="222222"/>
          <w:shd w:val="clear" w:color="auto" w:fill="FFFFFF"/>
        </w:rPr>
        <w:tab/>
      </w:r>
      <w:r>
        <w:rPr>
          <w:i/>
          <w:iCs/>
          <w:color w:val="222222"/>
          <w:u w:color="222222"/>
          <w:shd w:val="clear" w:color="auto" w:fill="FFFFFF"/>
        </w:rPr>
        <w:tab/>
      </w:r>
      <w:r>
        <w:rPr>
          <w:i/>
          <w:iCs/>
          <w:color w:val="222222"/>
          <w:u w:color="222222"/>
          <w:shd w:val="clear" w:color="auto" w:fill="FFFFFF"/>
          <w:lang w:val="en-US"/>
        </w:rPr>
        <w:t>Warning signals for Canada's</w:t>
      </w:r>
      <w:r>
        <w:rPr>
          <w:i/>
          <w:iCs/>
          <w:color w:val="222222"/>
          <w:u w:color="222222"/>
          <w:shd w:val="clear" w:color="auto" w:fill="FFFFFF"/>
          <w:lang w:val="en-US"/>
        </w:rPr>
        <w:t xml:space="preserve"> health system</w:t>
      </w:r>
      <w:r>
        <w:rPr>
          <w:color w:val="222222"/>
          <w:u w:color="222222"/>
          <w:shd w:val="clear" w:color="auto" w:fill="FFFFFF"/>
          <w:lang w:val="en-US"/>
        </w:rPr>
        <w:t>. University of Toronto Press.</w:t>
      </w:r>
    </w:p>
    <w:p w:rsidR="003C414E" w:rsidRDefault="00B21F51">
      <w:pPr>
        <w:pStyle w:val="Body"/>
        <w:spacing w:after="0" w:line="480" w:lineRule="auto"/>
        <w:rPr>
          <w:color w:val="201F1E"/>
          <w:u w:color="201F1E"/>
          <w:shd w:val="clear" w:color="auto" w:fill="FFFFFF"/>
        </w:rPr>
      </w:pPr>
      <w:r>
        <w:rPr>
          <w:shd w:val="clear" w:color="auto" w:fill="FFFFFF"/>
          <w:lang w:val="en-US"/>
        </w:rPr>
        <w:t>Canadian Public Health Association. (2020).</w:t>
      </w:r>
      <w:r>
        <w:rPr>
          <w:shd w:val="clear" w:color="auto" w:fill="FFFFFF"/>
        </w:rPr>
        <w:t> </w:t>
      </w:r>
      <w:r>
        <w:rPr>
          <w:i/>
          <w:iCs/>
          <w:shd w:val="clear" w:color="auto" w:fill="FFFFFF"/>
          <w:lang w:val="en-US"/>
        </w:rPr>
        <w:t xml:space="preserve">Making the economic case for investing in public </w:t>
      </w:r>
      <w:r>
        <w:rPr>
          <w:i/>
          <w:iCs/>
          <w:shd w:val="clear" w:color="auto" w:fill="FFFFFF"/>
          <w:lang w:val="en-US"/>
        </w:rPr>
        <w:tab/>
      </w:r>
      <w:r>
        <w:rPr>
          <w:i/>
          <w:iCs/>
          <w:shd w:val="clear" w:color="auto" w:fill="FFFFFF"/>
        </w:rPr>
        <w:tab/>
      </w:r>
      <w:r>
        <w:rPr>
          <w:i/>
          <w:iCs/>
          <w:shd w:val="clear" w:color="auto" w:fill="FFFFFF"/>
        </w:rPr>
        <w:tab/>
      </w:r>
      <w:r>
        <w:rPr>
          <w:i/>
          <w:iCs/>
          <w:shd w:val="clear" w:color="auto" w:fill="FFFFFF"/>
          <w:lang w:val="en-US"/>
        </w:rPr>
        <w:t>health and the SDH | Canadian Public Health Association</w:t>
      </w:r>
      <w:r>
        <w:rPr>
          <w:shd w:val="clear" w:color="auto" w:fill="FFFFFF"/>
          <w:lang w:val="en-US"/>
        </w:rPr>
        <w:t xml:space="preserve">. Cpha.ca. Retrieved 16 </w:t>
      </w:r>
      <w:r>
        <w:rPr>
          <w:shd w:val="clear" w:color="auto" w:fill="FFFFFF"/>
          <w:lang w:val="en-US"/>
        </w:rPr>
        <w:tab/>
      </w:r>
      <w:r>
        <w:rPr>
          <w:shd w:val="clear" w:color="auto" w:fill="FFFFFF"/>
        </w:rPr>
        <w:tab/>
      </w:r>
      <w:r>
        <w:rPr>
          <w:shd w:val="clear" w:color="auto" w:fill="FFFFFF"/>
        </w:rPr>
        <w:tab/>
      </w:r>
      <w:r>
        <w:rPr>
          <w:shd w:val="clear" w:color="auto" w:fill="FFFFFF"/>
          <w:lang w:val="en-US"/>
        </w:rPr>
        <w:t xml:space="preserve">October 2020, from </w:t>
      </w:r>
      <w:r>
        <w:rPr>
          <w:shd w:val="clear" w:color="auto" w:fill="FFFFFF"/>
          <w:lang w:val="en-US"/>
        </w:rPr>
        <w:t>https://www.cpha.ca/making-economic-case-investing-public-health-</w:t>
      </w:r>
      <w:r>
        <w:rPr>
          <w:shd w:val="clear" w:color="auto" w:fill="FFFFFF"/>
          <w:lang w:val="en-US"/>
        </w:rPr>
        <w:tab/>
      </w:r>
      <w:r>
        <w:rPr>
          <w:shd w:val="clear" w:color="auto" w:fill="FFFFFF"/>
        </w:rPr>
        <w:tab/>
      </w:r>
      <w:r>
        <w:rPr>
          <w:shd w:val="clear" w:color="auto" w:fill="FFFFFF"/>
        </w:rPr>
        <w:tab/>
      </w:r>
      <w:r>
        <w:rPr>
          <w:shd w:val="clear" w:color="auto" w:fill="FFFFFF"/>
        </w:rPr>
        <w:t>and-sdh.</w:t>
      </w:r>
    </w:p>
    <w:p w:rsidR="003C414E" w:rsidRDefault="00B21F51">
      <w:pPr>
        <w:pStyle w:val="Body"/>
        <w:spacing w:after="0" w:line="480" w:lineRule="auto"/>
        <w:rPr>
          <w:color w:val="222222"/>
          <w:u w:color="222222"/>
          <w:shd w:val="clear" w:color="auto" w:fill="FFFFFF"/>
        </w:rPr>
      </w:pPr>
      <w:proofErr w:type="spellStart"/>
      <w:r>
        <w:rPr>
          <w:color w:val="222222"/>
          <w:u w:color="222222"/>
          <w:shd w:val="clear" w:color="auto" w:fill="FFFFFF"/>
          <w:lang w:val="en-US"/>
        </w:rPr>
        <w:t>Dhalla</w:t>
      </w:r>
      <w:proofErr w:type="spellEnd"/>
      <w:r>
        <w:rPr>
          <w:color w:val="222222"/>
          <w:u w:color="222222"/>
          <w:shd w:val="clear" w:color="auto" w:fill="FFFFFF"/>
          <w:lang w:val="en-US"/>
        </w:rPr>
        <w:t xml:space="preserve">, I. A., &amp; </w:t>
      </w:r>
      <w:proofErr w:type="spellStart"/>
      <w:r>
        <w:rPr>
          <w:color w:val="222222"/>
          <w:u w:color="222222"/>
          <w:shd w:val="clear" w:color="auto" w:fill="FFFFFF"/>
          <w:lang w:val="en-US"/>
        </w:rPr>
        <w:t>Tepper</w:t>
      </w:r>
      <w:proofErr w:type="spellEnd"/>
      <w:r>
        <w:rPr>
          <w:color w:val="222222"/>
          <w:u w:color="222222"/>
          <w:shd w:val="clear" w:color="auto" w:fill="FFFFFF"/>
          <w:lang w:val="en-US"/>
        </w:rPr>
        <w:t xml:space="preserve">, J. (2018). Improving the quality of health care in </w:t>
      </w:r>
      <w:r>
        <w:rPr>
          <w:color w:val="222222"/>
          <w:u w:color="222222"/>
          <w:shd w:val="clear" w:color="auto" w:fill="FFFFFF"/>
          <w:lang w:val="en-US"/>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lang w:val="pt-PT"/>
        </w:rPr>
        <w:t>Canada.</w:t>
      </w:r>
      <w:r>
        <w:rPr>
          <w:color w:val="222222"/>
          <w:u w:color="222222"/>
          <w:shd w:val="clear" w:color="auto" w:fill="FFFFFF"/>
        </w:rPr>
        <w:t> </w:t>
      </w:r>
      <w:r>
        <w:rPr>
          <w:i/>
          <w:iCs/>
          <w:color w:val="222222"/>
          <w:u w:color="222222"/>
          <w:shd w:val="clear" w:color="auto" w:fill="FFFFFF"/>
          <w:lang w:val="pt-PT"/>
        </w:rPr>
        <w:t>CMAJ</w:t>
      </w:r>
      <w:r>
        <w:rPr>
          <w:color w:val="222222"/>
          <w:u w:color="222222"/>
          <w:shd w:val="clear" w:color="auto" w:fill="FFFFFF"/>
        </w:rPr>
        <w:t>, </w:t>
      </w:r>
      <w:r>
        <w:rPr>
          <w:i/>
          <w:iCs/>
          <w:color w:val="222222"/>
          <w:u w:color="222222"/>
          <w:shd w:val="clear" w:color="auto" w:fill="FFFFFF"/>
        </w:rPr>
        <w:t>190</w:t>
      </w:r>
      <w:r>
        <w:rPr>
          <w:color w:val="222222"/>
          <w:u w:color="222222"/>
          <w:shd w:val="clear" w:color="auto" w:fill="FFFFFF"/>
        </w:rPr>
        <w:t>(39), 1162-1167.</w:t>
      </w:r>
    </w:p>
    <w:p w:rsidR="003C414E" w:rsidRDefault="00B21F51">
      <w:pPr>
        <w:pStyle w:val="Body"/>
        <w:spacing w:after="0" w:line="480" w:lineRule="auto"/>
        <w:rPr>
          <w:shd w:val="clear" w:color="auto" w:fill="FFFFFF"/>
        </w:rPr>
      </w:pPr>
      <w:r>
        <w:rPr>
          <w:shd w:val="clear" w:color="auto" w:fill="FFFFFF"/>
          <w:lang w:val="en-US"/>
        </w:rPr>
        <w:t>Government of Canada. (2020).</w:t>
      </w:r>
      <w:r>
        <w:rPr>
          <w:shd w:val="clear" w:color="auto" w:fill="FFFFFF"/>
        </w:rPr>
        <w:t> </w:t>
      </w:r>
      <w:r>
        <w:rPr>
          <w:i/>
          <w:iCs/>
          <w:shd w:val="clear" w:color="auto" w:fill="FFFFFF"/>
          <w:lang w:val="it-IT"/>
        </w:rPr>
        <w:t>Canada Child Benefit - Canada.ca</w:t>
      </w:r>
      <w:r>
        <w:rPr>
          <w:shd w:val="clear" w:color="auto" w:fill="FFFFFF"/>
          <w:lang w:val="en-US"/>
        </w:rPr>
        <w:t>.</w:t>
      </w:r>
      <w:r>
        <w:rPr>
          <w:shd w:val="clear" w:color="auto" w:fill="FFFFFF"/>
          <w:lang w:val="en-US"/>
        </w:rPr>
        <w:t xml:space="preserve"> Canada.ca. Retrieved 16 </w:t>
      </w:r>
      <w:r>
        <w:rPr>
          <w:shd w:val="clear" w:color="auto" w:fill="FFFFFF"/>
          <w:lang w:val="en-US"/>
        </w:rPr>
        <w:tab/>
      </w:r>
      <w:r>
        <w:rPr>
          <w:shd w:val="clear" w:color="auto" w:fill="FFFFFF"/>
        </w:rPr>
        <w:tab/>
      </w:r>
      <w:r>
        <w:rPr>
          <w:shd w:val="clear" w:color="auto" w:fill="FFFFFF"/>
        </w:rPr>
        <w:tab/>
      </w:r>
      <w:r>
        <w:rPr>
          <w:shd w:val="clear" w:color="auto" w:fill="FFFFFF"/>
          <w:lang w:val="en-US"/>
        </w:rPr>
        <w:t>October 2020, from https://www.canada.ca/en/employment-social-</w:t>
      </w:r>
      <w:r>
        <w:rPr>
          <w:shd w:val="clear" w:color="auto" w:fill="FFFFFF"/>
          <w:lang w:val="en-US"/>
        </w:rPr>
        <w:tab/>
        <w:t>development/</w:t>
      </w:r>
      <w:r>
        <w:rPr>
          <w:shd w:val="clear" w:color="auto" w:fill="FFFFFF"/>
        </w:rPr>
        <w:tab/>
      </w:r>
      <w:r>
        <w:rPr>
          <w:shd w:val="clear" w:color="auto" w:fill="FFFFFF"/>
        </w:rPr>
        <w:tab/>
      </w:r>
      <w:r>
        <w:rPr>
          <w:shd w:val="clear" w:color="auto" w:fill="FFFFFF"/>
        </w:rPr>
        <w:tab/>
      </w:r>
      <w:r>
        <w:rPr>
          <w:shd w:val="clear" w:color="auto" w:fill="FFFFFF"/>
        </w:rPr>
        <w:tab/>
      </w:r>
      <w:r>
        <w:rPr>
          <w:shd w:val="clear" w:color="auto" w:fill="FFFFFF"/>
          <w:lang w:val="en-US"/>
        </w:rPr>
        <w:t>campaigns/canada-child-benefit.html.</w:t>
      </w:r>
    </w:p>
    <w:p w:rsidR="003C414E" w:rsidRDefault="00B21F51">
      <w:pPr>
        <w:pStyle w:val="Body"/>
        <w:spacing w:after="0" w:line="480" w:lineRule="auto"/>
        <w:rPr>
          <w:color w:val="201F1E"/>
          <w:u w:color="201F1E"/>
          <w:shd w:val="clear" w:color="auto" w:fill="FFFFFF"/>
        </w:rPr>
      </w:pPr>
      <w:r>
        <w:rPr>
          <w:shd w:val="clear" w:color="auto" w:fill="FFFFFF"/>
          <w:lang w:val="en-US"/>
        </w:rPr>
        <w:t>Government of Canada. (2020).</w:t>
      </w:r>
      <w:r>
        <w:rPr>
          <w:shd w:val="clear" w:color="auto" w:fill="FFFFFF"/>
        </w:rPr>
        <w:t> </w:t>
      </w:r>
      <w:r>
        <w:rPr>
          <w:i/>
          <w:iCs/>
          <w:shd w:val="clear" w:color="auto" w:fill="FFFFFF"/>
          <w:lang w:val="en-US"/>
        </w:rPr>
        <w:t>Canada's Health Care System - Canada.ca</w:t>
      </w:r>
      <w:r>
        <w:rPr>
          <w:shd w:val="clear" w:color="auto" w:fill="FFFFFF"/>
          <w:lang w:val="pt-PT"/>
        </w:rPr>
        <w:t xml:space="preserve">. Canada.ca. </w:t>
      </w:r>
      <w:r>
        <w:rPr>
          <w:shd w:val="clear" w:color="auto" w:fill="FFFFFF"/>
          <w:lang w:val="pt-PT"/>
        </w:rPr>
        <w:tab/>
      </w:r>
      <w:r>
        <w:rPr>
          <w:shd w:val="clear" w:color="auto" w:fill="FFFFFF"/>
        </w:rPr>
        <w:tab/>
      </w:r>
      <w:r>
        <w:rPr>
          <w:shd w:val="clear" w:color="auto" w:fill="FFFFFF"/>
        </w:rPr>
        <w:tab/>
      </w:r>
      <w:r>
        <w:rPr>
          <w:shd w:val="clear" w:color="auto" w:fill="FFFFFF"/>
        </w:rPr>
        <w:tab/>
      </w:r>
      <w:r>
        <w:rPr>
          <w:shd w:val="clear" w:color="auto" w:fill="FFFFFF"/>
          <w:lang w:val="en-US"/>
        </w:rPr>
        <w:t>Retrieved 16 October 2020,</w:t>
      </w:r>
      <w:r>
        <w:rPr>
          <w:shd w:val="clear" w:color="auto" w:fill="FFFFFF"/>
          <w:lang w:val="en-US"/>
        </w:rPr>
        <w:t xml:space="preserve"> from https://www.canada.ca/en/health-</w:t>
      </w:r>
      <w:r>
        <w:rPr>
          <w:shd w:val="clear" w:color="auto" w:fill="FFFFFF"/>
          <w:lang w:val="en-US"/>
        </w:rPr>
        <w:tab/>
      </w:r>
      <w:proofErr w:type="spellStart"/>
      <w:r>
        <w:rPr>
          <w:shd w:val="clear" w:color="auto" w:fill="FFFFFF"/>
          <w:lang w:val="en-US"/>
        </w:rPr>
        <w:t>canada</w:t>
      </w:r>
      <w:proofErr w:type="spellEnd"/>
      <w:r>
        <w:rPr>
          <w:shd w:val="clear" w:color="auto" w:fill="FFFFFF"/>
          <w:lang w:val="en-US"/>
        </w:rPr>
        <w:t>/services/</w:t>
      </w:r>
      <w:r>
        <w:rPr>
          <w:shd w:val="clear" w:color="auto" w:fill="FFFFFF"/>
        </w:rPr>
        <w:tab/>
      </w:r>
      <w:r>
        <w:rPr>
          <w:shd w:val="clear" w:color="auto" w:fill="FFFFFF"/>
        </w:rPr>
        <w:tab/>
      </w:r>
      <w:r>
        <w:rPr>
          <w:shd w:val="clear" w:color="auto" w:fill="FFFFFF"/>
        </w:rPr>
        <w:tab/>
      </w:r>
      <w:r>
        <w:rPr>
          <w:shd w:val="clear" w:color="auto" w:fill="FFFFFF"/>
          <w:lang w:val="en-US"/>
        </w:rPr>
        <w:t>health-care-system/reports-publications/health-care-system/canada.html.</w:t>
      </w:r>
    </w:p>
    <w:p w:rsidR="003C414E" w:rsidRDefault="00B21F51">
      <w:pPr>
        <w:pStyle w:val="Body"/>
        <w:spacing w:after="0" w:line="480" w:lineRule="auto"/>
        <w:rPr>
          <w:color w:val="222222"/>
          <w:u w:color="222222"/>
          <w:shd w:val="clear" w:color="auto" w:fill="FFFFFF"/>
        </w:rPr>
      </w:pPr>
      <w:r>
        <w:rPr>
          <w:color w:val="222222"/>
          <w:u w:color="222222"/>
          <w:shd w:val="clear" w:color="auto" w:fill="FFFFFF"/>
          <w:lang w:val="it-IT"/>
        </w:rPr>
        <w:t>Martin, D., Miller, A. P., Quesnel-Vall</w:t>
      </w:r>
      <w:r>
        <w:rPr>
          <w:color w:val="222222"/>
          <w:u w:color="222222"/>
          <w:shd w:val="clear" w:color="auto" w:fill="FFFFFF"/>
          <w:lang w:val="fr-FR"/>
        </w:rPr>
        <w:t>é</w:t>
      </w:r>
      <w:r>
        <w:rPr>
          <w:color w:val="222222"/>
          <w:u w:color="222222"/>
          <w:shd w:val="clear" w:color="auto" w:fill="FFFFFF"/>
          <w:lang w:val="nl-NL"/>
        </w:rPr>
        <w:t>e, A., Caron, N. R., Vissandj</w:t>
      </w:r>
      <w:r>
        <w:rPr>
          <w:color w:val="222222"/>
          <w:u w:color="222222"/>
          <w:shd w:val="clear" w:color="auto" w:fill="FFFFFF"/>
          <w:lang w:val="fr-FR"/>
        </w:rPr>
        <w:t>é</w:t>
      </w:r>
      <w:r>
        <w:rPr>
          <w:color w:val="222222"/>
          <w:u w:color="222222"/>
          <w:shd w:val="clear" w:color="auto" w:fill="FFFFFF"/>
          <w:lang w:val="en-US"/>
        </w:rPr>
        <w:t xml:space="preserve">e, B., &amp; </w:t>
      </w:r>
      <w:proofErr w:type="spellStart"/>
      <w:r>
        <w:rPr>
          <w:color w:val="222222"/>
          <w:u w:color="222222"/>
          <w:shd w:val="clear" w:color="auto" w:fill="FFFFFF"/>
          <w:lang w:val="en-US"/>
        </w:rPr>
        <w:t>Marchildon</w:t>
      </w:r>
      <w:proofErr w:type="spellEnd"/>
      <w:r>
        <w:rPr>
          <w:color w:val="222222"/>
          <w:u w:color="222222"/>
          <w:shd w:val="clear" w:color="auto" w:fill="FFFFFF"/>
          <w:lang w:val="en-US"/>
        </w:rPr>
        <w:t xml:space="preserve">, G. P. </w:t>
      </w:r>
      <w:r>
        <w:rPr>
          <w:color w:val="222222"/>
          <w:u w:color="222222"/>
          <w:shd w:val="clear" w:color="auto" w:fill="FFFFFF"/>
          <w:lang w:val="en-US"/>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lang w:val="en-US"/>
        </w:rPr>
        <w:t xml:space="preserve">(2018). Canada's universal healthcare system: achieving its potential. </w:t>
      </w:r>
      <w:r>
        <w:rPr>
          <w:i/>
          <w:iCs/>
          <w:color w:val="222222"/>
          <w:u w:color="222222"/>
          <w:shd w:val="clear" w:color="auto" w:fill="FFFFFF"/>
          <w:lang w:val="en-US"/>
        </w:rPr>
        <w:t xml:space="preserve">The </w:t>
      </w:r>
      <w:r>
        <w:rPr>
          <w:i/>
          <w:iCs/>
          <w:color w:val="222222"/>
          <w:u w:color="222222"/>
          <w:shd w:val="clear" w:color="auto" w:fill="FFFFFF"/>
          <w:lang w:val="en-US"/>
        </w:rPr>
        <w:tab/>
      </w:r>
      <w:r>
        <w:rPr>
          <w:i/>
          <w:iCs/>
          <w:color w:val="222222"/>
          <w:u w:color="222222"/>
          <w:shd w:val="clear" w:color="auto" w:fill="FFFFFF"/>
        </w:rPr>
        <w:tab/>
      </w:r>
      <w:r>
        <w:rPr>
          <w:i/>
          <w:iCs/>
          <w:color w:val="222222"/>
          <w:u w:color="222222"/>
          <w:shd w:val="clear" w:color="auto" w:fill="FFFFFF"/>
        </w:rPr>
        <w:tab/>
      </w:r>
      <w:r>
        <w:rPr>
          <w:i/>
          <w:iCs/>
          <w:color w:val="222222"/>
          <w:u w:color="222222"/>
          <w:shd w:val="clear" w:color="auto" w:fill="FFFFFF"/>
        </w:rPr>
        <w:tab/>
      </w:r>
      <w:r>
        <w:rPr>
          <w:i/>
          <w:iCs/>
          <w:color w:val="222222"/>
          <w:u w:color="222222"/>
          <w:shd w:val="clear" w:color="auto" w:fill="FFFFFF"/>
        </w:rPr>
        <w:tab/>
      </w:r>
      <w:r>
        <w:rPr>
          <w:i/>
          <w:iCs/>
          <w:color w:val="222222"/>
          <w:u w:color="222222"/>
          <w:shd w:val="clear" w:color="auto" w:fill="FFFFFF"/>
          <w:lang w:val="it-IT"/>
        </w:rPr>
        <w:t>Lancet</w:t>
      </w:r>
      <w:r>
        <w:rPr>
          <w:color w:val="222222"/>
          <w:u w:color="222222"/>
          <w:shd w:val="clear" w:color="auto" w:fill="FFFFFF"/>
        </w:rPr>
        <w:t>, </w:t>
      </w:r>
      <w:r>
        <w:rPr>
          <w:i/>
          <w:iCs/>
          <w:color w:val="222222"/>
          <w:u w:color="222222"/>
          <w:shd w:val="clear" w:color="auto" w:fill="FFFFFF"/>
        </w:rPr>
        <w:t>391</w:t>
      </w:r>
      <w:r>
        <w:rPr>
          <w:color w:val="222222"/>
          <w:u w:color="222222"/>
          <w:shd w:val="clear" w:color="auto" w:fill="FFFFFF"/>
        </w:rPr>
        <w:t>(10131), 1718-1735.</w:t>
      </w:r>
    </w:p>
    <w:p w:rsidR="003C414E" w:rsidRDefault="00B21F51">
      <w:pPr>
        <w:pStyle w:val="Body"/>
        <w:spacing w:after="0" w:line="480" w:lineRule="auto"/>
        <w:rPr>
          <w:color w:val="222222"/>
          <w:u w:color="222222"/>
          <w:shd w:val="clear" w:color="auto" w:fill="FFFFFF"/>
        </w:rPr>
      </w:pPr>
      <w:r>
        <w:rPr>
          <w:color w:val="222222"/>
          <w:u w:color="222222"/>
          <w:shd w:val="clear" w:color="auto" w:fill="FFFFFF"/>
          <w:lang w:val="en-US"/>
        </w:rPr>
        <w:t xml:space="preserve">Schoen, C., Zacharias, L., Santa Anna, G., &amp; Kelly, S. (2019). Federal and State Public </w:t>
      </w:r>
      <w:r>
        <w:rPr>
          <w:color w:val="222222"/>
          <w:u w:color="222222"/>
          <w:shd w:val="clear" w:color="auto" w:fill="FFFFFF"/>
          <w:lang w:val="en-US"/>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lang w:val="en-US"/>
        </w:rPr>
        <w:t xml:space="preserve">Employees Health Benefits Programs. </w:t>
      </w:r>
      <w:r>
        <w:rPr>
          <w:i/>
          <w:iCs/>
          <w:color w:val="222222"/>
          <w:u w:color="222222"/>
          <w:shd w:val="clear" w:color="auto" w:fill="FFFFFF"/>
          <w:lang w:val="en-US"/>
        </w:rPr>
        <w:t>In Critical Issue</w:t>
      </w:r>
      <w:r>
        <w:rPr>
          <w:i/>
          <w:iCs/>
          <w:color w:val="222222"/>
          <w:u w:color="222222"/>
          <w:shd w:val="clear" w:color="auto" w:fill="FFFFFF"/>
          <w:lang w:val="en-US"/>
        </w:rPr>
        <w:t>s in US Health Reform</w:t>
      </w:r>
      <w:r>
        <w:rPr>
          <w:color w:val="222222"/>
          <w:u w:color="222222"/>
          <w:shd w:val="clear" w:color="auto" w:fill="FFFFFF"/>
          <w:lang w:val="en-US"/>
        </w:rPr>
        <w:t xml:space="preserve">. </w:t>
      </w:r>
      <w:proofErr w:type="spellStart"/>
      <w:r>
        <w:rPr>
          <w:color w:val="222222"/>
          <w:u w:color="222222"/>
          <w:shd w:val="clear" w:color="auto" w:fill="FFFFFF"/>
          <w:lang w:val="en-US"/>
        </w:rPr>
        <w:t>Routledge</w:t>
      </w:r>
      <w:proofErr w:type="spellEnd"/>
      <w:r>
        <w:rPr>
          <w:color w:val="222222"/>
          <w:u w:color="222222"/>
          <w:shd w:val="clear" w:color="auto" w:fill="FFFFFF"/>
          <w:lang w:val="en-US"/>
        </w:rPr>
        <w:t>.</w:t>
      </w:r>
    </w:p>
    <w:p w:rsidR="003C414E" w:rsidRDefault="00B21F51">
      <w:pPr>
        <w:pStyle w:val="Body"/>
        <w:spacing w:after="0" w:line="480" w:lineRule="auto"/>
        <w:rPr>
          <w:color w:val="201F1E"/>
          <w:u w:color="201F1E"/>
          <w:shd w:val="clear" w:color="auto" w:fill="FFFFFF"/>
        </w:rPr>
      </w:pPr>
      <w:r>
        <w:rPr>
          <w:color w:val="222222"/>
          <w:u w:color="222222"/>
          <w:shd w:val="clear" w:color="auto" w:fill="FFFFFF"/>
          <w:lang w:val="en-US"/>
        </w:rPr>
        <w:lastRenderedPageBreak/>
        <w:t xml:space="preserve">Young, T. K., &amp; </w:t>
      </w:r>
      <w:proofErr w:type="spellStart"/>
      <w:r>
        <w:rPr>
          <w:color w:val="222222"/>
          <w:u w:color="222222"/>
          <w:shd w:val="clear" w:color="auto" w:fill="FFFFFF"/>
          <w:lang w:val="en-US"/>
        </w:rPr>
        <w:t>Chatwood</w:t>
      </w:r>
      <w:proofErr w:type="spellEnd"/>
      <w:r>
        <w:rPr>
          <w:color w:val="222222"/>
          <w:u w:color="222222"/>
          <w:shd w:val="clear" w:color="auto" w:fill="FFFFFF"/>
          <w:lang w:val="en-US"/>
        </w:rPr>
        <w:t xml:space="preserve">, S. (2017). Delivering more equitable primary health care in </w:t>
      </w:r>
      <w:r>
        <w:rPr>
          <w:color w:val="222222"/>
          <w:u w:color="222222"/>
          <w:shd w:val="clear" w:color="auto" w:fill="FFFFFF"/>
          <w:lang w:val="en-US"/>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rPr>
        <w:tab/>
      </w:r>
      <w:r>
        <w:rPr>
          <w:color w:val="222222"/>
          <w:u w:color="222222"/>
          <w:shd w:val="clear" w:color="auto" w:fill="FFFFFF"/>
          <w:lang w:val="en-US"/>
        </w:rPr>
        <w:t>Northern Canada.</w:t>
      </w:r>
      <w:r>
        <w:rPr>
          <w:color w:val="222222"/>
          <w:u w:color="222222"/>
          <w:shd w:val="clear" w:color="auto" w:fill="FFFFFF"/>
        </w:rPr>
        <w:t> </w:t>
      </w:r>
      <w:r>
        <w:rPr>
          <w:i/>
          <w:iCs/>
          <w:color w:val="222222"/>
          <w:u w:color="222222"/>
          <w:shd w:val="clear" w:color="auto" w:fill="FFFFFF"/>
          <w:lang w:val="pt-PT"/>
        </w:rPr>
        <w:t>CMAJ</w:t>
      </w:r>
      <w:r>
        <w:rPr>
          <w:color w:val="222222"/>
          <w:u w:color="222222"/>
          <w:shd w:val="clear" w:color="auto" w:fill="FFFFFF"/>
        </w:rPr>
        <w:t>, </w:t>
      </w:r>
      <w:r>
        <w:rPr>
          <w:i/>
          <w:iCs/>
          <w:color w:val="222222"/>
          <w:u w:color="222222"/>
          <w:shd w:val="clear" w:color="auto" w:fill="FFFFFF"/>
        </w:rPr>
        <w:t>189</w:t>
      </w:r>
      <w:r>
        <w:rPr>
          <w:color w:val="222222"/>
          <w:u w:color="222222"/>
          <w:shd w:val="clear" w:color="auto" w:fill="FFFFFF"/>
        </w:rPr>
        <w:t>(45), 1377-1378.</w:t>
      </w:r>
    </w:p>
    <w:p w:rsidR="003C414E" w:rsidRDefault="003C414E">
      <w:pPr>
        <w:pStyle w:val="Body"/>
        <w:spacing w:after="0" w:line="480" w:lineRule="auto"/>
        <w:rPr>
          <w:color w:val="201F1E"/>
          <w:u w:color="201F1E"/>
          <w:shd w:val="clear" w:color="auto" w:fill="FFFFFF"/>
        </w:rPr>
      </w:pPr>
    </w:p>
    <w:p w:rsidR="003C414E" w:rsidRDefault="00B21F51">
      <w:pPr>
        <w:pStyle w:val="Body"/>
        <w:spacing w:after="0" w:line="480" w:lineRule="auto"/>
      </w:pPr>
      <w:r>
        <w:rPr>
          <w:color w:val="201F1E"/>
          <w:u w:color="201F1E"/>
          <w:shd w:val="clear" w:color="auto" w:fill="FFFFFF"/>
        </w:rPr>
        <w:t xml:space="preserve">      </w:t>
      </w:r>
    </w:p>
    <w:sectPr w:rsidR="003C414E">
      <w:headerReference w:type="default" r:id="rId6"/>
      <w:footerReference w:type="default" r:id="rId7"/>
      <w:headerReference w:type="first" r:id="rId8"/>
      <w:footerReference w:type="first" r:id="rId9"/>
      <w:pgSz w:w="12240" w:h="15840"/>
      <w:pgMar w:top="1440" w:right="1440" w:bottom="1440" w:left="1440"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21F51" w:rsidRDefault="00B21F51">
      <w:r>
        <w:separator/>
      </w:r>
    </w:p>
  </w:endnote>
  <w:endnote w:type="continuationSeparator" w:id="0">
    <w:p w:rsidR="00B21F51" w:rsidRDefault="00B21F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14E" w:rsidRDefault="003C414E">
    <w:pPr>
      <w:pStyle w:val="Header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14E" w:rsidRDefault="003C414E">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21F51" w:rsidRDefault="00B21F51">
      <w:r>
        <w:separator/>
      </w:r>
    </w:p>
  </w:footnote>
  <w:footnote w:type="continuationSeparator" w:id="0">
    <w:p w:rsidR="00B21F51" w:rsidRDefault="00B21F5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14E" w:rsidRDefault="00B21F51">
    <w:pPr>
      <w:pStyle w:val="Body"/>
      <w:spacing w:after="0" w:line="480" w:lineRule="auto"/>
    </w:pPr>
    <w:r>
      <w:t xml:space="preserve">HEALTHCARE </w:t>
    </w:r>
    <w:r>
      <w:t>DELIVERY SYSTEMS</w:t>
    </w:r>
    <w:r>
      <w:tab/>
    </w:r>
    <w:r>
      <w:tab/>
    </w:r>
    <w:r>
      <w:tab/>
    </w:r>
    <w:r>
      <w:tab/>
    </w:r>
    <w:r>
      <w:tab/>
    </w:r>
    <w:r>
      <w:tab/>
      <w:t xml:space="preserve">         </w:t>
    </w:r>
    <w:r>
      <w:fldChar w:fldCharType="begin"/>
    </w:r>
    <w:r>
      <w:instrText xml:space="preserve"> PAGE </w:instrText>
    </w:r>
    <w:r>
      <w:fldChar w:fldCharType="separate"/>
    </w:r>
    <w:r w:rsidR="00692E71">
      <w:rPr>
        <w:noProof/>
      </w:rPr>
      <w:t>2</w:t>
    </w:r>
    <w:r>
      <w:fldChar w:fldCharType="end"/>
    </w:r>
    <w:r>
      <w:tab/>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414E" w:rsidRDefault="00B21F51">
    <w:pPr>
      <w:pStyle w:val="Body"/>
    </w:pPr>
    <w:r>
      <w:rPr>
        <w:lang w:val="en-US"/>
      </w:rPr>
      <w:t xml:space="preserve">Running head: HEALTHCARE DELIVERY SYSTEMS   </w:t>
    </w:r>
    <w:r>
      <w:rPr>
        <w:lang w:val="en-US"/>
      </w:rPr>
      <w:tab/>
    </w:r>
    <w:r>
      <w:rPr>
        <w:lang w:val="en-US"/>
      </w:rPr>
      <w:tab/>
    </w:r>
    <w:r>
      <w:rPr>
        <w:lang w:val="en-US"/>
      </w:rPr>
      <w:tab/>
    </w:r>
    <w:r>
      <w:rPr>
        <w:lang w:val="en-US"/>
      </w:rPr>
      <w:tab/>
    </w:r>
    <w:r>
      <w:rPr>
        <w:lang w:val="en-US"/>
      </w:rPr>
      <w:tab/>
      <w:t xml:space="preserve">     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414E"/>
    <w:rsid w:val="003C414E"/>
    <w:rsid w:val="00692E71"/>
    <w:rsid w:val="00B21F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4C6A4E6-527A-47F8-8715-449828230A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pPr>
      <w:spacing w:after="200" w:line="276" w:lineRule="auto"/>
    </w:pPr>
    <w:rPr>
      <w:rFonts w:cs="Arial Unicode MS"/>
      <w:color w:val="000000"/>
      <w:sz w:val="24"/>
      <w:szCs w:val="24"/>
      <w:u w:color="000000"/>
      <w:lang w:val="de-DE"/>
    </w:rPr>
  </w:style>
  <w:style w:type="paragraph" w:customStyle="1" w:styleId="HeaderFooter">
    <w:name w:val="Header &amp; Footer"/>
    <w:pPr>
      <w:tabs>
        <w:tab w:val="right" w:pos="9020"/>
      </w:tabs>
    </w:pPr>
    <w:rPr>
      <w:rFonts w:ascii="Helvetica Neue" w:eastAsia="Helvetica Neue" w:hAnsi="Helvetica Neue" w:cs="Helvetica Neue"/>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9</Pages>
  <Words>2185</Words>
  <Characters>12458</Characters>
  <Application>Microsoft Office Word</Application>
  <DocSecurity>0</DocSecurity>
  <Lines>103</Lines>
  <Paragraphs>29</Paragraphs>
  <ScaleCrop>false</ScaleCrop>
  <Company/>
  <LinksUpToDate>false</LinksUpToDate>
  <CharactersWithSpaces>14614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2</cp:revision>
  <dcterms:created xsi:type="dcterms:W3CDTF">2020-10-22T05:48:00Z</dcterms:created>
  <dcterms:modified xsi:type="dcterms:W3CDTF">2020-10-22T05:50:00Z</dcterms:modified>
</cp:coreProperties>
</file>