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4A1" w:rsidRDefault="00A424A1" w:rsidP="00A424A1">
      <w:pPr>
        <w:keepLines/>
        <w:tabs>
          <w:tab w:val="right" w:pos="-173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461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XYZ Co. is interested in purch</w:t>
      </w:r>
      <w:bookmarkStart w:id="0" w:name="_GoBack"/>
      <w:bookmarkEnd w:id="0"/>
      <w:r>
        <w:rPr>
          <w:rFonts w:ascii="Times New Roman" w:hAnsi="Times New Roman"/>
          <w:color w:val="000000"/>
        </w:rPr>
        <w:t>asing a state-of-the-art widget machine for its manufacturing plant. The new machine has been designed to basically eliminate all errors and defects in the widget-making production process. The new machine will cost $150,000, and have a salvage value of $70,000 at the end of its seven-year useful life. XYZ has determined that cash inflows for years 1 through 7 will be as follows: $32,000; $57,000; $15,000; $28,000; $16,000; $10,000, and $15,000, respectively. Maintenance will be required in years 3 and 6 at $10,000 and $7,000 respectively. XYZ uses a discount rate of 11 percent and wants projects to have a payback period of no longer than five years.</w:t>
      </w:r>
    </w:p>
    <w:p w:rsidR="00A424A1" w:rsidRDefault="00A424A1" w:rsidP="00A424A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A424A1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Compute the net present value of the new machine.</w:t>
            </w:r>
          </w:p>
        </w:tc>
      </w:tr>
    </w:tbl>
    <w:p w:rsidR="00A424A1" w:rsidRDefault="00A424A1" w:rsidP="00A424A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A424A1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Compute the firm's profitability index.</w:t>
            </w:r>
          </w:p>
        </w:tc>
      </w:tr>
    </w:tbl>
    <w:p w:rsidR="00A424A1" w:rsidRDefault="00A424A1" w:rsidP="00A424A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A424A1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Compute the payback period.</w:t>
            </w:r>
          </w:p>
        </w:tc>
      </w:tr>
    </w:tbl>
    <w:p w:rsidR="00A424A1" w:rsidRDefault="00A424A1" w:rsidP="00A424A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A424A1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Evaluate this investment proposal for XYZ Co.</w:t>
            </w:r>
          </w:p>
        </w:tc>
      </w:tr>
    </w:tbl>
    <w:p w:rsidR="00A424A1" w:rsidRDefault="00A424A1" w:rsidP="00A424A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"/>
          <w:szCs w:val="2"/>
        </w:rPr>
      </w:pPr>
    </w:p>
    <w:p w:rsidR="00A424A1" w:rsidRDefault="00A424A1" w:rsidP="00A424A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/>
          <w:color w:val="000000"/>
        </w:rPr>
      </w:pPr>
    </w:p>
    <w:p w:rsidR="00A424A1" w:rsidRDefault="00A424A1" w:rsidP="00A424A1">
      <w:pPr>
        <w:widowControl w:val="0"/>
        <w:tabs>
          <w:tab w:val="left" w:pos="0"/>
          <w:tab w:val="left" w:pos="706"/>
          <w:tab w:val="left" w:pos="2045"/>
          <w:tab w:val="left" w:pos="2678"/>
          <w:tab w:val="left" w:pos="4003"/>
          <w:tab w:val="left" w:pos="4637"/>
          <w:tab w:val="left" w:pos="5962"/>
          <w:tab w:val="left" w:pos="659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ANS:</w:t>
      </w:r>
      <w:r>
        <w:rPr>
          <w:rFonts w:ascii="Times New Roman" w:hAnsi="Times New Roman"/>
          <w:color w:val="000000"/>
        </w:rPr>
        <w:tab/>
      </w:r>
    </w:p>
    <w:p w:rsidR="00A424A1" w:rsidRDefault="00A424A1" w:rsidP="00A424A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8"/>
        <w:gridCol w:w="1260"/>
        <w:gridCol w:w="757"/>
        <w:gridCol w:w="863"/>
        <w:gridCol w:w="90"/>
        <w:gridCol w:w="1890"/>
        <w:gridCol w:w="1980"/>
      </w:tblGrid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a.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u w:val="single"/>
              </w:rPr>
              <w:t>Year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u w:val="single"/>
              </w:rPr>
              <w:t>Cash flow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u w:val="single"/>
              </w:rPr>
              <w:t>Discount factor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u w:val="single"/>
              </w:rPr>
            </w:pPr>
            <w:r>
              <w:rPr>
                <w:rFonts w:ascii="Times New Roman" w:hAnsi="Times New Roman"/>
                <w:color w:val="000000"/>
                <w:u w:val="single"/>
              </w:rPr>
              <w:t>Present value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$150,000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1.0000 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$(150,000.00) 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32,000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.9009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28,828.80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57,000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.8116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46,261.20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 5,000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.7312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 3,656.00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28,000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.6587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18,443.60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16,000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.5935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 9,496.00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 3,000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.5346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 1,603.80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15,000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.4817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 7,225.50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70,000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.4817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  <w:t>  33,719.00</w:t>
            </w: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Net present value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  <w:u w:val="double"/>
              </w:rPr>
              <w:t>$   (766.10</w:t>
            </w: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)</w:t>
            </w:r>
          </w:p>
        </w:tc>
      </w:tr>
    </w:tbl>
    <w:p w:rsidR="00A424A1" w:rsidRDefault="00A424A1" w:rsidP="00A424A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A424A1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Profitability index equals present value of cash flows divided by investment: $149,233.90/$150,000 = .995</w:t>
            </w:r>
          </w:p>
        </w:tc>
      </w:tr>
    </w:tbl>
    <w:p w:rsidR="00A424A1" w:rsidRDefault="00A424A1" w:rsidP="00A424A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A424A1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Payback period is 6.11 years, computed as follows:</w:t>
            </w:r>
          </w:p>
        </w:tc>
      </w:tr>
    </w:tbl>
    <w:p w:rsidR="00A424A1" w:rsidRDefault="00A424A1" w:rsidP="00A424A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8"/>
        <w:gridCol w:w="1170"/>
        <w:gridCol w:w="1800"/>
        <w:gridCol w:w="2634"/>
      </w:tblGrid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u w:val="single"/>
              </w:rPr>
              <w:t>Year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u w:val="single"/>
              </w:rPr>
              <w:t>Cash Flow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u w:val="single"/>
              </w:rPr>
            </w:pPr>
            <w:r>
              <w:rPr>
                <w:rFonts w:ascii="Times New Roman" w:hAnsi="Times New Roman"/>
                <w:color w:val="000000"/>
                <w:u w:val="single"/>
              </w:rPr>
              <w:t>Cumulative Cash Flow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$32,000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$ 32,000 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57,000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89,000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 5,000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94,000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28,000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122,000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16,000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138,000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 3,000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141,000</w:t>
            </w:r>
          </w:p>
        </w:tc>
      </w:tr>
      <w:tr w:rsidR="00A424A1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85,000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226,000</w:t>
            </w:r>
          </w:p>
        </w:tc>
      </w:tr>
    </w:tbl>
    <w:p w:rsidR="00A424A1" w:rsidRDefault="00A424A1" w:rsidP="00A424A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p w:rsidR="00A424A1" w:rsidRDefault="00A424A1" w:rsidP="00A424A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$150,000 - $141,000 = $9,000/$85,000 = .11</w:t>
      </w:r>
    </w:p>
    <w:p w:rsidR="00A424A1" w:rsidRDefault="00A424A1" w:rsidP="00A424A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A424A1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A424A1" w:rsidRDefault="00A424A1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The project is quantitatively unacceptable because it has a negative NPV, a less-than-one PI, and a payback period of over six years. However, the NPV and PI are extremely close to being acceptable. Because the new machine will provide XYZ zero-defect production, the investment may be desirable if additional qualitative factors are considered such as improved competitive position, customer satisfaction, goodwill generated, improved product quality and reliability, and a desire to be in the forefront of manufacturing capability. XYZ may want to attempt to quantify these benefits and reevaluate the machine's acceptability as an investment.</w:t>
            </w:r>
          </w:p>
        </w:tc>
      </w:tr>
    </w:tbl>
    <w:p w:rsidR="00A424A1" w:rsidRDefault="00A424A1" w:rsidP="00A424A1">
      <w:pPr>
        <w:widowControl w:val="0"/>
        <w:tabs>
          <w:tab w:val="left" w:pos="0"/>
          <w:tab w:val="left" w:pos="706"/>
          <w:tab w:val="left" w:pos="2045"/>
          <w:tab w:val="left" w:pos="2678"/>
          <w:tab w:val="left" w:pos="4003"/>
          <w:tab w:val="left" w:pos="4637"/>
          <w:tab w:val="left" w:pos="5962"/>
          <w:tab w:val="left" w:pos="659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"/>
          <w:szCs w:val="2"/>
        </w:rPr>
      </w:pPr>
    </w:p>
    <w:p w:rsidR="00211DC6" w:rsidRDefault="00A424A1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4A1"/>
    <w:rsid w:val="003B0838"/>
    <w:rsid w:val="007C65F5"/>
    <w:rsid w:val="00A4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D67785-F1E4-425C-88F5-0685C40D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24A1"/>
    <w:pPr>
      <w:spacing w:after="200" w:line="276" w:lineRule="auto"/>
    </w:pPr>
    <w:rPr>
      <w:rFonts w:eastAsiaTheme="minorEastAsia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2021-02-09T07:24:00Z</dcterms:created>
  <dcterms:modified xsi:type="dcterms:W3CDTF">2021-02-09T07:25:00Z</dcterms:modified>
</cp:coreProperties>
</file>