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0603B" w14:textId="77777777" w:rsidR="00073FF2" w:rsidRPr="00073FF2" w:rsidRDefault="00073FF2" w:rsidP="00073FF2">
      <w:pPr>
        <w:spacing w:after="0" w:line="480" w:lineRule="auto"/>
        <w:jc w:val="center"/>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b/>
          <w:bCs/>
          <w:color w:val="0E101A"/>
          <w:sz w:val="24"/>
          <w:szCs w:val="24"/>
          <w:lang w:eastAsia="en-PH"/>
        </w:rPr>
        <w:t>COVID-19 Research Paper</w:t>
      </w:r>
    </w:p>
    <w:p w14:paraId="1898A7C1" w14:textId="77777777" w:rsidR="00073FF2" w:rsidRPr="00073FF2" w:rsidRDefault="00073FF2" w:rsidP="00073FF2">
      <w:pPr>
        <w:spacing w:after="0" w:line="480" w:lineRule="auto"/>
        <w:ind w:firstLine="720"/>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In December 2019, a novel coronavirus, COVID-19, originally from Wuhan, China, caused a series of atypical respiratory symptoms in affected patients. This virus has caused a pandemic resulting in more than 150 million cases and more than 3 million deaths. This research paper provides a comprehensive review of COVID-19 regarding its pathology, history, treatment and preventive measures, and vaccine development. </w:t>
      </w:r>
    </w:p>
    <w:p w14:paraId="33685561" w14:textId="77777777" w:rsidR="00073FF2" w:rsidRPr="00073FF2" w:rsidRDefault="00073FF2" w:rsidP="00073FF2">
      <w:pPr>
        <w:spacing w:after="0" w:line="480" w:lineRule="auto"/>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b/>
          <w:bCs/>
          <w:color w:val="0E101A"/>
          <w:sz w:val="24"/>
          <w:szCs w:val="24"/>
          <w:lang w:eastAsia="en-PH"/>
        </w:rPr>
        <w:t>About the Pathogen</w:t>
      </w:r>
    </w:p>
    <w:p w14:paraId="44A041E8" w14:textId="77777777" w:rsidR="00073FF2" w:rsidRPr="00073FF2" w:rsidRDefault="00073FF2" w:rsidP="00073FF2">
      <w:pPr>
        <w:spacing w:after="0" w:line="480" w:lineRule="auto"/>
        <w:ind w:firstLine="720"/>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COVID-19 stands for Coronavirus Disease – 19, a disease caused by the Severe Acute Respiratory Syndrome Corona Virus 2 (SARS-COV-2). It presents with symptoms typical of coronaviruses, namely fever, dry cough, and malaise/lethargy. Body aches, sore throat, diarrhea, conjunctivitis, headache, ageusia, anosmia are atypical symptoms. More serious symptoms include dyspnea or chest pain. Affected people can also be completely asymptomatic.</w:t>
      </w:r>
    </w:p>
    <w:p w14:paraId="530D28B0" w14:textId="77777777" w:rsidR="00073FF2" w:rsidRPr="00073FF2" w:rsidRDefault="00073FF2" w:rsidP="00073FF2">
      <w:pPr>
        <w:spacing w:after="0" w:line="480" w:lineRule="auto"/>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b/>
          <w:bCs/>
          <w:color w:val="0E101A"/>
          <w:sz w:val="24"/>
          <w:szCs w:val="24"/>
          <w:lang w:eastAsia="en-PH"/>
        </w:rPr>
        <w:t>History </w:t>
      </w:r>
    </w:p>
    <w:p w14:paraId="3ADEC5C0" w14:textId="77777777" w:rsidR="00073FF2" w:rsidRPr="00073FF2" w:rsidRDefault="00073FF2" w:rsidP="00073FF2">
      <w:pPr>
        <w:spacing w:after="0" w:line="480" w:lineRule="auto"/>
        <w:ind w:firstLine="720"/>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 xml:space="preserve">In December of 2019, </w:t>
      </w:r>
      <w:proofErr w:type="gramStart"/>
      <w:r w:rsidRPr="00073FF2">
        <w:rPr>
          <w:rFonts w:ascii="Times New Roman" w:eastAsia="Times New Roman" w:hAnsi="Times New Roman" w:cs="Times New Roman"/>
          <w:color w:val="0E101A"/>
          <w:sz w:val="24"/>
          <w:szCs w:val="24"/>
          <w:lang w:eastAsia="en-PH"/>
        </w:rPr>
        <w:t>The</w:t>
      </w:r>
      <w:proofErr w:type="gramEnd"/>
      <w:r w:rsidRPr="00073FF2">
        <w:rPr>
          <w:rFonts w:ascii="Times New Roman" w:eastAsia="Times New Roman" w:hAnsi="Times New Roman" w:cs="Times New Roman"/>
          <w:color w:val="0E101A"/>
          <w:sz w:val="24"/>
          <w:szCs w:val="24"/>
          <w:lang w:eastAsia="en-PH"/>
        </w:rPr>
        <w:t xml:space="preserve"> first human case of COVID-19 was reported in Wuhan City, China. Most of the earliest known cases were linked to a wholesale food market in China. This association was confirmed when environmental samples from the said marketplace were taken and tested positive for SARS-CoV-2 ("Listings of WHO's response to COVID-19," 2021). On January 1, 2020, the said wet market was closed. The wet market in Wuhan had a wildlife section, which sold wild or exotic animals for eating, such as beavers, porcupines, crocodiles, bats, and snakes. On April 7, the World Wildlife Fund expressed support for the closure of unregulated wildlife markets across Southeast Asia (Maron, 2020). On February 24, 2020, the Standing Committee of the National People's Congress in China decided to expand the scope of China's Wildlife Protection Law to ban the consumption of wild animals (Koh, Li &amp; Lee,</w:t>
      </w:r>
      <w:proofErr w:type="gramStart"/>
      <w:r w:rsidRPr="00073FF2">
        <w:rPr>
          <w:rFonts w:ascii="Times New Roman" w:eastAsia="Times New Roman" w:hAnsi="Times New Roman" w:cs="Times New Roman"/>
          <w:color w:val="0E101A"/>
          <w:sz w:val="24"/>
          <w:szCs w:val="24"/>
          <w:lang w:eastAsia="en-PH"/>
        </w:rPr>
        <w:t>2021 )</w:t>
      </w:r>
      <w:proofErr w:type="gramEnd"/>
      <w:r w:rsidRPr="00073FF2">
        <w:rPr>
          <w:rFonts w:ascii="Times New Roman" w:eastAsia="Times New Roman" w:hAnsi="Times New Roman" w:cs="Times New Roman"/>
          <w:color w:val="0E101A"/>
          <w:sz w:val="24"/>
          <w:szCs w:val="24"/>
          <w:lang w:eastAsia="en-PH"/>
        </w:rPr>
        <w:t>. </w:t>
      </w:r>
    </w:p>
    <w:p w14:paraId="0F551A1D" w14:textId="77777777" w:rsidR="00073FF2" w:rsidRPr="00073FF2" w:rsidRDefault="00073FF2" w:rsidP="00073FF2">
      <w:pPr>
        <w:spacing w:after="0" w:line="480" w:lineRule="auto"/>
        <w:ind w:firstLine="720"/>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lastRenderedPageBreak/>
        <w:t xml:space="preserve">In the early half of 2020, a team of Chinese scientists led by Dr. Wang Jianwei at the Chinese Academy of Medical Sciences, Institute of Pathogen Biology, China, used next-generation sequencing (NGS) to identify the COVID-19 pathogen. Their team was able to identify the genome of a novel </w:t>
      </w:r>
      <w:proofErr w:type="gramStart"/>
      <w:r w:rsidRPr="00073FF2">
        <w:rPr>
          <w:rFonts w:ascii="Times New Roman" w:eastAsia="Times New Roman" w:hAnsi="Times New Roman" w:cs="Times New Roman"/>
          <w:color w:val="0E101A"/>
          <w:sz w:val="24"/>
          <w:szCs w:val="24"/>
          <w:lang w:eastAsia="en-PH"/>
        </w:rPr>
        <w:t>bat-borne</w:t>
      </w:r>
      <w:proofErr w:type="gramEnd"/>
      <w:r w:rsidRPr="00073FF2">
        <w:rPr>
          <w:rFonts w:ascii="Times New Roman" w:eastAsia="Times New Roman" w:hAnsi="Times New Roman" w:cs="Times New Roman"/>
          <w:color w:val="0E101A"/>
          <w:sz w:val="24"/>
          <w:szCs w:val="24"/>
          <w:lang w:eastAsia="en-PH"/>
        </w:rPr>
        <w:t xml:space="preserve"> </w:t>
      </w:r>
      <w:proofErr w:type="spellStart"/>
      <w:r w:rsidRPr="00073FF2">
        <w:rPr>
          <w:rFonts w:ascii="Times New Roman" w:eastAsia="Times New Roman" w:hAnsi="Times New Roman" w:cs="Times New Roman"/>
          <w:color w:val="0E101A"/>
          <w:sz w:val="24"/>
          <w:szCs w:val="24"/>
          <w:lang w:eastAsia="en-PH"/>
        </w:rPr>
        <w:t>CoV</w:t>
      </w:r>
      <w:proofErr w:type="spellEnd"/>
      <w:r w:rsidRPr="00073FF2">
        <w:rPr>
          <w:rFonts w:ascii="Times New Roman" w:eastAsia="Times New Roman" w:hAnsi="Times New Roman" w:cs="Times New Roman"/>
          <w:color w:val="0E101A"/>
          <w:sz w:val="24"/>
          <w:szCs w:val="24"/>
          <w:lang w:eastAsia="en-PH"/>
        </w:rPr>
        <w:t xml:space="preserve"> associated with a severe and fatal respiratory disease in humans, and their results were published in the Chinese Medical Journal on May 5, 2020 (Ren et al., 2020). This discovery of the virus greatly aided vaccine development efforts. </w:t>
      </w:r>
    </w:p>
    <w:p w14:paraId="4ED78953" w14:textId="77777777" w:rsidR="00073FF2" w:rsidRPr="00073FF2" w:rsidRDefault="00073FF2" w:rsidP="00073FF2">
      <w:pPr>
        <w:spacing w:after="0" w:line="480" w:lineRule="auto"/>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b/>
          <w:bCs/>
          <w:color w:val="0E101A"/>
          <w:sz w:val="24"/>
          <w:szCs w:val="24"/>
          <w:lang w:eastAsia="en-PH"/>
        </w:rPr>
        <w:t>Pathogenesis of the disease</w:t>
      </w:r>
    </w:p>
    <w:p w14:paraId="3DBC173C" w14:textId="77777777" w:rsidR="00073FF2" w:rsidRPr="00073FF2" w:rsidRDefault="00073FF2" w:rsidP="00073FF2">
      <w:pPr>
        <w:spacing w:after="0" w:line="480" w:lineRule="auto"/>
        <w:ind w:firstLine="720"/>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 xml:space="preserve">COVID-19 first begins as an airborne virus that is inhaled by a person and binds to the ACE-2 (Angiotensin-Converting Enzyme 2) receptor, which is very abundant in alveolar type 2 epithelial cells (type 2 pneumocytes) in the lungs (Yuki, </w:t>
      </w:r>
      <w:proofErr w:type="spellStart"/>
      <w:r w:rsidRPr="00073FF2">
        <w:rPr>
          <w:rFonts w:ascii="Times New Roman" w:eastAsia="Times New Roman" w:hAnsi="Times New Roman" w:cs="Times New Roman"/>
          <w:color w:val="0E101A"/>
          <w:sz w:val="24"/>
          <w:szCs w:val="24"/>
          <w:lang w:eastAsia="en-PH"/>
        </w:rPr>
        <w:t>Fujiogi</w:t>
      </w:r>
      <w:proofErr w:type="spellEnd"/>
      <w:r w:rsidRPr="00073FF2">
        <w:rPr>
          <w:rFonts w:ascii="Times New Roman" w:eastAsia="Times New Roman" w:hAnsi="Times New Roman" w:cs="Times New Roman"/>
          <w:color w:val="0E101A"/>
          <w:sz w:val="24"/>
          <w:szCs w:val="24"/>
          <w:lang w:eastAsia="en-PH"/>
        </w:rPr>
        <w:t xml:space="preserve">, &amp; </w:t>
      </w:r>
      <w:proofErr w:type="spellStart"/>
      <w:r w:rsidRPr="00073FF2">
        <w:rPr>
          <w:rFonts w:ascii="Times New Roman" w:eastAsia="Times New Roman" w:hAnsi="Times New Roman" w:cs="Times New Roman"/>
          <w:color w:val="0E101A"/>
          <w:sz w:val="24"/>
          <w:szCs w:val="24"/>
          <w:lang w:eastAsia="en-PH"/>
        </w:rPr>
        <w:t>Koutsogiannaki</w:t>
      </w:r>
      <w:proofErr w:type="spellEnd"/>
      <w:r w:rsidRPr="00073FF2">
        <w:rPr>
          <w:rFonts w:ascii="Times New Roman" w:eastAsia="Times New Roman" w:hAnsi="Times New Roman" w:cs="Times New Roman"/>
          <w:color w:val="0E101A"/>
          <w:sz w:val="24"/>
          <w:szCs w:val="24"/>
          <w:lang w:eastAsia="en-PH"/>
        </w:rPr>
        <w:t>, 2020</w:t>
      </w:r>
      <w:proofErr w:type="gramStart"/>
      <w:r w:rsidRPr="00073FF2">
        <w:rPr>
          <w:rFonts w:ascii="Times New Roman" w:eastAsia="Times New Roman" w:hAnsi="Times New Roman" w:cs="Times New Roman"/>
          <w:color w:val="0E101A"/>
          <w:sz w:val="24"/>
          <w:szCs w:val="24"/>
          <w:lang w:eastAsia="en-PH"/>
        </w:rPr>
        <w:t>; )</w:t>
      </w:r>
      <w:proofErr w:type="gramEnd"/>
      <w:r w:rsidRPr="00073FF2">
        <w:rPr>
          <w:rFonts w:ascii="Times New Roman" w:eastAsia="Times New Roman" w:hAnsi="Times New Roman" w:cs="Times New Roman"/>
          <w:color w:val="0E101A"/>
          <w:sz w:val="24"/>
          <w:szCs w:val="24"/>
          <w:lang w:eastAsia="en-PH"/>
        </w:rPr>
        <w:t xml:space="preserve">. After infecting such cells, the virus creates copies of itself until the infected cell dies and releases more viral copies into the surrounding tissue. The body's immune cells respond by attacking and destroying virions and releasing chemical messengers called cytokines, which in turn attract more inflammatory cells. It is this inflammation that leads to the respiratory symptoms acquired by patients with COVID-19. The virus also attacks other cells containing ACE2 receptors such as gastric epithelial cells (causing diarrhea), neuroepithelial cells (ageusia and anosmia), myocardial cells (myocardial infarction), and renal cells (renal failure). As the disease progresses, a systemic inflammatory response syndrome (SIRS) is triggered </w:t>
      </w:r>
      <w:proofErr w:type="gramStart"/>
      <w:r w:rsidRPr="00073FF2">
        <w:rPr>
          <w:rFonts w:ascii="Times New Roman" w:eastAsia="Times New Roman" w:hAnsi="Times New Roman" w:cs="Times New Roman"/>
          <w:color w:val="0E101A"/>
          <w:sz w:val="24"/>
          <w:szCs w:val="24"/>
          <w:lang w:eastAsia="en-PH"/>
        </w:rPr>
        <w:t>in an attempt to</w:t>
      </w:r>
      <w:proofErr w:type="gramEnd"/>
      <w:r w:rsidRPr="00073FF2">
        <w:rPr>
          <w:rFonts w:ascii="Times New Roman" w:eastAsia="Times New Roman" w:hAnsi="Times New Roman" w:cs="Times New Roman"/>
          <w:color w:val="0E101A"/>
          <w:sz w:val="24"/>
          <w:szCs w:val="24"/>
          <w:lang w:eastAsia="en-PH"/>
        </w:rPr>
        <w:t xml:space="preserve"> deal with the viral load called a "cytokine storm," this systemic response, however, is capable of damaging normal body cells. It is theorized that in certain patients, systemic inflammatory overdrive causes mortality (Masi et al., 2020). After the COVID infection, it is also possible to die of a later septic infection (post-COVID syndrome) as the depleted immune system cannot </w:t>
      </w:r>
      <w:r w:rsidRPr="00073FF2">
        <w:rPr>
          <w:rFonts w:ascii="Times New Roman" w:eastAsia="Times New Roman" w:hAnsi="Times New Roman" w:cs="Times New Roman"/>
          <w:color w:val="0E101A"/>
          <w:sz w:val="24"/>
          <w:szCs w:val="24"/>
          <w:lang w:eastAsia="en-PH"/>
        </w:rPr>
        <w:lastRenderedPageBreak/>
        <w:t>hold out against secondary bacterial infection. This can be the actual source of lethality as opposed to the cytokine storm. However, data is still controversial for either case.</w:t>
      </w:r>
    </w:p>
    <w:p w14:paraId="73D429B7" w14:textId="77777777" w:rsidR="00073FF2" w:rsidRPr="00073FF2" w:rsidRDefault="00073FF2" w:rsidP="00073FF2">
      <w:pPr>
        <w:spacing w:after="0" w:line="480" w:lineRule="auto"/>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b/>
          <w:bCs/>
          <w:color w:val="0E101A"/>
          <w:sz w:val="24"/>
          <w:szCs w:val="24"/>
          <w:lang w:eastAsia="en-PH"/>
        </w:rPr>
        <w:t>Management: Treatments and Preventive Measures</w:t>
      </w:r>
    </w:p>
    <w:p w14:paraId="2D515847" w14:textId="77777777" w:rsidR="00073FF2" w:rsidRPr="00073FF2" w:rsidRDefault="00073FF2" w:rsidP="00073FF2">
      <w:pPr>
        <w:spacing w:after="0" w:line="480" w:lineRule="auto"/>
        <w:ind w:firstLine="720"/>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 xml:space="preserve"> Treatment for COVID-19 is mostly supportive as most available antiviral therapies are not effective against the virus. However, a few approved medications can be used. One such drug is Dexamethasone, a steroid, which the WHO approved for patients with SIRS ("Coronavirus disease - Answers," 2021). </w:t>
      </w:r>
      <w:proofErr w:type="spellStart"/>
      <w:r w:rsidRPr="00073FF2">
        <w:rPr>
          <w:rFonts w:ascii="Times New Roman" w:eastAsia="Times New Roman" w:hAnsi="Times New Roman" w:cs="Times New Roman"/>
          <w:color w:val="0E101A"/>
          <w:sz w:val="24"/>
          <w:szCs w:val="24"/>
          <w:lang w:eastAsia="en-PH"/>
        </w:rPr>
        <w:t>Remdesivir</w:t>
      </w:r>
      <w:proofErr w:type="spellEnd"/>
      <w:r w:rsidRPr="00073FF2">
        <w:rPr>
          <w:rFonts w:ascii="Times New Roman" w:eastAsia="Times New Roman" w:hAnsi="Times New Roman" w:cs="Times New Roman"/>
          <w:color w:val="0E101A"/>
          <w:sz w:val="24"/>
          <w:szCs w:val="24"/>
          <w:lang w:eastAsia="en-PH"/>
        </w:rPr>
        <w:t xml:space="preserve"> (</w:t>
      </w:r>
      <w:proofErr w:type="spellStart"/>
      <w:r w:rsidRPr="00073FF2">
        <w:rPr>
          <w:rFonts w:ascii="Times New Roman" w:eastAsia="Times New Roman" w:hAnsi="Times New Roman" w:cs="Times New Roman"/>
          <w:color w:val="0E101A"/>
          <w:sz w:val="24"/>
          <w:szCs w:val="24"/>
          <w:lang w:eastAsia="en-PH"/>
        </w:rPr>
        <w:t>Veklury</w:t>
      </w:r>
      <w:proofErr w:type="spellEnd"/>
      <w:r w:rsidRPr="00073FF2">
        <w:rPr>
          <w:rFonts w:ascii="Times New Roman" w:eastAsia="Times New Roman" w:hAnsi="Times New Roman" w:cs="Times New Roman"/>
          <w:color w:val="0E101A"/>
          <w:sz w:val="24"/>
          <w:szCs w:val="24"/>
          <w:lang w:eastAsia="en-PH"/>
        </w:rPr>
        <w:t xml:space="preserve">) is the first US FDA-approved antiviral medication for COVID-19, and its emergency use is granted for adult and pediatric patients (&gt;12 years old) at least 40 kg in weight requiring hospitalization (Beigel et al., 2020). </w:t>
      </w:r>
      <w:proofErr w:type="spellStart"/>
      <w:r w:rsidRPr="00073FF2">
        <w:rPr>
          <w:rFonts w:ascii="Times New Roman" w:eastAsia="Times New Roman" w:hAnsi="Times New Roman" w:cs="Times New Roman"/>
          <w:color w:val="0E101A"/>
          <w:sz w:val="24"/>
          <w:szCs w:val="24"/>
          <w:lang w:eastAsia="en-PH"/>
        </w:rPr>
        <w:t>Baricitinib</w:t>
      </w:r>
      <w:proofErr w:type="spellEnd"/>
      <w:r w:rsidRPr="00073FF2">
        <w:rPr>
          <w:rFonts w:ascii="Times New Roman" w:eastAsia="Times New Roman" w:hAnsi="Times New Roman" w:cs="Times New Roman"/>
          <w:color w:val="0E101A"/>
          <w:sz w:val="24"/>
          <w:szCs w:val="24"/>
          <w:lang w:eastAsia="en-PH"/>
        </w:rPr>
        <w:t xml:space="preserve"> is also FDA approved as an adjunct for </w:t>
      </w:r>
      <w:proofErr w:type="spellStart"/>
      <w:r w:rsidRPr="00073FF2">
        <w:rPr>
          <w:rFonts w:ascii="Times New Roman" w:eastAsia="Times New Roman" w:hAnsi="Times New Roman" w:cs="Times New Roman"/>
          <w:color w:val="0E101A"/>
          <w:sz w:val="24"/>
          <w:szCs w:val="24"/>
          <w:lang w:eastAsia="en-PH"/>
        </w:rPr>
        <w:t>Remdesivir</w:t>
      </w:r>
      <w:proofErr w:type="spellEnd"/>
      <w:r w:rsidRPr="00073FF2">
        <w:rPr>
          <w:rFonts w:ascii="Times New Roman" w:eastAsia="Times New Roman" w:hAnsi="Times New Roman" w:cs="Times New Roman"/>
          <w:color w:val="0E101A"/>
          <w:sz w:val="24"/>
          <w:szCs w:val="24"/>
          <w:lang w:eastAsia="en-PH"/>
        </w:rPr>
        <w:t>. </w:t>
      </w:r>
    </w:p>
    <w:p w14:paraId="24B46CF1" w14:textId="77777777" w:rsidR="00073FF2" w:rsidRPr="00073FF2" w:rsidRDefault="00073FF2" w:rsidP="00073FF2">
      <w:pPr>
        <w:spacing w:after="0" w:line="480" w:lineRule="auto"/>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Recommended preventive measures for COVID-19 include the following:</w:t>
      </w:r>
    </w:p>
    <w:p w14:paraId="38C42887" w14:textId="77777777" w:rsidR="00073FF2" w:rsidRPr="00073FF2" w:rsidRDefault="00073FF2" w:rsidP="00073FF2">
      <w:pPr>
        <w:numPr>
          <w:ilvl w:val="0"/>
          <w:numId w:val="1"/>
        </w:numPr>
        <w:spacing w:after="0" w:line="480" w:lineRule="auto"/>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Mask and face shields (respiratory hygiene) reduce viral exposure to individuals by filtering out viral particles.</w:t>
      </w:r>
    </w:p>
    <w:p w14:paraId="585387C0" w14:textId="77777777" w:rsidR="00073FF2" w:rsidRPr="00073FF2" w:rsidRDefault="00073FF2" w:rsidP="00073FF2">
      <w:pPr>
        <w:numPr>
          <w:ilvl w:val="0"/>
          <w:numId w:val="1"/>
        </w:numPr>
        <w:spacing w:after="0" w:line="480" w:lineRule="auto"/>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 xml:space="preserve">Handwashing and alcohol – </w:t>
      </w:r>
      <w:proofErr w:type="gramStart"/>
      <w:r w:rsidRPr="00073FF2">
        <w:rPr>
          <w:rFonts w:ascii="Times New Roman" w:eastAsia="Times New Roman" w:hAnsi="Times New Roman" w:cs="Times New Roman"/>
          <w:color w:val="0E101A"/>
          <w:sz w:val="24"/>
          <w:szCs w:val="24"/>
          <w:lang w:eastAsia="en-PH"/>
        </w:rPr>
        <w:t>removes</w:t>
      </w:r>
      <w:proofErr w:type="gramEnd"/>
      <w:r w:rsidRPr="00073FF2">
        <w:rPr>
          <w:rFonts w:ascii="Times New Roman" w:eastAsia="Times New Roman" w:hAnsi="Times New Roman" w:cs="Times New Roman"/>
          <w:color w:val="0E101A"/>
          <w:sz w:val="24"/>
          <w:szCs w:val="24"/>
          <w:lang w:eastAsia="en-PH"/>
        </w:rPr>
        <w:t xml:space="preserve"> viruses present on any contact surface.</w:t>
      </w:r>
    </w:p>
    <w:p w14:paraId="178BC03F" w14:textId="77777777" w:rsidR="00073FF2" w:rsidRPr="00073FF2" w:rsidRDefault="00073FF2" w:rsidP="00073FF2">
      <w:pPr>
        <w:numPr>
          <w:ilvl w:val="0"/>
          <w:numId w:val="1"/>
        </w:numPr>
        <w:spacing w:after="0" w:line="480" w:lineRule="auto"/>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Social distancing – serves to limit the contact an individual has against potentially infectious individuals reducing a direct person-to-person transmission.</w:t>
      </w:r>
    </w:p>
    <w:p w14:paraId="675AEF26" w14:textId="77777777" w:rsidR="00073FF2" w:rsidRPr="00073FF2" w:rsidRDefault="00073FF2" w:rsidP="00073FF2">
      <w:pPr>
        <w:spacing w:after="0" w:line="480" w:lineRule="auto"/>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b/>
          <w:bCs/>
          <w:color w:val="0E101A"/>
          <w:sz w:val="24"/>
          <w:szCs w:val="24"/>
          <w:lang w:eastAsia="en-PH"/>
        </w:rPr>
        <w:t>Vaccine Development</w:t>
      </w:r>
    </w:p>
    <w:p w14:paraId="269582D6" w14:textId="77777777" w:rsidR="00073FF2" w:rsidRPr="00073FF2" w:rsidRDefault="00073FF2" w:rsidP="00073FF2">
      <w:pPr>
        <w:spacing w:after="0" w:line="480" w:lineRule="auto"/>
        <w:ind w:firstLine="720"/>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 xml:space="preserve">The most effective and hassle-free preventive measure is vaccination. Vaccines are a form of active artificial immunity with up to 96% efficiency against COVID-19. Vaccine development is tedious and time-consuming. It </w:t>
      </w:r>
      <w:proofErr w:type="gramStart"/>
      <w:r w:rsidRPr="00073FF2">
        <w:rPr>
          <w:rFonts w:ascii="Times New Roman" w:eastAsia="Times New Roman" w:hAnsi="Times New Roman" w:cs="Times New Roman"/>
          <w:color w:val="0E101A"/>
          <w:sz w:val="24"/>
          <w:szCs w:val="24"/>
          <w:lang w:eastAsia="en-PH"/>
        </w:rPr>
        <w:t>has to</w:t>
      </w:r>
      <w:proofErr w:type="gramEnd"/>
      <w:r w:rsidRPr="00073FF2">
        <w:rPr>
          <w:rFonts w:ascii="Times New Roman" w:eastAsia="Times New Roman" w:hAnsi="Times New Roman" w:cs="Times New Roman"/>
          <w:color w:val="0E101A"/>
          <w:sz w:val="24"/>
          <w:szCs w:val="24"/>
          <w:lang w:eastAsia="en-PH"/>
        </w:rPr>
        <w:t xml:space="preserve"> undergo phases of clinical trials before being approved for use by the FDA ("Ensuring the safety of vaccines in the United States," 2021). There are usually three phases in vaccine development: Phase I are often first-in-person trials where small groups of people (20-100 volunteers) receive the trial vaccine. Researchers </w:t>
      </w:r>
      <w:r w:rsidRPr="00073FF2">
        <w:rPr>
          <w:rFonts w:ascii="Times New Roman" w:eastAsia="Times New Roman" w:hAnsi="Times New Roman" w:cs="Times New Roman"/>
          <w:color w:val="0E101A"/>
          <w:sz w:val="24"/>
          <w:szCs w:val="24"/>
          <w:lang w:eastAsia="en-PH"/>
        </w:rPr>
        <w:lastRenderedPageBreak/>
        <w:t>want to test the vaccine's safety, efficacy, serious side effects, and how the effects are related to the dose in this phase. If no serious side effects are reported, the vaccine can proceed to the next phase. Phase II expands the clinical study to more people, and researchers learn the more common short-term side effects and how the immune system responds to the vaccine. In Phase III, several hundred to thousands of volunteers participate. A placebo group is required to test the vaccine's efficacy, effectiveness, and common side effects in this phase. A vaccine that passes phase III can now be licensed and approved by the FDA. Some vaccines may also undergo Phase IV, ongoing studies to monitor people using the vaccine to watch for adverse events. </w:t>
      </w:r>
    </w:p>
    <w:p w14:paraId="50C91326" w14:textId="77777777" w:rsidR="00073FF2" w:rsidRPr="00073FF2" w:rsidRDefault="00073FF2" w:rsidP="00073FF2">
      <w:pPr>
        <w:spacing w:after="0" w:line="480" w:lineRule="auto"/>
        <w:ind w:firstLine="720"/>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 xml:space="preserve">According to WHO, as of May 14, 2021, there are currently 100 vaccines in clinical development while 181 are in preclinical trials (functional testing in animals) ("Draft landscape and tracker of COVID-19 candidate vaccines," 2021). There are 35 clinical candidates for Phase I, 27 candidates for Phase I/II, 8 candidates for Phase II, seven candidates for Phase II/III, 19 candidates for Phase III, and 4 approved vaccines by the WHO, which are in Phase IV. The four approved vaccines were developed by Pfizer-BioNTech, </w:t>
      </w:r>
      <w:proofErr w:type="spellStart"/>
      <w:r w:rsidRPr="00073FF2">
        <w:rPr>
          <w:rFonts w:ascii="Times New Roman" w:eastAsia="Times New Roman" w:hAnsi="Times New Roman" w:cs="Times New Roman"/>
          <w:color w:val="0E101A"/>
          <w:sz w:val="24"/>
          <w:szCs w:val="24"/>
          <w:lang w:eastAsia="en-PH"/>
        </w:rPr>
        <w:t>Moderna</w:t>
      </w:r>
      <w:proofErr w:type="spellEnd"/>
      <w:r w:rsidRPr="00073FF2">
        <w:rPr>
          <w:rFonts w:ascii="Times New Roman" w:eastAsia="Times New Roman" w:hAnsi="Times New Roman" w:cs="Times New Roman"/>
          <w:color w:val="0E101A"/>
          <w:sz w:val="24"/>
          <w:szCs w:val="24"/>
          <w:lang w:eastAsia="en-PH"/>
        </w:rPr>
        <w:t xml:space="preserve">, AstraZeneca, and Janssen (Johnson and Johnson). Leading vaccines that have passed Phase III and are used by many countries were developed by Pfizer-BioNTech, </w:t>
      </w:r>
      <w:proofErr w:type="spellStart"/>
      <w:r w:rsidRPr="00073FF2">
        <w:rPr>
          <w:rFonts w:ascii="Times New Roman" w:eastAsia="Times New Roman" w:hAnsi="Times New Roman" w:cs="Times New Roman"/>
          <w:color w:val="0E101A"/>
          <w:sz w:val="24"/>
          <w:szCs w:val="24"/>
          <w:lang w:eastAsia="en-PH"/>
        </w:rPr>
        <w:t>Moderna</w:t>
      </w:r>
      <w:proofErr w:type="spellEnd"/>
      <w:r w:rsidRPr="00073FF2">
        <w:rPr>
          <w:rFonts w:ascii="Times New Roman" w:eastAsia="Times New Roman" w:hAnsi="Times New Roman" w:cs="Times New Roman"/>
          <w:color w:val="0E101A"/>
          <w:sz w:val="24"/>
          <w:szCs w:val="24"/>
          <w:lang w:eastAsia="en-PH"/>
        </w:rPr>
        <w:t xml:space="preserve">, Oxford </w:t>
      </w:r>
      <w:proofErr w:type="spellStart"/>
      <w:r w:rsidRPr="00073FF2">
        <w:rPr>
          <w:rFonts w:ascii="Times New Roman" w:eastAsia="Times New Roman" w:hAnsi="Times New Roman" w:cs="Times New Roman"/>
          <w:color w:val="0E101A"/>
          <w:sz w:val="24"/>
          <w:szCs w:val="24"/>
          <w:lang w:eastAsia="en-PH"/>
        </w:rPr>
        <w:t>Astrazeneca</w:t>
      </w:r>
      <w:proofErr w:type="spellEnd"/>
      <w:r w:rsidRPr="00073FF2">
        <w:rPr>
          <w:rFonts w:ascii="Times New Roman" w:eastAsia="Times New Roman" w:hAnsi="Times New Roman" w:cs="Times New Roman"/>
          <w:color w:val="0E101A"/>
          <w:sz w:val="24"/>
          <w:szCs w:val="24"/>
          <w:lang w:eastAsia="en-PH"/>
        </w:rPr>
        <w:t xml:space="preserve">, </w:t>
      </w:r>
      <w:proofErr w:type="spellStart"/>
      <w:r w:rsidRPr="00073FF2">
        <w:rPr>
          <w:rFonts w:ascii="Times New Roman" w:eastAsia="Times New Roman" w:hAnsi="Times New Roman" w:cs="Times New Roman"/>
          <w:color w:val="0E101A"/>
          <w:sz w:val="24"/>
          <w:szCs w:val="24"/>
          <w:lang w:eastAsia="en-PH"/>
        </w:rPr>
        <w:t>Sinopharm</w:t>
      </w:r>
      <w:proofErr w:type="spellEnd"/>
      <w:r w:rsidRPr="00073FF2">
        <w:rPr>
          <w:rFonts w:ascii="Times New Roman" w:eastAsia="Times New Roman" w:hAnsi="Times New Roman" w:cs="Times New Roman"/>
          <w:color w:val="0E101A"/>
          <w:sz w:val="24"/>
          <w:szCs w:val="24"/>
          <w:lang w:eastAsia="en-PH"/>
        </w:rPr>
        <w:t xml:space="preserve"> (</w:t>
      </w:r>
      <w:proofErr w:type="spellStart"/>
      <w:r w:rsidRPr="00073FF2">
        <w:rPr>
          <w:rFonts w:ascii="Times New Roman" w:eastAsia="Times New Roman" w:hAnsi="Times New Roman" w:cs="Times New Roman"/>
          <w:color w:val="0E101A"/>
          <w:sz w:val="24"/>
          <w:szCs w:val="24"/>
          <w:lang w:eastAsia="en-PH"/>
        </w:rPr>
        <w:t>CoronaVac</w:t>
      </w:r>
      <w:proofErr w:type="spellEnd"/>
      <w:r w:rsidRPr="00073FF2">
        <w:rPr>
          <w:rFonts w:ascii="Times New Roman" w:eastAsia="Times New Roman" w:hAnsi="Times New Roman" w:cs="Times New Roman"/>
          <w:color w:val="0E101A"/>
          <w:sz w:val="24"/>
          <w:szCs w:val="24"/>
          <w:lang w:eastAsia="en-PH"/>
        </w:rPr>
        <w:t xml:space="preserve">), </w:t>
      </w:r>
      <w:proofErr w:type="spellStart"/>
      <w:r w:rsidRPr="00073FF2">
        <w:rPr>
          <w:rFonts w:ascii="Times New Roman" w:eastAsia="Times New Roman" w:hAnsi="Times New Roman" w:cs="Times New Roman"/>
          <w:color w:val="0E101A"/>
          <w:sz w:val="24"/>
          <w:szCs w:val="24"/>
          <w:lang w:eastAsia="en-PH"/>
        </w:rPr>
        <w:t>Gamaleya</w:t>
      </w:r>
      <w:proofErr w:type="spellEnd"/>
      <w:r w:rsidRPr="00073FF2">
        <w:rPr>
          <w:rFonts w:ascii="Times New Roman" w:eastAsia="Times New Roman" w:hAnsi="Times New Roman" w:cs="Times New Roman"/>
          <w:color w:val="0E101A"/>
          <w:sz w:val="24"/>
          <w:szCs w:val="24"/>
          <w:lang w:eastAsia="en-PH"/>
        </w:rPr>
        <w:t xml:space="preserve"> Research Institute (Sputnik V), Bharat </w:t>
      </w:r>
      <w:proofErr w:type="spellStart"/>
      <w:r w:rsidRPr="00073FF2">
        <w:rPr>
          <w:rFonts w:ascii="Times New Roman" w:eastAsia="Times New Roman" w:hAnsi="Times New Roman" w:cs="Times New Roman"/>
          <w:color w:val="0E101A"/>
          <w:sz w:val="24"/>
          <w:szCs w:val="24"/>
          <w:lang w:eastAsia="en-PH"/>
        </w:rPr>
        <w:t>BioTech</w:t>
      </w:r>
      <w:proofErr w:type="spellEnd"/>
      <w:r w:rsidRPr="00073FF2">
        <w:rPr>
          <w:rFonts w:ascii="Times New Roman" w:eastAsia="Times New Roman" w:hAnsi="Times New Roman" w:cs="Times New Roman"/>
          <w:color w:val="0E101A"/>
          <w:sz w:val="24"/>
          <w:szCs w:val="24"/>
          <w:lang w:eastAsia="en-PH"/>
        </w:rPr>
        <w:t xml:space="preserve">, </w:t>
      </w:r>
      <w:proofErr w:type="spellStart"/>
      <w:r w:rsidRPr="00073FF2">
        <w:rPr>
          <w:rFonts w:ascii="Times New Roman" w:eastAsia="Times New Roman" w:hAnsi="Times New Roman" w:cs="Times New Roman"/>
          <w:color w:val="0E101A"/>
          <w:sz w:val="24"/>
          <w:szCs w:val="24"/>
          <w:lang w:eastAsia="en-PH"/>
        </w:rPr>
        <w:t>Novavax</w:t>
      </w:r>
      <w:proofErr w:type="spellEnd"/>
      <w:r w:rsidRPr="00073FF2">
        <w:rPr>
          <w:rFonts w:ascii="Times New Roman" w:eastAsia="Times New Roman" w:hAnsi="Times New Roman" w:cs="Times New Roman"/>
          <w:color w:val="0E101A"/>
          <w:sz w:val="24"/>
          <w:szCs w:val="24"/>
          <w:lang w:eastAsia="en-PH"/>
        </w:rPr>
        <w:t>, and Janssen. </w:t>
      </w:r>
    </w:p>
    <w:p w14:paraId="4CF0769D" w14:textId="77777777" w:rsidR="00073FF2" w:rsidRPr="00073FF2" w:rsidRDefault="00073FF2" w:rsidP="00073FF2">
      <w:pPr>
        <w:spacing w:after="0" w:line="480" w:lineRule="auto"/>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b/>
          <w:bCs/>
          <w:color w:val="0E101A"/>
          <w:sz w:val="24"/>
          <w:szCs w:val="24"/>
          <w:lang w:eastAsia="en-PH"/>
        </w:rPr>
        <w:t>Conclusion</w:t>
      </w:r>
    </w:p>
    <w:p w14:paraId="40034EC2" w14:textId="77777777" w:rsidR="00073FF2" w:rsidRPr="00073FF2" w:rsidRDefault="00073FF2" w:rsidP="00073FF2">
      <w:pPr>
        <w:spacing w:after="0" w:line="480" w:lineRule="auto"/>
        <w:ind w:firstLine="720"/>
        <w:rPr>
          <w:rFonts w:ascii="Times New Roman" w:eastAsia="Times New Roman" w:hAnsi="Times New Roman" w:cs="Times New Roman"/>
          <w:color w:val="0E101A"/>
          <w:sz w:val="24"/>
          <w:szCs w:val="24"/>
          <w:lang w:eastAsia="en-PH"/>
        </w:rPr>
      </w:pPr>
      <w:r w:rsidRPr="00073FF2">
        <w:rPr>
          <w:rFonts w:ascii="Times New Roman" w:eastAsia="Times New Roman" w:hAnsi="Times New Roman" w:cs="Times New Roman"/>
          <w:color w:val="0E101A"/>
          <w:sz w:val="24"/>
          <w:szCs w:val="24"/>
          <w:lang w:eastAsia="en-PH"/>
        </w:rPr>
        <w:t xml:space="preserve">Despite having beyond one year of coexistence with COVID-19, there is still much to learn about the virus and improve preventive measures, treatment options, and vaccine efforts. While many countries have gained control of the virus through good practices of preventive measures and mass vaccination, second waves of outbreaks are still ongoing, for example, in India, as pandemic efforts vary widely across countries. Continued research on therapeutic </w:t>
      </w:r>
      <w:r w:rsidRPr="00073FF2">
        <w:rPr>
          <w:rFonts w:ascii="Times New Roman" w:eastAsia="Times New Roman" w:hAnsi="Times New Roman" w:cs="Times New Roman"/>
          <w:color w:val="0E101A"/>
          <w:sz w:val="24"/>
          <w:szCs w:val="24"/>
          <w:lang w:eastAsia="en-PH"/>
        </w:rPr>
        <w:lastRenderedPageBreak/>
        <w:t>interventions and increased efforts on vaccine development, and local efforts on enforcing preventive measures and mass vaccination is fundamental in concluding this pandemic. </w:t>
      </w:r>
    </w:p>
    <w:p w14:paraId="6171E7C7" w14:textId="1336B939" w:rsidR="00073FF2" w:rsidRDefault="00073FF2" w:rsidP="00073FF2">
      <w:pPr>
        <w:spacing w:line="480" w:lineRule="auto"/>
      </w:pPr>
    </w:p>
    <w:p w14:paraId="4F693FE9" w14:textId="77777777" w:rsidR="00073FF2" w:rsidRPr="00073FF2" w:rsidRDefault="00073FF2" w:rsidP="00073FF2">
      <w:pPr>
        <w:spacing w:after="0" w:line="240" w:lineRule="auto"/>
        <w:jc w:val="center"/>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References</w:t>
      </w:r>
    </w:p>
    <w:p w14:paraId="13C5BDF7"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 xml:space="preserve">Beigel, J. H., Tomashek, K. M., Dodd, L. E., Mehta, A. K., Zingman, B. S., Kalil, A. C., … ACTT-1 Study Group Members. (2020). </w:t>
      </w:r>
      <w:proofErr w:type="spellStart"/>
      <w:r w:rsidRPr="00073FF2">
        <w:rPr>
          <w:rFonts w:ascii="Times New Roman" w:eastAsia="Times New Roman" w:hAnsi="Times New Roman" w:cs="Times New Roman"/>
          <w:color w:val="000000"/>
          <w:sz w:val="24"/>
          <w:szCs w:val="24"/>
          <w:lang w:eastAsia="en-PH"/>
        </w:rPr>
        <w:t>Remdesivir</w:t>
      </w:r>
      <w:proofErr w:type="spellEnd"/>
      <w:r w:rsidRPr="00073FF2">
        <w:rPr>
          <w:rFonts w:ascii="Times New Roman" w:eastAsia="Times New Roman" w:hAnsi="Times New Roman" w:cs="Times New Roman"/>
          <w:color w:val="000000"/>
          <w:sz w:val="24"/>
          <w:szCs w:val="24"/>
          <w:lang w:eastAsia="en-PH"/>
        </w:rPr>
        <w:t xml:space="preserve"> for the treatment of Covid-19 - final report. </w:t>
      </w:r>
      <w:r w:rsidRPr="00073FF2">
        <w:rPr>
          <w:rFonts w:ascii="Times New Roman" w:eastAsia="Times New Roman" w:hAnsi="Times New Roman" w:cs="Times New Roman"/>
          <w:i/>
          <w:iCs/>
          <w:color w:val="000000"/>
          <w:sz w:val="24"/>
          <w:szCs w:val="24"/>
          <w:lang w:eastAsia="en-PH"/>
        </w:rPr>
        <w:t>The New England Journal of Medicine</w:t>
      </w:r>
      <w:r w:rsidRPr="00073FF2">
        <w:rPr>
          <w:rFonts w:ascii="Times New Roman" w:eastAsia="Times New Roman" w:hAnsi="Times New Roman" w:cs="Times New Roman"/>
          <w:color w:val="000000"/>
          <w:sz w:val="24"/>
          <w:szCs w:val="24"/>
          <w:lang w:eastAsia="en-PH"/>
        </w:rPr>
        <w:t>, </w:t>
      </w:r>
      <w:r w:rsidRPr="00073FF2">
        <w:rPr>
          <w:rFonts w:ascii="Times New Roman" w:eastAsia="Times New Roman" w:hAnsi="Times New Roman" w:cs="Times New Roman"/>
          <w:i/>
          <w:iCs/>
          <w:color w:val="000000"/>
          <w:sz w:val="24"/>
          <w:szCs w:val="24"/>
          <w:lang w:eastAsia="en-PH"/>
        </w:rPr>
        <w:t>383</w:t>
      </w:r>
      <w:r w:rsidRPr="00073FF2">
        <w:rPr>
          <w:rFonts w:ascii="Times New Roman" w:eastAsia="Times New Roman" w:hAnsi="Times New Roman" w:cs="Times New Roman"/>
          <w:color w:val="000000"/>
          <w:sz w:val="24"/>
          <w:szCs w:val="24"/>
          <w:lang w:eastAsia="en-PH"/>
        </w:rPr>
        <w:t>(19), 1813–1826.</w:t>
      </w:r>
    </w:p>
    <w:p w14:paraId="24156AEC"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 xml:space="preserve">Coronavirus disease - Answers. (n.d.). Retrieved May 14, 2021, from Who.int website: </w:t>
      </w:r>
      <w:proofErr w:type="gramStart"/>
      <w:r w:rsidRPr="00073FF2">
        <w:rPr>
          <w:rFonts w:ascii="Times New Roman" w:eastAsia="Times New Roman" w:hAnsi="Times New Roman" w:cs="Times New Roman"/>
          <w:color w:val="000000"/>
          <w:sz w:val="24"/>
          <w:szCs w:val="24"/>
          <w:lang w:eastAsia="en-PH"/>
        </w:rPr>
        <w:t>https://www.who.int/emergencies/diseases/novel-coronavirus-2019/coronavirus-disease-answers?query=treatment+guidelines&amp;referrerPageUrl=https%3A%2F%2Fwww.who.int%2Femergencies%2Fdiseases%2Fnovel-coronavirus-2019%2Fcoronavirus-disease-answers</w:t>
      </w:r>
      <w:proofErr w:type="gramEnd"/>
    </w:p>
    <w:p w14:paraId="64B3B06E"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 xml:space="preserve">Coronavirus disease 2019 (COVID-19) Situation Report – 94. (n.d.). Retrieved May 14, 2021, from WHO.int website: </w:t>
      </w:r>
      <w:proofErr w:type="gramStart"/>
      <w:r w:rsidRPr="00073FF2">
        <w:rPr>
          <w:rFonts w:ascii="Times New Roman" w:eastAsia="Times New Roman" w:hAnsi="Times New Roman" w:cs="Times New Roman"/>
          <w:color w:val="000000"/>
          <w:sz w:val="24"/>
          <w:szCs w:val="24"/>
          <w:lang w:eastAsia="en-PH"/>
        </w:rPr>
        <w:t>https://www.who.int/docs/default-source/coronaviruse/situation-reports/20200423-sitrep-94-covid-19.pdf</w:t>
      </w:r>
      <w:proofErr w:type="gramEnd"/>
    </w:p>
    <w:p w14:paraId="5C845DDA"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 xml:space="preserve">Draft landscape and tracker of COVID-19 candidate vaccines. (n.d.). Retrieved May 14, 2021, from Who.int website: </w:t>
      </w:r>
      <w:proofErr w:type="gramStart"/>
      <w:r w:rsidRPr="00073FF2">
        <w:rPr>
          <w:rFonts w:ascii="Times New Roman" w:eastAsia="Times New Roman" w:hAnsi="Times New Roman" w:cs="Times New Roman"/>
          <w:color w:val="000000"/>
          <w:sz w:val="24"/>
          <w:szCs w:val="24"/>
          <w:lang w:eastAsia="en-PH"/>
        </w:rPr>
        <w:t>https://www.who.int/publications/m/item/draft-landscape-of-covid-19-candidate-vaccines</w:t>
      </w:r>
      <w:proofErr w:type="gramEnd"/>
    </w:p>
    <w:p w14:paraId="5D1151A1"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 xml:space="preserve">Ensuring the safety of vaccines in the United States. (2021, January 20). Retrieved May 14, 2021, from Cdc.gov website: </w:t>
      </w:r>
      <w:proofErr w:type="gramStart"/>
      <w:r w:rsidRPr="00073FF2">
        <w:rPr>
          <w:rFonts w:ascii="Times New Roman" w:eastAsia="Times New Roman" w:hAnsi="Times New Roman" w:cs="Times New Roman"/>
          <w:color w:val="000000"/>
          <w:sz w:val="24"/>
          <w:szCs w:val="24"/>
          <w:lang w:eastAsia="en-PH"/>
        </w:rPr>
        <w:t>https://www.cdc.gov/vaccines/hcp/conversations/ensuring-safe-vaccines.html</w:t>
      </w:r>
      <w:proofErr w:type="gramEnd"/>
    </w:p>
    <w:p w14:paraId="7C757ABB"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lastRenderedPageBreak/>
        <w:t>Koh, L. P., Li, Y., &amp; Lee, J. S. H. (2021). The value of China’s ban on wildlife trade and consumption. </w:t>
      </w:r>
      <w:r w:rsidRPr="00073FF2">
        <w:rPr>
          <w:rFonts w:ascii="Times New Roman" w:eastAsia="Times New Roman" w:hAnsi="Times New Roman" w:cs="Times New Roman"/>
          <w:i/>
          <w:iCs/>
          <w:color w:val="000000"/>
          <w:sz w:val="24"/>
          <w:szCs w:val="24"/>
          <w:lang w:eastAsia="en-PH"/>
        </w:rPr>
        <w:t>Nature Sustainability</w:t>
      </w:r>
      <w:r w:rsidRPr="00073FF2">
        <w:rPr>
          <w:rFonts w:ascii="Times New Roman" w:eastAsia="Times New Roman" w:hAnsi="Times New Roman" w:cs="Times New Roman"/>
          <w:color w:val="000000"/>
          <w:sz w:val="24"/>
          <w:szCs w:val="24"/>
          <w:lang w:eastAsia="en-PH"/>
        </w:rPr>
        <w:t>, </w:t>
      </w:r>
      <w:r w:rsidRPr="00073FF2">
        <w:rPr>
          <w:rFonts w:ascii="Times New Roman" w:eastAsia="Times New Roman" w:hAnsi="Times New Roman" w:cs="Times New Roman"/>
          <w:i/>
          <w:iCs/>
          <w:color w:val="000000"/>
          <w:sz w:val="24"/>
          <w:szCs w:val="24"/>
          <w:lang w:eastAsia="en-PH"/>
        </w:rPr>
        <w:t>4</w:t>
      </w:r>
      <w:r w:rsidRPr="00073FF2">
        <w:rPr>
          <w:rFonts w:ascii="Times New Roman" w:eastAsia="Times New Roman" w:hAnsi="Times New Roman" w:cs="Times New Roman"/>
          <w:color w:val="000000"/>
          <w:sz w:val="24"/>
          <w:szCs w:val="24"/>
          <w:lang w:eastAsia="en-PH"/>
        </w:rPr>
        <w:t>(1), 2–4.</w:t>
      </w:r>
    </w:p>
    <w:p w14:paraId="41F251B1"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 xml:space="preserve">Listings of WHO’s response to COVID-19. (n.d.). Retrieved May 14, 2021, from Who.int website: </w:t>
      </w:r>
      <w:proofErr w:type="gramStart"/>
      <w:r w:rsidRPr="00073FF2">
        <w:rPr>
          <w:rFonts w:ascii="Times New Roman" w:eastAsia="Times New Roman" w:hAnsi="Times New Roman" w:cs="Times New Roman"/>
          <w:color w:val="000000"/>
          <w:sz w:val="24"/>
          <w:szCs w:val="24"/>
          <w:lang w:eastAsia="en-PH"/>
        </w:rPr>
        <w:t>https://www.who.int/news/item/29-06-2020-covidtimeline</w:t>
      </w:r>
      <w:proofErr w:type="gramEnd"/>
    </w:p>
    <w:p w14:paraId="0834D396"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 xml:space="preserve">Maron, D. F. (2020, April 15). “Wet markets” likely launched the coronavirus. </w:t>
      </w:r>
      <w:proofErr w:type="gramStart"/>
      <w:r w:rsidRPr="00073FF2">
        <w:rPr>
          <w:rFonts w:ascii="Times New Roman" w:eastAsia="Times New Roman" w:hAnsi="Times New Roman" w:cs="Times New Roman"/>
          <w:color w:val="000000"/>
          <w:sz w:val="24"/>
          <w:szCs w:val="24"/>
          <w:lang w:eastAsia="en-PH"/>
        </w:rPr>
        <w:t>Here’s</w:t>
      </w:r>
      <w:proofErr w:type="gramEnd"/>
      <w:r w:rsidRPr="00073FF2">
        <w:rPr>
          <w:rFonts w:ascii="Times New Roman" w:eastAsia="Times New Roman" w:hAnsi="Times New Roman" w:cs="Times New Roman"/>
          <w:color w:val="000000"/>
          <w:sz w:val="24"/>
          <w:szCs w:val="24"/>
          <w:lang w:eastAsia="en-PH"/>
        </w:rPr>
        <w:t xml:space="preserve"> what you need to know. </w:t>
      </w:r>
      <w:r w:rsidRPr="00073FF2">
        <w:rPr>
          <w:rFonts w:ascii="Times New Roman" w:eastAsia="Times New Roman" w:hAnsi="Times New Roman" w:cs="Times New Roman"/>
          <w:i/>
          <w:iCs/>
          <w:color w:val="000000"/>
          <w:sz w:val="24"/>
          <w:szCs w:val="24"/>
          <w:lang w:eastAsia="en-PH"/>
        </w:rPr>
        <w:t>National Geographic</w:t>
      </w:r>
      <w:r w:rsidRPr="00073FF2">
        <w:rPr>
          <w:rFonts w:ascii="Times New Roman" w:eastAsia="Times New Roman" w:hAnsi="Times New Roman" w:cs="Times New Roman"/>
          <w:color w:val="000000"/>
          <w:sz w:val="24"/>
          <w:szCs w:val="24"/>
          <w:lang w:eastAsia="en-PH"/>
        </w:rPr>
        <w:t xml:space="preserve">. Retrieved from </w:t>
      </w:r>
      <w:proofErr w:type="gramStart"/>
      <w:r w:rsidRPr="00073FF2">
        <w:rPr>
          <w:rFonts w:ascii="Times New Roman" w:eastAsia="Times New Roman" w:hAnsi="Times New Roman" w:cs="Times New Roman"/>
          <w:color w:val="000000"/>
          <w:sz w:val="24"/>
          <w:szCs w:val="24"/>
          <w:lang w:eastAsia="en-PH"/>
        </w:rPr>
        <w:t>https://www.nationalgeographic.com/animals/article/coronavirus-linked-to-chinese-wet-markets</w:t>
      </w:r>
      <w:proofErr w:type="gramEnd"/>
    </w:p>
    <w:p w14:paraId="6DA5E4A0"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 xml:space="preserve">Masi, P., </w:t>
      </w:r>
      <w:proofErr w:type="spellStart"/>
      <w:r w:rsidRPr="00073FF2">
        <w:rPr>
          <w:rFonts w:ascii="Times New Roman" w:eastAsia="Times New Roman" w:hAnsi="Times New Roman" w:cs="Times New Roman"/>
          <w:color w:val="000000"/>
          <w:sz w:val="24"/>
          <w:szCs w:val="24"/>
          <w:lang w:eastAsia="en-PH"/>
        </w:rPr>
        <w:t>Hékimian</w:t>
      </w:r>
      <w:proofErr w:type="spellEnd"/>
      <w:r w:rsidRPr="00073FF2">
        <w:rPr>
          <w:rFonts w:ascii="Times New Roman" w:eastAsia="Times New Roman" w:hAnsi="Times New Roman" w:cs="Times New Roman"/>
          <w:color w:val="000000"/>
          <w:sz w:val="24"/>
          <w:szCs w:val="24"/>
          <w:lang w:eastAsia="en-PH"/>
        </w:rPr>
        <w:t xml:space="preserve">, G., Lejeune, M., </w:t>
      </w:r>
      <w:proofErr w:type="spellStart"/>
      <w:r w:rsidRPr="00073FF2">
        <w:rPr>
          <w:rFonts w:ascii="Times New Roman" w:eastAsia="Times New Roman" w:hAnsi="Times New Roman" w:cs="Times New Roman"/>
          <w:color w:val="000000"/>
          <w:sz w:val="24"/>
          <w:szCs w:val="24"/>
          <w:lang w:eastAsia="en-PH"/>
        </w:rPr>
        <w:t>Chommeloux</w:t>
      </w:r>
      <w:proofErr w:type="spellEnd"/>
      <w:r w:rsidRPr="00073FF2">
        <w:rPr>
          <w:rFonts w:ascii="Times New Roman" w:eastAsia="Times New Roman" w:hAnsi="Times New Roman" w:cs="Times New Roman"/>
          <w:color w:val="000000"/>
          <w:sz w:val="24"/>
          <w:szCs w:val="24"/>
          <w:lang w:eastAsia="en-PH"/>
        </w:rPr>
        <w:t xml:space="preserve">, J., </w:t>
      </w:r>
      <w:proofErr w:type="spellStart"/>
      <w:r w:rsidRPr="00073FF2">
        <w:rPr>
          <w:rFonts w:ascii="Times New Roman" w:eastAsia="Times New Roman" w:hAnsi="Times New Roman" w:cs="Times New Roman"/>
          <w:color w:val="000000"/>
          <w:sz w:val="24"/>
          <w:szCs w:val="24"/>
          <w:lang w:eastAsia="en-PH"/>
        </w:rPr>
        <w:t>Desnos</w:t>
      </w:r>
      <w:proofErr w:type="spellEnd"/>
      <w:r w:rsidRPr="00073FF2">
        <w:rPr>
          <w:rFonts w:ascii="Times New Roman" w:eastAsia="Times New Roman" w:hAnsi="Times New Roman" w:cs="Times New Roman"/>
          <w:color w:val="000000"/>
          <w:sz w:val="24"/>
          <w:szCs w:val="24"/>
          <w:lang w:eastAsia="en-PH"/>
        </w:rPr>
        <w:t xml:space="preserve">, C., </w:t>
      </w:r>
      <w:proofErr w:type="spellStart"/>
      <w:r w:rsidRPr="00073FF2">
        <w:rPr>
          <w:rFonts w:ascii="Times New Roman" w:eastAsia="Times New Roman" w:hAnsi="Times New Roman" w:cs="Times New Roman"/>
          <w:color w:val="000000"/>
          <w:sz w:val="24"/>
          <w:szCs w:val="24"/>
          <w:lang w:eastAsia="en-PH"/>
        </w:rPr>
        <w:t>Pineton</w:t>
      </w:r>
      <w:proofErr w:type="spellEnd"/>
      <w:r w:rsidRPr="00073FF2">
        <w:rPr>
          <w:rFonts w:ascii="Times New Roman" w:eastAsia="Times New Roman" w:hAnsi="Times New Roman" w:cs="Times New Roman"/>
          <w:color w:val="000000"/>
          <w:sz w:val="24"/>
          <w:szCs w:val="24"/>
          <w:lang w:eastAsia="en-PH"/>
        </w:rPr>
        <w:t xml:space="preserve"> De </w:t>
      </w:r>
      <w:proofErr w:type="spellStart"/>
      <w:r w:rsidRPr="00073FF2">
        <w:rPr>
          <w:rFonts w:ascii="Times New Roman" w:eastAsia="Times New Roman" w:hAnsi="Times New Roman" w:cs="Times New Roman"/>
          <w:color w:val="000000"/>
          <w:sz w:val="24"/>
          <w:szCs w:val="24"/>
          <w:lang w:eastAsia="en-PH"/>
        </w:rPr>
        <w:t>Chambrun</w:t>
      </w:r>
      <w:proofErr w:type="spellEnd"/>
      <w:r w:rsidRPr="00073FF2">
        <w:rPr>
          <w:rFonts w:ascii="Times New Roman" w:eastAsia="Times New Roman" w:hAnsi="Times New Roman" w:cs="Times New Roman"/>
          <w:color w:val="000000"/>
          <w:sz w:val="24"/>
          <w:szCs w:val="24"/>
          <w:lang w:eastAsia="en-PH"/>
        </w:rPr>
        <w:t>, M., … Frere, C. (2020). Systemic inflammatory response syndrome is a major contributor to COVID-19-associated coagulopathy: Insights from a prospective, single-center cohort study: Insights from a prospective, single-center cohort study. </w:t>
      </w:r>
      <w:r w:rsidRPr="00073FF2">
        <w:rPr>
          <w:rFonts w:ascii="Times New Roman" w:eastAsia="Times New Roman" w:hAnsi="Times New Roman" w:cs="Times New Roman"/>
          <w:i/>
          <w:iCs/>
          <w:color w:val="000000"/>
          <w:sz w:val="24"/>
          <w:szCs w:val="24"/>
          <w:lang w:eastAsia="en-PH"/>
        </w:rPr>
        <w:t>Circulation</w:t>
      </w:r>
      <w:r w:rsidRPr="00073FF2">
        <w:rPr>
          <w:rFonts w:ascii="Times New Roman" w:eastAsia="Times New Roman" w:hAnsi="Times New Roman" w:cs="Times New Roman"/>
          <w:color w:val="000000"/>
          <w:sz w:val="24"/>
          <w:szCs w:val="24"/>
          <w:lang w:eastAsia="en-PH"/>
        </w:rPr>
        <w:t>, </w:t>
      </w:r>
      <w:r w:rsidRPr="00073FF2">
        <w:rPr>
          <w:rFonts w:ascii="Times New Roman" w:eastAsia="Times New Roman" w:hAnsi="Times New Roman" w:cs="Times New Roman"/>
          <w:i/>
          <w:iCs/>
          <w:color w:val="000000"/>
          <w:sz w:val="24"/>
          <w:szCs w:val="24"/>
          <w:lang w:eastAsia="en-PH"/>
        </w:rPr>
        <w:t>142</w:t>
      </w:r>
      <w:r w:rsidRPr="00073FF2">
        <w:rPr>
          <w:rFonts w:ascii="Times New Roman" w:eastAsia="Times New Roman" w:hAnsi="Times New Roman" w:cs="Times New Roman"/>
          <w:color w:val="000000"/>
          <w:sz w:val="24"/>
          <w:szCs w:val="24"/>
          <w:lang w:eastAsia="en-PH"/>
        </w:rPr>
        <w:t>(6), 611–614.</w:t>
      </w:r>
    </w:p>
    <w:p w14:paraId="1040C4BD"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 xml:space="preserve">Office of the Commissioner. (2020). Coronavirus (COVID-19) update: FDA authorizes drug combination for treatment of COVID-19. Retrieved May 14, 2021, from Fda.gov website: </w:t>
      </w:r>
      <w:proofErr w:type="gramStart"/>
      <w:r w:rsidRPr="00073FF2">
        <w:rPr>
          <w:rFonts w:ascii="Times New Roman" w:eastAsia="Times New Roman" w:hAnsi="Times New Roman" w:cs="Times New Roman"/>
          <w:color w:val="000000"/>
          <w:sz w:val="24"/>
          <w:szCs w:val="24"/>
          <w:lang w:eastAsia="en-PH"/>
        </w:rPr>
        <w:t>https://www.fda.gov/news-events/press-announcements/coronavirus-covid-19-update-fda-authorizes-drug-combination-treatment-covid-19</w:t>
      </w:r>
      <w:proofErr w:type="gramEnd"/>
    </w:p>
    <w:p w14:paraId="1FC84ED2"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Ren, L.-L., Wang, Y.-M., Wu, Z.-Q., Xiang, Z.-C., Guo, L., Xu, T., … Wang, J.-W. (2020). Identification of a novel coronavirus causing severe pneumonia in human: a descriptive study: A descriptive study. </w:t>
      </w:r>
      <w:r w:rsidRPr="00073FF2">
        <w:rPr>
          <w:rFonts w:ascii="Times New Roman" w:eastAsia="Times New Roman" w:hAnsi="Times New Roman" w:cs="Times New Roman"/>
          <w:i/>
          <w:iCs/>
          <w:color w:val="000000"/>
          <w:sz w:val="24"/>
          <w:szCs w:val="24"/>
          <w:lang w:eastAsia="en-PH"/>
        </w:rPr>
        <w:t>Chinese Medical Journal</w:t>
      </w:r>
      <w:r w:rsidRPr="00073FF2">
        <w:rPr>
          <w:rFonts w:ascii="Times New Roman" w:eastAsia="Times New Roman" w:hAnsi="Times New Roman" w:cs="Times New Roman"/>
          <w:color w:val="000000"/>
          <w:sz w:val="24"/>
          <w:szCs w:val="24"/>
          <w:lang w:eastAsia="en-PH"/>
        </w:rPr>
        <w:t>, </w:t>
      </w:r>
      <w:r w:rsidRPr="00073FF2">
        <w:rPr>
          <w:rFonts w:ascii="Times New Roman" w:eastAsia="Times New Roman" w:hAnsi="Times New Roman" w:cs="Times New Roman"/>
          <w:i/>
          <w:iCs/>
          <w:color w:val="000000"/>
          <w:sz w:val="24"/>
          <w:szCs w:val="24"/>
          <w:lang w:eastAsia="en-PH"/>
        </w:rPr>
        <w:t>133</w:t>
      </w:r>
      <w:r w:rsidRPr="00073FF2">
        <w:rPr>
          <w:rFonts w:ascii="Times New Roman" w:eastAsia="Times New Roman" w:hAnsi="Times New Roman" w:cs="Times New Roman"/>
          <w:color w:val="000000"/>
          <w:sz w:val="24"/>
          <w:szCs w:val="24"/>
          <w:lang w:eastAsia="en-PH"/>
        </w:rPr>
        <w:t>(9), 1015–1024.</w:t>
      </w:r>
    </w:p>
    <w:p w14:paraId="62847EB1"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lastRenderedPageBreak/>
        <w:t xml:space="preserve">Yuki, K., </w:t>
      </w:r>
      <w:proofErr w:type="spellStart"/>
      <w:r w:rsidRPr="00073FF2">
        <w:rPr>
          <w:rFonts w:ascii="Times New Roman" w:eastAsia="Times New Roman" w:hAnsi="Times New Roman" w:cs="Times New Roman"/>
          <w:color w:val="000000"/>
          <w:sz w:val="24"/>
          <w:szCs w:val="24"/>
          <w:lang w:eastAsia="en-PH"/>
        </w:rPr>
        <w:t>Fujiogi</w:t>
      </w:r>
      <w:proofErr w:type="spellEnd"/>
      <w:r w:rsidRPr="00073FF2">
        <w:rPr>
          <w:rFonts w:ascii="Times New Roman" w:eastAsia="Times New Roman" w:hAnsi="Times New Roman" w:cs="Times New Roman"/>
          <w:color w:val="000000"/>
          <w:sz w:val="24"/>
          <w:szCs w:val="24"/>
          <w:lang w:eastAsia="en-PH"/>
        </w:rPr>
        <w:t xml:space="preserve">, M., &amp; </w:t>
      </w:r>
      <w:proofErr w:type="spellStart"/>
      <w:r w:rsidRPr="00073FF2">
        <w:rPr>
          <w:rFonts w:ascii="Times New Roman" w:eastAsia="Times New Roman" w:hAnsi="Times New Roman" w:cs="Times New Roman"/>
          <w:color w:val="000000"/>
          <w:sz w:val="24"/>
          <w:szCs w:val="24"/>
          <w:lang w:eastAsia="en-PH"/>
        </w:rPr>
        <w:t>Koutsogiannaki</w:t>
      </w:r>
      <w:proofErr w:type="spellEnd"/>
      <w:r w:rsidRPr="00073FF2">
        <w:rPr>
          <w:rFonts w:ascii="Times New Roman" w:eastAsia="Times New Roman" w:hAnsi="Times New Roman" w:cs="Times New Roman"/>
          <w:color w:val="000000"/>
          <w:sz w:val="24"/>
          <w:szCs w:val="24"/>
          <w:lang w:eastAsia="en-PH"/>
        </w:rPr>
        <w:t>, S. (2020). COVID-19 pathophysiology: A review. </w:t>
      </w:r>
      <w:r w:rsidRPr="00073FF2">
        <w:rPr>
          <w:rFonts w:ascii="Times New Roman" w:eastAsia="Times New Roman" w:hAnsi="Times New Roman" w:cs="Times New Roman"/>
          <w:i/>
          <w:iCs/>
          <w:color w:val="000000"/>
          <w:sz w:val="24"/>
          <w:szCs w:val="24"/>
          <w:lang w:eastAsia="en-PH"/>
        </w:rPr>
        <w:t>Clinical Immunology (Orlando, Fla.)</w:t>
      </w:r>
      <w:r w:rsidRPr="00073FF2">
        <w:rPr>
          <w:rFonts w:ascii="Times New Roman" w:eastAsia="Times New Roman" w:hAnsi="Times New Roman" w:cs="Times New Roman"/>
          <w:color w:val="000000"/>
          <w:sz w:val="24"/>
          <w:szCs w:val="24"/>
          <w:lang w:eastAsia="en-PH"/>
        </w:rPr>
        <w:t>, </w:t>
      </w:r>
      <w:r w:rsidRPr="00073FF2">
        <w:rPr>
          <w:rFonts w:ascii="Times New Roman" w:eastAsia="Times New Roman" w:hAnsi="Times New Roman" w:cs="Times New Roman"/>
          <w:i/>
          <w:iCs/>
          <w:color w:val="000000"/>
          <w:sz w:val="24"/>
          <w:szCs w:val="24"/>
          <w:lang w:eastAsia="en-PH"/>
        </w:rPr>
        <w:t>215</w:t>
      </w:r>
      <w:r w:rsidRPr="00073FF2">
        <w:rPr>
          <w:rFonts w:ascii="Times New Roman" w:eastAsia="Times New Roman" w:hAnsi="Times New Roman" w:cs="Times New Roman"/>
          <w:color w:val="000000"/>
          <w:sz w:val="24"/>
          <w:szCs w:val="24"/>
          <w:lang w:eastAsia="en-PH"/>
        </w:rPr>
        <w:t>(108427), 108427.</w:t>
      </w:r>
    </w:p>
    <w:p w14:paraId="0FFD332E"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Zhu, H., Wei, L., &amp; Niu, P. (2020). The novel coronavirus outbreak in Wuhan, China. </w:t>
      </w:r>
      <w:r w:rsidRPr="00073FF2">
        <w:rPr>
          <w:rFonts w:ascii="Times New Roman" w:eastAsia="Times New Roman" w:hAnsi="Times New Roman" w:cs="Times New Roman"/>
          <w:i/>
          <w:iCs/>
          <w:color w:val="000000"/>
          <w:sz w:val="24"/>
          <w:szCs w:val="24"/>
          <w:lang w:eastAsia="en-PH"/>
        </w:rPr>
        <w:t>Global Health Research and Policy</w:t>
      </w:r>
      <w:r w:rsidRPr="00073FF2">
        <w:rPr>
          <w:rFonts w:ascii="Times New Roman" w:eastAsia="Times New Roman" w:hAnsi="Times New Roman" w:cs="Times New Roman"/>
          <w:color w:val="000000"/>
          <w:sz w:val="24"/>
          <w:szCs w:val="24"/>
          <w:lang w:eastAsia="en-PH"/>
        </w:rPr>
        <w:t>, </w:t>
      </w:r>
      <w:r w:rsidRPr="00073FF2">
        <w:rPr>
          <w:rFonts w:ascii="Times New Roman" w:eastAsia="Times New Roman" w:hAnsi="Times New Roman" w:cs="Times New Roman"/>
          <w:i/>
          <w:iCs/>
          <w:color w:val="000000"/>
          <w:sz w:val="24"/>
          <w:szCs w:val="24"/>
          <w:lang w:eastAsia="en-PH"/>
        </w:rPr>
        <w:t>5</w:t>
      </w:r>
      <w:r w:rsidRPr="00073FF2">
        <w:rPr>
          <w:rFonts w:ascii="Times New Roman" w:eastAsia="Times New Roman" w:hAnsi="Times New Roman" w:cs="Times New Roman"/>
          <w:color w:val="000000"/>
          <w:sz w:val="24"/>
          <w:szCs w:val="24"/>
          <w:lang w:eastAsia="en-PH"/>
        </w:rPr>
        <w:t>(1), 6.</w:t>
      </w:r>
    </w:p>
    <w:p w14:paraId="7FA12E3E" w14:textId="77777777" w:rsidR="00073FF2" w:rsidRPr="00073FF2" w:rsidRDefault="00073FF2" w:rsidP="00073FF2">
      <w:pPr>
        <w:spacing w:before="100" w:beforeAutospacing="1" w:after="0" w:line="480" w:lineRule="auto"/>
        <w:ind w:left="720" w:hanging="720"/>
        <w:rPr>
          <w:rFonts w:ascii="Times New Roman" w:eastAsia="Times New Roman" w:hAnsi="Times New Roman" w:cs="Times New Roman"/>
          <w:color w:val="000000"/>
          <w:sz w:val="24"/>
          <w:szCs w:val="24"/>
          <w:lang w:eastAsia="en-PH"/>
        </w:rPr>
      </w:pPr>
      <w:r w:rsidRPr="00073FF2">
        <w:rPr>
          <w:rFonts w:ascii="Times New Roman" w:eastAsia="Times New Roman" w:hAnsi="Times New Roman" w:cs="Times New Roman"/>
          <w:color w:val="000000"/>
          <w:sz w:val="24"/>
          <w:szCs w:val="24"/>
          <w:lang w:eastAsia="en-PH"/>
        </w:rPr>
        <w:t xml:space="preserve">Zimmer, C., </w:t>
      </w:r>
      <w:proofErr w:type="spellStart"/>
      <w:r w:rsidRPr="00073FF2">
        <w:rPr>
          <w:rFonts w:ascii="Times New Roman" w:eastAsia="Times New Roman" w:hAnsi="Times New Roman" w:cs="Times New Roman"/>
          <w:color w:val="000000"/>
          <w:sz w:val="24"/>
          <w:szCs w:val="24"/>
          <w:lang w:eastAsia="en-PH"/>
        </w:rPr>
        <w:t>Corum</w:t>
      </w:r>
      <w:proofErr w:type="spellEnd"/>
      <w:r w:rsidRPr="00073FF2">
        <w:rPr>
          <w:rFonts w:ascii="Times New Roman" w:eastAsia="Times New Roman" w:hAnsi="Times New Roman" w:cs="Times New Roman"/>
          <w:color w:val="000000"/>
          <w:sz w:val="24"/>
          <w:szCs w:val="24"/>
          <w:lang w:eastAsia="en-PH"/>
        </w:rPr>
        <w:t>, J., &amp; Wee, S.-L. (2021, May 11). Coronavirus vaccine tracker. </w:t>
      </w:r>
      <w:r w:rsidRPr="00073FF2">
        <w:rPr>
          <w:rFonts w:ascii="Times New Roman" w:eastAsia="Times New Roman" w:hAnsi="Times New Roman" w:cs="Times New Roman"/>
          <w:i/>
          <w:iCs/>
          <w:color w:val="000000"/>
          <w:sz w:val="24"/>
          <w:szCs w:val="24"/>
          <w:lang w:eastAsia="en-PH"/>
        </w:rPr>
        <w:t>The New York Times</w:t>
      </w:r>
      <w:r w:rsidRPr="00073FF2">
        <w:rPr>
          <w:rFonts w:ascii="Times New Roman" w:eastAsia="Times New Roman" w:hAnsi="Times New Roman" w:cs="Times New Roman"/>
          <w:color w:val="000000"/>
          <w:sz w:val="24"/>
          <w:szCs w:val="24"/>
          <w:lang w:eastAsia="en-PH"/>
        </w:rPr>
        <w:t xml:space="preserve">. Retrieved from </w:t>
      </w:r>
      <w:proofErr w:type="gramStart"/>
      <w:r w:rsidRPr="00073FF2">
        <w:rPr>
          <w:rFonts w:ascii="Times New Roman" w:eastAsia="Times New Roman" w:hAnsi="Times New Roman" w:cs="Times New Roman"/>
          <w:color w:val="000000"/>
          <w:sz w:val="24"/>
          <w:szCs w:val="24"/>
          <w:lang w:eastAsia="en-PH"/>
        </w:rPr>
        <w:t>https://www.nytimes.com/interactive/2020/science/coronavirus-vaccine-tracker.html</w:t>
      </w:r>
      <w:proofErr w:type="gramEnd"/>
    </w:p>
    <w:p w14:paraId="6BD15B7D" w14:textId="77777777" w:rsidR="00073FF2" w:rsidRPr="00073FF2" w:rsidRDefault="00073FF2" w:rsidP="00073FF2">
      <w:pPr>
        <w:spacing w:line="480" w:lineRule="auto"/>
        <w:rPr>
          <w:rFonts w:ascii="Times New Roman" w:hAnsi="Times New Roman" w:cs="Times New Roman"/>
          <w:sz w:val="24"/>
          <w:szCs w:val="24"/>
        </w:rPr>
      </w:pPr>
    </w:p>
    <w:sectPr w:rsidR="00073FF2" w:rsidRPr="00073FF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350485"/>
    <w:multiLevelType w:val="multilevel"/>
    <w:tmpl w:val="1854AA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FF2"/>
    <w:rsid w:val="00073FF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AB36F"/>
  <w15:chartTrackingRefBased/>
  <w15:docId w15:val="{2E7FB442-3710-4B2B-81CC-19A7F84A9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3FF2"/>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073F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6326752">
      <w:bodyDiv w:val="1"/>
      <w:marLeft w:val="0"/>
      <w:marRight w:val="0"/>
      <w:marTop w:val="0"/>
      <w:marBottom w:val="0"/>
      <w:divBdr>
        <w:top w:val="none" w:sz="0" w:space="0" w:color="auto"/>
        <w:left w:val="none" w:sz="0" w:space="0" w:color="auto"/>
        <w:bottom w:val="none" w:sz="0" w:space="0" w:color="auto"/>
        <w:right w:val="none" w:sz="0" w:space="0" w:color="auto"/>
      </w:divBdr>
    </w:div>
    <w:div w:id="1965574313">
      <w:bodyDiv w:val="1"/>
      <w:marLeft w:val="0"/>
      <w:marRight w:val="0"/>
      <w:marTop w:val="0"/>
      <w:marBottom w:val="0"/>
      <w:divBdr>
        <w:top w:val="none" w:sz="0" w:space="0" w:color="auto"/>
        <w:left w:val="none" w:sz="0" w:space="0" w:color="auto"/>
        <w:bottom w:val="none" w:sz="0" w:space="0" w:color="auto"/>
        <w:right w:val="none" w:sz="0" w:space="0" w:color="auto"/>
      </w:divBdr>
      <w:divsChild>
        <w:div w:id="19079544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1630</Words>
  <Characters>9291</Characters>
  <Application>Microsoft Office Word</Application>
  <DocSecurity>0</DocSecurity>
  <Lines>77</Lines>
  <Paragraphs>21</Paragraphs>
  <ScaleCrop>false</ScaleCrop>
  <Company/>
  <LinksUpToDate>false</LinksUpToDate>
  <CharactersWithSpaces>10900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L'Mondee Rio Neri</dc:creator>
  <cp:keywords/>
  <dc:description/>
  <cp:lastModifiedBy>L'Mondee Rio Neri</cp:lastModifiedBy>
  <cp:revision>1</cp:revision>
  <dcterms:created xsi:type="dcterms:W3CDTF">2021-05-14T18:19:00Z</dcterms:created>
  <dcterms:modified xsi:type="dcterms:W3CDTF">2021-05-14T18:21:00Z</dcterms:modified>
</cp:coreProperties>
</file>