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04B5D" w14:textId="77777777" w:rsidR="00304374" w:rsidRDefault="00304374" w:rsidP="00304374">
      <w:pPr>
        <w:jc w:val="center"/>
      </w:pPr>
    </w:p>
    <w:p w14:paraId="10ADFC86" w14:textId="77777777" w:rsidR="00304374" w:rsidRDefault="00304374" w:rsidP="00304374">
      <w:pPr>
        <w:jc w:val="center"/>
      </w:pPr>
    </w:p>
    <w:p w14:paraId="646EE766" w14:textId="77777777" w:rsidR="00304374" w:rsidRDefault="00304374" w:rsidP="00304374">
      <w:pPr>
        <w:jc w:val="center"/>
      </w:pPr>
    </w:p>
    <w:p w14:paraId="381D0454" w14:textId="77777777" w:rsidR="00304374" w:rsidRDefault="00304374" w:rsidP="00304374">
      <w:pPr>
        <w:jc w:val="center"/>
      </w:pPr>
    </w:p>
    <w:p w14:paraId="2D786DFA" w14:textId="77777777" w:rsidR="00304374" w:rsidRDefault="00304374" w:rsidP="00304374">
      <w:pPr>
        <w:jc w:val="center"/>
      </w:pPr>
    </w:p>
    <w:p w14:paraId="4A4FFA95" w14:textId="77777777" w:rsidR="00304374" w:rsidRPr="00805FEC" w:rsidRDefault="00304374" w:rsidP="00304374">
      <w:pPr>
        <w:jc w:val="center"/>
        <w:rPr>
          <w:b/>
          <w:bCs/>
        </w:rPr>
      </w:pPr>
      <w:r w:rsidRPr="00805FEC">
        <w:rPr>
          <w:b/>
          <w:bCs/>
        </w:rPr>
        <w:t>Federal Consent Decree and Procedural Justice Applied</w:t>
      </w:r>
      <w:r w:rsidRPr="00805FEC">
        <w:rPr>
          <w:b/>
          <w:bCs/>
        </w:rPr>
        <w:t xml:space="preserve"> </w:t>
      </w:r>
    </w:p>
    <w:p w14:paraId="19FEDF07" w14:textId="77777777" w:rsidR="00304374" w:rsidRDefault="00304374" w:rsidP="00304374">
      <w:pPr>
        <w:jc w:val="center"/>
      </w:pPr>
    </w:p>
    <w:p w14:paraId="1C65C4CC" w14:textId="77777777" w:rsidR="00304374" w:rsidRDefault="00304374" w:rsidP="00304374">
      <w:pPr>
        <w:jc w:val="center"/>
      </w:pPr>
      <w:r>
        <w:t>Name</w:t>
      </w:r>
    </w:p>
    <w:p w14:paraId="7E2FE2DA" w14:textId="77777777" w:rsidR="00304374" w:rsidRDefault="00304374" w:rsidP="00304374">
      <w:pPr>
        <w:jc w:val="center"/>
      </w:pPr>
      <w:r>
        <w:t>Institution</w:t>
      </w:r>
    </w:p>
    <w:p w14:paraId="2C408A36" w14:textId="77777777" w:rsidR="00304374" w:rsidRDefault="00304374" w:rsidP="00304374">
      <w:pPr>
        <w:jc w:val="center"/>
      </w:pPr>
      <w:r>
        <w:t>Class</w:t>
      </w:r>
    </w:p>
    <w:p w14:paraId="67452E14" w14:textId="77777777" w:rsidR="00304374" w:rsidRDefault="00304374" w:rsidP="00304374">
      <w:pPr>
        <w:jc w:val="center"/>
      </w:pPr>
      <w:r>
        <w:t>Professor</w:t>
      </w:r>
    </w:p>
    <w:p w14:paraId="1D416D59" w14:textId="7F28C7C0" w:rsidR="00304374" w:rsidRDefault="00304374" w:rsidP="00304374">
      <w:pPr>
        <w:jc w:val="center"/>
      </w:pPr>
      <w:r>
        <w:t>Date</w:t>
      </w:r>
      <w:r>
        <w:br w:type="page"/>
      </w:r>
    </w:p>
    <w:p w14:paraId="579080BA" w14:textId="45670BED" w:rsidR="00CB023A" w:rsidRDefault="00A67272" w:rsidP="00A67272">
      <w:pPr>
        <w:jc w:val="center"/>
      </w:pPr>
      <w:r w:rsidRPr="00A67272">
        <w:lastRenderedPageBreak/>
        <w:t>Federal Consent Decree and Procedural Justice Applied</w:t>
      </w:r>
    </w:p>
    <w:p w14:paraId="0DCD7E36" w14:textId="77777777" w:rsidR="00A43548" w:rsidRDefault="00A43548" w:rsidP="00A43548">
      <w:pPr>
        <w:ind w:firstLine="720"/>
      </w:pPr>
      <w:r>
        <w:t>Due process and procedure are two important elements of the criminal justice system. Failure to use appropriate discretion adversely affects the lives of the involved parties. Besides, various departments within the criminal justice system, such as the police and courts, face adverse impacts when they fail to apply proper discretion (Wood et al., 2020). Among them is the federal consent decree that holds individuals within the criminal justice system accountable for their actions. A consent decree is a legally binding agreement between the parties involved in criminal justice (Jiao, 2021). It must be approved and signed by the judge with the consent of the involved parties for it to become a legally binding agreement. As the lead criminal legal analyst for a major broadcast news company, my role was to produce a detailed opinion statement on the use of federal consent decree in policing across the US, especially during this turbulent period. This paper explores the federal consent decree and procedural justice in the US context.</w:t>
      </w:r>
    </w:p>
    <w:p w14:paraId="1F6F990A" w14:textId="77777777" w:rsidR="00A43548" w:rsidRDefault="00A43548" w:rsidP="00A43548">
      <w:pPr>
        <w:ind w:firstLine="720"/>
      </w:pPr>
      <w:r>
        <w:t>Procedural justice is the idea of fairness in the processes that allocate resources and solve disputes. This philosophical movement promotes positive organizational change, improves officers’ safety, and upholds police legitimacy in the community (Wood et al., 2020). Procedural justice is based on the concept that the fairness of a process is based on the procedure producing the correct outcomes (Moe &amp; Bradley, 2015). For instance, if the criminal trial is the procedure, then conviction of the guilty and exoneration of the innocent is the correct outcomes. According to Wood et al. (2020), procedural justice is based on four primary principles: being fair in processes, being transparent in actions, providing an opportunity for voice, and being impartial in decision-making.</w:t>
      </w:r>
    </w:p>
    <w:p w14:paraId="174EC9AF" w14:textId="77777777" w:rsidR="00A43548" w:rsidRDefault="00A43548" w:rsidP="00A43548">
      <w:pPr>
        <w:ind w:firstLine="720"/>
      </w:pPr>
      <w:r>
        <w:t xml:space="preserve">For example, when a traffic police issue a driver a speeding ticket (negative outcome) but treats the individual fairly and interacts with them in a positive manner (positive process), the </w:t>
      </w:r>
      <w:r>
        <w:lastRenderedPageBreak/>
        <w:t>driver is more likely to feel the encounter was fair and less likely to challenge the ticket. This reflects procedural justice in the current policing in terms of fairness, transparent actions, the opportunity for voice, and impartial decision-making.</w:t>
      </w:r>
    </w:p>
    <w:p w14:paraId="449C0921" w14:textId="77777777" w:rsidR="00A43548" w:rsidRDefault="00A43548" w:rsidP="00A43548">
      <w:pPr>
        <w:ind w:firstLine="720"/>
      </w:pPr>
      <w:r>
        <w:t>The consent decree (consent order) is a legally binding agreement approved by the judge with the consent of all the involved parties (Wood et al., 2020; Wex Definitions Team, 2022). Many people often confuse the consent decree with judgment. Instead, it is a settlement agreement approved by the judge, with the consent of all the involved parties. To create a consent decree, the parties write and submit to the court a settlement agreement in writing (LAPD, 2023). The judge analyzes the written settlement and approves or disapproves it with the consent of the parties. If it is approved, the settlement becomes a legally binding agreement that is enforceable to both parties (Wex Definitions Team, 2022). Once approved, the consent decree is not appealable. However, the court can consider it null and void if one party used fraudulent mechanisms or an error occurred on both parties.</w:t>
      </w:r>
    </w:p>
    <w:p w14:paraId="31170690" w14:textId="77777777" w:rsidR="00A43548" w:rsidRDefault="00A43548" w:rsidP="00A43548">
      <w:pPr>
        <w:ind w:firstLine="720"/>
      </w:pPr>
      <w:r>
        <w:t>The federal consent decree is commonly used in government regulation to regulate the actions of security forces, environmental law, and antitrust scenarios (Wood et al., 2020). For example, when the government sues an individual or a company for ethical misconduct, and the defendant agrees to stop cease their immoral and unethical behaviors, the government may agree not to pursue the case. The court then approves the settlement agreement between the government and the defendant and then issues a consent decree.</w:t>
      </w:r>
    </w:p>
    <w:p w14:paraId="5B639867" w14:textId="77777777" w:rsidR="00A43548" w:rsidRDefault="00A43548" w:rsidP="00A43548">
      <w:pPr>
        <w:ind w:firstLine="720"/>
      </w:pPr>
      <w:r>
        <w:t xml:space="preserve">In my view, the federal consent decrees positively impact the principle of procedural justice by reducing the cases of injustices on individuals and institutions by various legal justice systems. When the government policing agency solves a dispute through a consent decree, the defendant understands the consequences of violating the agreement and commits himself to </w:t>
      </w:r>
      <w:r>
        <w:lastRenderedPageBreak/>
        <w:t>avoid engaging in unethical practices. This regulation promotes positive actions from individuals and organizations, thereby preventing the likelihood of police brutality or unfair treatment when solving a dispute with a member of the public. In other words, public members are more likely to comply with the law if they view their officers as legitimate, fair, and impartial parties in the procedural justice system.</w:t>
      </w:r>
    </w:p>
    <w:p w14:paraId="090CF400" w14:textId="545B1639" w:rsidR="00AD30A5" w:rsidRDefault="00A43548" w:rsidP="00A43548">
      <w:pPr>
        <w:ind w:firstLine="720"/>
      </w:pPr>
      <w:r>
        <w:t>For example, if the police and the public members agree to settle concerning matters through meetings with representatives from either side or peaceful demonstration instead of rioting, and the police approach the community members peacefully during their next rioting, urging them to use either the two agreed approaches without police confrontation, the members of the public are likely to comply. The next time the community members have a concerning issue, they would consider dispute resolution meetings or peaceful demonstrations. If the members demonstrate and the police offer them protection rather than confronting them with extreme force, their chances of rioting are low. As a result, the number of casualties of police brutality has reduced, and the federal consent decree impacts procedural justice positively.</w:t>
      </w:r>
    </w:p>
    <w:p w14:paraId="237F8F16" w14:textId="6FA10C3E" w:rsidR="00E72184" w:rsidRDefault="00E72184">
      <w:r>
        <w:br w:type="page"/>
      </w:r>
    </w:p>
    <w:p w14:paraId="105F8AC8" w14:textId="3BD79D93" w:rsidR="00E72184" w:rsidRDefault="00E72184" w:rsidP="00E72184">
      <w:pPr>
        <w:jc w:val="center"/>
        <w:rPr>
          <w:b/>
          <w:bCs/>
        </w:rPr>
      </w:pPr>
      <w:r>
        <w:rPr>
          <w:b/>
          <w:bCs/>
        </w:rPr>
        <w:lastRenderedPageBreak/>
        <w:t>References</w:t>
      </w:r>
    </w:p>
    <w:p w14:paraId="768D33C7" w14:textId="77777777" w:rsidR="005F61A0" w:rsidRDefault="005F61A0" w:rsidP="00DB001B">
      <w:pPr>
        <w:ind w:left="720" w:hanging="720"/>
      </w:pPr>
      <w:r w:rsidRPr="00716125">
        <w:t>Jiao, A. Y. (2021). Federal consent decrees: a review of policies, processes, and outcomes. </w:t>
      </w:r>
      <w:r w:rsidRPr="00716125">
        <w:rPr>
          <w:i/>
          <w:iCs/>
        </w:rPr>
        <w:t>Police Practice and Research</w:t>
      </w:r>
      <w:r w:rsidRPr="00716125">
        <w:t>, </w:t>
      </w:r>
      <w:r w:rsidRPr="00716125">
        <w:rPr>
          <w:i/>
          <w:iCs/>
        </w:rPr>
        <w:t>22</w:t>
      </w:r>
      <w:r w:rsidRPr="00716125">
        <w:t>(1), 793-804.</w:t>
      </w:r>
    </w:p>
    <w:p w14:paraId="22086064" w14:textId="77777777" w:rsidR="005F61A0" w:rsidRDefault="005F61A0" w:rsidP="00D551D5">
      <w:pPr>
        <w:ind w:left="720" w:hanging="720"/>
      </w:pPr>
      <w:r>
        <w:t xml:space="preserve">Los Angeles Police Department (LAPD). (2023). </w:t>
      </w:r>
      <w:r w:rsidRPr="00D551D5">
        <w:t>Consent Decree Overview</w:t>
      </w:r>
      <w:r>
        <w:t xml:space="preserve">. </w:t>
      </w:r>
      <w:hyperlink r:id="rId6" w:history="1">
        <w:r w:rsidRPr="00FE58D0">
          <w:rPr>
            <w:rStyle w:val="Hyperlink"/>
          </w:rPr>
          <w:t>https://www.lapdonline.org/consent-decree-overview/#:~:text=A%20consent%20decree%20is%20an,judge%2C%20it%20becomes%20legally%20binding</w:t>
        </w:r>
      </w:hyperlink>
      <w:r w:rsidRPr="00FA6EF1">
        <w:t>.</w:t>
      </w:r>
      <w:r>
        <w:t xml:space="preserve"> </w:t>
      </w:r>
    </w:p>
    <w:p w14:paraId="3666A2FD" w14:textId="77777777" w:rsidR="005F61A0" w:rsidRDefault="005F61A0" w:rsidP="00DB001B">
      <w:pPr>
        <w:ind w:left="720" w:hanging="720"/>
      </w:pPr>
      <w:r w:rsidRPr="00DB001B">
        <w:t>Moe</w:t>
      </w:r>
      <w:r>
        <w:t>, C., &amp; Bradley, M. (2015</w:t>
      </w:r>
      <w:r w:rsidRPr="00DB001B">
        <w:t xml:space="preserve">). </w:t>
      </w:r>
      <w:r w:rsidRPr="00DB001B">
        <w:t>Organizational Change through Decision Making and Policy: A New Procedural Justice Course for Managers and Supervisors</w:t>
      </w:r>
      <w:r>
        <w:t xml:space="preserve">. </w:t>
      </w:r>
      <w:r>
        <w:rPr>
          <w:i/>
          <w:iCs/>
        </w:rPr>
        <w:t>Community Policing.</w:t>
      </w:r>
      <w:r>
        <w:t xml:space="preserve"> </w:t>
      </w:r>
      <w:hyperlink r:id="rId7" w:history="1">
        <w:r w:rsidRPr="00FE58D0">
          <w:rPr>
            <w:rStyle w:val="Hyperlink"/>
          </w:rPr>
          <w:t>https://cops.usdoj.gov/html/dispatch/04-2015/a_new_procedural_justice_course.asp#:~:text=Procedural%20justice%20speaks%20to%20four,being%20impartial%20in%20decision%20making</w:t>
        </w:r>
      </w:hyperlink>
      <w:r w:rsidRPr="004A5773">
        <w:t>.</w:t>
      </w:r>
      <w:r>
        <w:t xml:space="preserve"> </w:t>
      </w:r>
    </w:p>
    <w:p w14:paraId="1A878267" w14:textId="77777777" w:rsidR="005F61A0" w:rsidRDefault="005F61A0" w:rsidP="00255F2C">
      <w:pPr>
        <w:ind w:left="720" w:hanging="720"/>
      </w:pPr>
      <w:r>
        <w:t>Wex Definitions Team. (2022). C</w:t>
      </w:r>
      <w:r w:rsidRPr="00F65955">
        <w:t>onsent decree</w:t>
      </w:r>
      <w:r>
        <w:t xml:space="preserve">. </w:t>
      </w:r>
      <w:r>
        <w:rPr>
          <w:i/>
          <w:iCs/>
        </w:rPr>
        <w:t>Legal Information Institute.</w:t>
      </w:r>
      <w:r>
        <w:t xml:space="preserve"> </w:t>
      </w:r>
      <w:hyperlink r:id="rId8" w:history="1">
        <w:r w:rsidRPr="00FE58D0">
          <w:rPr>
            <w:rStyle w:val="Hyperlink"/>
          </w:rPr>
          <w:t>https://www.law.cornell.edu/wex/consent_decree</w:t>
        </w:r>
      </w:hyperlink>
      <w:r>
        <w:t xml:space="preserve"> </w:t>
      </w:r>
    </w:p>
    <w:p w14:paraId="5BA26FA0" w14:textId="77777777" w:rsidR="005F61A0" w:rsidRPr="00716125" w:rsidRDefault="005F61A0" w:rsidP="00DB001B">
      <w:pPr>
        <w:ind w:left="720" w:hanging="720"/>
      </w:pPr>
      <w:r w:rsidRPr="00716125">
        <w:t>Wood, G., Tyler, T. R., &amp; Papachristos, A. V. (2020). Procedural justice training reduces police use of force and complaints against officers. </w:t>
      </w:r>
      <w:r w:rsidRPr="00716125">
        <w:rPr>
          <w:i/>
          <w:iCs/>
        </w:rPr>
        <w:t>Proceedings of the National Academy of Sciences</w:t>
      </w:r>
      <w:r w:rsidRPr="00716125">
        <w:t>, </w:t>
      </w:r>
      <w:r w:rsidRPr="00716125">
        <w:rPr>
          <w:i/>
          <w:iCs/>
        </w:rPr>
        <w:t>117</w:t>
      </w:r>
      <w:r w:rsidRPr="00716125">
        <w:t>(18), 9815-9821.</w:t>
      </w:r>
      <w:r>
        <w:t xml:space="preserve"> </w:t>
      </w:r>
    </w:p>
    <w:sectPr w:rsidR="005F61A0" w:rsidRPr="0071612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08D3D" w14:textId="77777777" w:rsidR="00DA7376" w:rsidRDefault="00DA7376" w:rsidP="00A43548">
      <w:pPr>
        <w:spacing w:after="0" w:line="240" w:lineRule="auto"/>
      </w:pPr>
      <w:r>
        <w:separator/>
      </w:r>
    </w:p>
  </w:endnote>
  <w:endnote w:type="continuationSeparator" w:id="0">
    <w:p w14:paraId="43564F34" w14:textId="77777777" w:rsidR="00DA7376" w:rsidRDefault="00DA7376" w:rsidP="00A43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7F986" w14:textId="77777777" w:rsidR="00DA7376" w:rsidRDefault="00DA7376" w:rsidP="00A43548">
      <w:pPr>
        <w:spacing w:after="0" w:line="240" w:lineRule="auto"/>
      </w:pPr>
      <w:r>
        <w:separator/>
      </w:r>
    </w:p>
  </w:footnote>
  <w:footnote w:type="continuationSeparator" w:id="0">
    <w:p w14:paraId="7CEC134A" w14:textId="77777777" w:rsidR="00DA7376" w:rsidRDefault="00DA7376" w:rsidP="00A435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472877"/>
      <w:docPartObj>
        <w:docPartGallery w:val="Page Numbers (Top of Page)"/>
        <w:docPartUnique/>
      </w:docPartObj>
    </w:sdtPr>
    <w:sdtEndPr>
      <w:rPr>
        <w:noProof/>
      </w:rPr>
    </w:sdtEndPr>
    <w:sdtContent>
      <w:p w14:paraId="503B2280" w14:textId="3F00CC69" w:rsidR="00A43548" w:rsidRDefault="00A4354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73724B2" w14:textId="77777777" w:rsidR="00A43548" w:rsidRDefault="00A435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33A"/>
    <w:rsid w:val="00027B4A"/>
    <w:rsid w:val="00053AC4"/>
    <w:rsid w:val="00064CBB"/>
    <w:rsid w:val="000B4204"/>
    <w:rsid w:val="00102292"/>
    <w:rsid w:val="001403E2"/>
    <w:rsid w:val="001B3727"/>
    <w:rsid w:val="002216CC"/>
    <w:rsid w:val="00255F2C"/>
    <w:rsid w:val="0028089D"/>
    <w:rsid w:val="002975B7"/>
    <w:rsid w:val="00304374"/>
    <w:rsid w:val="003103BE"/>
    <w:rsid w:val="00312E9A"/>
    <w:rsid w:val="00433440"/>
    <w:rsid w:val="00466A08"/>
    <w:rsid w:val="00497126"/>
    <w:rsid w:val="004A5773"/>
    <w:rsid w:val="00581C14"/>
    <w:rsid w:val="00592BE4"/>
    <w:rsid w:val="005F61A0"/>
    <w:rsid w:val="0060289B"/>
    <w:rsid w:val="00624BBE"/>
    <w:rsid w:val="006479D1"/>
    <w:rsid w:val="00686119"/>
    <w:rsid w:val="006C7654"/>
    <w:rsid w:val="006D2B53"/>
    <w:rsid w:val="00716125"/>
    <w:rsid w:val="007B54FC"/>
    <w:rsid w:val="00805FEC"/>
    <w:rsid w:val="008628EB"/>
    <w:rsid w:val="00874CCD"/>
    <w:rsid w:val="009675E6"/>
    <w:rsid w:val="00A43548"/>
    <w:rsid w:val="00A60352"/>
    <w:rsid w:val="00A67272"/>
    <w:rsid w:val="00A6733A"/>
    <w:rsid w:val="00A96221"/>
    <w:rsid w:val="00AA7402"/>
    <w:rsid w:val="00AB71D6"/>
    <w:rsid w:val="00AB7967"/>
    <w:rsid w:val="00AC082F"/>
    <w:rsid w:val="00AD30A5"/>
    <w:rsid w:val="00AE4C47"/>
    <w:rsid w:val="00AE7168"/>
    <w:rsid w:val="00B56071"/>
    <w:rsid w:val="00B66D64"/>
    <w:rsid w:val="00CB023A"/>
    <w:rsid w:val="00D442A1"/>
    <w:rsid w:val="00D46764"/>
    <w:rsid w:val="00D551D5"/>
    <w:rsid w:val="00DA7376"/>
    <w:rsid w:val="00DB001B"/>
    <w:rsid w:val="00DB7083"/>
    <w:rsid w:val="00E32BD5"/>
    <w:rsid w:val="00E4777C"/>
    <w:rsid w:val="00E72184"/>
    <w:rsid w:val="00F61806"/>
    <w:rsid w:val="00F65955"/>
    <w:rsid w:val="00F675D6"/>
    <w:rsid w:val="00FA6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59177"/>
  <w15:chartTrackingRefBased/>
  <w15:docId w15:val="{33EFFA3C-8ACB-49C8-BCB9-97328EFF4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0352"/>
    <w:pPr>
      <w:keepNext/>
      <w:keepLines/>
      <w:spacing w:before="120" w:after="12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60352"/>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A60352"/>
    <w:pPr>
      <w:keepNext/>
      <w:keepLines/>
      <w:spacing w:before="120" w:after="120"/>
      <w:outlineLvl w:val="2"/>
    </w:pPr>
    <w:rPr>
      <w:rFonts w:eastAsiaTheme="majorEastAsia" w:cstheme="majorBidi"/>
      <w:b/>
      <w:i/>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60352"/>
    <w:rPr>
      <w:rFonts w:eastAsiaTheme="majorEastAsia" w:cstheme="majorBidi"/>
      <w:b/>
      <w:i/>
      <w:szCs w:val="24"/>
    </w:rPr>
  </w:style>
  <w:style w:type="character" w:customStyle="1" w:styleId="Heading2Char">
    <w:name w:val="Heading 2 Char"/>
    <w:basedOn w:val="DefaultParagraphFont"/>
    <w:link w:val="Heading2"/>
    <w:uiPriority w:val="9"/>
    <w:rsid w:val="00A60352"/>
    <w:rPr>
      <w:rFonts w:eastAsiaTheme="majorEastAsia" w:cstheme="majorBidi"/>
      <w:b/>
      <w:szCs w:val="26"/>
    </w:rPr>
  </w:style>
  <w:style w:type="character" w:customStyle="1" w:styleId="Heading1Char">
    <w:name w:val="Heading 1 Char"/>
    <w:basedOn w:val="DefaultParagraphFont"/>
    <w:link w:val="Heading1"/>
    <w:uiPriority w:val="9"/>
    <w:rsid w:val="00A60352"/>
    <w:rPr>
      <w:rFonts w:eastAsiaTheme="majorEastAsia" w:cstheme="majorBidi"/>
      <w:b/>
      <w:szCs w:val="32"/>
    </w:rPr>
  </w:style>
  <w:style w:type="character" w:styleId="Hyperlink">
    <w:name w:val="Hyperlink"/>
    <w:basedOn w:val="DefaultParagraphFont"/>
    <w:uiPriority w:val="99"/>
    <w:unhideWhenUsed/>
    <w:rsid w:val="00255F2C"/>
    <w:rPr>
      <w:color w:val="0563C1" w:themeColor="hyperlink"/>
      <w:u w:val="single"/>
    </w:rPr>
  </w:style>
  <w:style w:type="character" w:styleId="UnresolvedMention">
    <w:name w:val="Unresolved Mention"/>
    <w:basedOn w:val="DefaultParagraphFont"/>
    <w:uiPriority w:val="99"/>
    <w:semiHidden/>
    <w:unhideWhenUsed/>
    <w:rsid w:val="00255F2C"/>
    <w:rPr>
      <w:color w:val="605E5C"/>
      <w:shd w:val="clear" w:color="auto" w:fill="E1DFDD"/>
    </w:rPr>
  </w:style>
  <w:style w:type="paragraph" w:styleId="Header">
    <w:name w:val="header"/>
    <w:basedOn w:val="Normal"/>
    <w:link w:val="HeaderChar"/>
    <w:uiPriority w:val="99"/>
    <w:unhideWhenUsed/>
    <w:rsid w:val="00A435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548"/>
  </w:style>
  <w:style w:type="paragraph" w:styleId="Footer">
    <w:name w:val="footer"/>
    <w:basedOn w:val="Normal"/>
    <w:link w:val="FooterChar"/>
    <w:uiPriority w:val="99"/>
    <w:unhideWhenUsed/>
    <w:rsid w:val="00A435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2962">
      <w:bodyDiv w:val="1"/>
      <w:marLeft w:val="0"/>
      <w:marRight w:val="0"/>
      <w:marTop w:val="0"/>
      <w:marBottom w:val="0"/>
      <w:divBdr>
        <w:top w:val="none" w:sz="0" w:space="0" w:color="auto"/>
        <w:left w:val="none" w:sz="0" w:space="0" w:color="auto"/>
        <w:bottom w:val="none" w:sz="0" w:space="0" w:color="auto"/>
        <w:right w:val="none" w:sz="0" w:space="0" w:color="auto"/>
      </w:divBdr>
    </w:div>
    <w:div w:id="402146951">
      <w:bodyDiv w:val="1"/>
      <w:marLeft w:val="0"/>
      <w:marRight w:val="0"/>
      <w:marTop w:val="0"/>
      <w:marBottom w:val="0"/>
      <w:divBdr>
        <w:top w:val="none" w:sz="0" w:space="0" w:color="auto"/>
        <w:left w:val="none" w:sz="0" w:space="0" w:color="auto"/>
        <w:bottom w:val="none" w:sz="0" w:space="0" w:color="auto"/>
        <w:right w:val="none" w:sz="0" w:space="0" w:color="auto"/>
      </w:divBdr>
    </w:div>
    <w:div w:id="716198190">
      <w:bodyDiv w:val="1"/>
      <w:marLeft w:val="0"/>
      <w:marRight w:val="0"/>
      <w:marTop w:val="0"/>
      <w:marBottom w:val="0"/>
      <w:divBdr>
        <w:top w:val="none" w:sz="0" w:space="0" w:color="auto"/>
        <w:left w:val="none" w:sz="0" w:space="0" w:color="auto"/>
        <w:bottom w:val="none" w:sz="0" w:space="0" w:color="auto"/>
        <w:right w:val="none" w:sz="0" w:space="0" w:color="auto"/>
      </w:divBdr>
    </w:div>
    <w:div w:id="1132597072">
      <w:bodyDiv w:val="1"/>
      <w:marLeft w:val="0"/>
      <w:marRight w:val="0"/>
      <w:marTop w:val="0"/>
      <w:marBottom w:val="0"/>
      <w:divBdr>
        <w:top w:val="none" w:sz="0" w:space="0" w:color="auto"/>
        <w:left w:val="none" w:sz="0" w:space="0" w:color="auto"/>
        <w:bottom w:val="none" w:sz="0" w:space="0" w:color="auto"/>
        <w:right w:val="none" w:sz="0" w:space="0" w:color="auto"/>
      </w:divBdr>
    </w:div>
    <w:div w:id="1493370503">
      <w:bodyDiv w:val="1"/>
      <w:marLeft w:val="0"/>
      <w:marRight w:val="0"/>
      <w:marTop w:val="0"/>
      <w:marBottom w:val="0"/>
      <w:divBdr>
        <w:top w:val="none" w:sz="0" w:space="0" w:color="auto"/>
        <w:left w:val="none" w:sz="0" w:space="0" w:color="auto"/>
        <w:bottom w:val="none" w:sz="0" w:space="0" w:color="auto"/>
        <w:right w:val="none" w:sz="0" w:space="0" w:color="auto"/>
      </w:divBdr>
    </w:div>
    <w:div w:id="200586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w.cornell.edu/wex/consent_decree" TargetMode="External"/><Relationship Id="rId3" Type="http://schemas.openxmlformats.org/officeDocument/2006/relationships/webSettings" Target="webSettings.xml"/><Relationship Id="rId7" Type="http://schemas.openxmlformats.org/officeDocument/2006/relationships/hyperlink" Target="https://cops.usdoj.gov/html/dispatch/04-2015/a_new_procedural_justice_course.asp#:~:text=Procedural%20justice%20speaks%20to%20four,being%20impartial%20in%20decision%20mak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apdonline.org/consent-decree-overview/#:~:text=A%20consent%20decree%20is%20an,judge%2C%20it%20becomes%20legally%20bindi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5</Pages>
  <Words>1027</Words>
  <Characters>5859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63</cp:revision>
  <dcterms:created xsi:type="dcterms:W3CDTF">2023-03-18T19:54:00Z</dcterms:created>
  <dcterms:modified xsi:type="dcterms:W3CDTF">2023-03-18T22:50:00Z</dcterms:modified>
</cp:coreProperties>
</file>